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Rossi Christina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4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03/09/2020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135</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51.96</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20,365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units.The sale occurred automatically to satisfy the tax withholding obligations to be funded by a "sell to cover" transaction and does not represent a discretionary trade by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03/11/2020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694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2020-03-11T15:29:17Z</dcterms:created>
  <dcterms:modified xsi:type="dcterms:W3CDTF">2020-03-11T15:29:17Z</dcterms:modified>
</cp:coreProperties>
</file>