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39"/>
        <w:spacing w:after="0" w:line="215"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7" w:lineRule="exact"/>
        <w:rPr>
          <w:sz w:val="24"/>
          <w:szCs w:val="24"/>
          <w:color w:val="auto"/>
        </w:rPr>
      </w:pPr>
    </w:p>
    <w:p>
      <w:pPr>
        <w:ind w:left="28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b w:val="1"/>
          <w:bCs w:val="1"/>
          <w:color w:val="auto"/>
        </w:rPr>
        <w:t xml:space="preserve">  QUARTERLY REPORT PURSUANT TO SECTION 13 OR 15(d) OF THE SECURITIES EXCHANGE ACT OF 1934</w:t>
      </w:r>
    </w:p>
    <w:p>
      <w:pPr>
        <w:spacing w:after="0" w:line="13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15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1" w:lineRule="exact"/>
        <w:rPr>
          <w:sz w:val="24"/>
          <w:szCs w:val="24"/>
          <w:color w:val="auto"/>
        </w:rPr>
      </w:pPr>
    </w:p>
    <w:p>
      <w:pPr>
        <w:ind w:left="280"/>
        <w:spacing w:after="0"/>
        <w:rPr>
          <w:sz w:val="24"/>
          <w:szCs w:val="24"/>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8" w:lineRule="exact"/>
        <w:rPr>
          <w:sz w:val="24"/>
          <w:szCs w:val="24"/>
          <w:color w:val="auto"/>
        </w:rPr>
      </w:pPr>
    </w:p>
    <w:p>
      <w:pPr>
        <w:ind w:left="3680"/>
        <w:spacing w:after="0"/>
        <w:rPr>
          <w:sz w:val="24"/>
          <w:szCs w:val="24"/>
          <w:color w:val="auto"/>
        </w:rPr>
      </w:pPr>
      <w:r>
        <w:rPr>
          <w:rFonts w:ascii="Times New Roman" w:cs="Times New Roman" w:eastAsia="Times New Roman" w:hAnsi="Times New Roman"/>
          <w:sz w:val="18"/>
          <w:szCs w:val="18"/>
          <w:b w:val="1"/>
          <w:bCs w:val="1"/>
          <w:color w:val="auto"/>
        </w:rPr>
        <w:t>Commission file number 001-37359</w:t>
      </w:r>
    </w:p>
    <w:p>
      <w:pPr>
        <w:spacing w:after="0" w:line="37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0"/>
          <w:szCs w:val="40"/>
          <w:b w:val="1"/>
          <w:bCs w:val="1"/>
          <w:color w:val="auto"/>
        </w:rPr>
        <w:t>BLUEPRINT MEDICINES CORPORATION</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41"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2160" w:type="dxa"/>
            <w:vAlign w:val="bottom"/>
          </w:tcPr>
          <w:p>
            <w:pPr>
              <w:jc w:val="center"/>
              <w:ind w:right="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26 3632015</w:t>
            </w:r>
          </w:p>
        </w:tc>
        <w:tc>
          <w:tcPr>
            <w:tcW w:w="0" w:type="dxa"/>
            <w:vAlign w:val="bottom"/>
          </w:tcPr>
          <w:p>
            <w:pPr>
              <w:spacing w:after="0"/>
              <w:rPr>
                <w:sz w:val="1"/>
                <w:szCs w:val="1"/>
                <w:color w:val="auto"/>
              </w:rPr>
            </w:pPr>
          </w:p>
        </w:tc>
      </w:tr>
      <w:tr>
        <w:trPr>
          <w:trHeight w:val="108"/>
        </w:trPr>
        <w:tc>
          <w:tcPr>
            <w:tcW w:w="2160" w:type="dxa"/>
            <w:vAlign w:val="bottom"/>
          </w:tcPr>
          <w:p>
            <w:pPr>
              <w:jc w:val="center"/>
              <w:ind w:right="8"/>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4400" w:type="dxa"/>
            <w:vAlign w:val="bottom"/>
          </w:tcPr>
          <w:p>
            <w:pPr>
              <w:jc w:val="center"/>
              <w:ind w:left="3471"/>
              <w:spacing w:after="0" w:line="108"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2160" w:type="dxa"/>
            <w:vAlign w:val="bottom"/>
          </w:tcPr>
          <w:p>
            <w:pPr>
              <w:jc w:val="center"/>
              <w:ind w:right="8"/>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4400" w:type="dxa"/>
            <w:vAlign w:val="bottom"/>
          </w:tcPr>
          <w:p>
            <w:pPr>
              <w:jc w:val="center"/>
              <w:ind w:left="3471"/>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249"/>
        </w:trPr>
        <w:tc>
          <w:tcPr>
            <w:tcW w:w="2160" w:type="dxa"/>
            <w:vAlign w:val="bottom"/>
          </w:tcPr>
          <w:p>
            <w:pPr>
              <w:jc w:val="center"/>
              <w:ind w:right="8"/>
              <w:spacing w:after="0"/>
              <w:rPr>
                <w:sz w:val="20"/>
                <w:szCs w:val="20"/>
                <w:color w:val="auto"/>
              </w:rPr>
            </w:pPr>
            <w:r>
              <w:rPr>
                <w:rFonts w:ascii="Times New Roman" w:cs="Times New Roman" w:eastAsia="Times New Roman" w:hAnsi="Times New Roman"/>
                <w:sz w:val="18"/>
                <w:szCs w:val="18"/>
                <w:b w:val="1"/>
                <w:bCs w:val="1"/>
                <w:color w:val="auto"/>
                <w:w w:val="99"/>
              </w:rPr>
              <w:t>38 Sidney Street, Suite 200</w:t>
            </w:r>
          </w:p>
        </w:tc>
        <w:tc>
          <w:tcPr>
            <w:tcW w:w="44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02139</w:t>
            </w:r>
          </w:p>
        </w:tc>
        <w:tc>
          <w:tcPr>
            <w:tcW w:w="0" w:type="dxa"/>
            <w:vAlign w:val="bottom"/>
          </w:tcPr>
          <w:p>
            <w:pPr>
              <w:spacing w:after="0"/>
              <w:rPr>
                <w:sz w:val="1"/>
                <w:szCs w:val="1"/>
                <w:color w:val="auto"/>
              </w:rPr>
            </w:pPr>
          </w:p>
        </w:tc>
      </w:tr>
      <w:tr>
        <w:trPr>
          <w:trHeight w:val="176"/>
        </w:trPr>
        <w:tc>
          <w:tcPr>
            <w:tcW w:w="2160" w:type="dxa"/>
            <w:vAlign w:val="bottom"/>
          </w:tcPr>
          <w:p>
            <w:pPr>
              <w:jc w:val="center"/>
              <w:ind w:right="8"/>
              <w:spacing w:after="0" w:line="176" w:lineRule="exact"/>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4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160" w:type="dxa"/>
            <w:vAlign w:val="bottom"/>
          </w:tcPr>
          <w:p>
            <w:pPr>
              <w:jc w:val="center"/>
              <w:ind w:right="8"/>
              <w:spacing w:after="0" w:line="108" w:lineRule="exact"/>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4400" w:type="dxa"/>
            <w:vAlign w:val="bottom"/>
          </w:tcPr>
          <w:p>
            <w:pPr>
              <w:jc w:val="center"/>
              <w:ind w:left="3471"/>
              <w:spacing w:after="0" w:line="108" w:lineRule="exact"/>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76"/>
        </w:trPr>
        <w:tc>
          <w:tcPr>
            <w:tcW w:w="2160" w:type="dxa"/>
            <w:vAlign w:val="bottom"/>
          </w:tcPr>
          <w:p>
            <w:pPr>
              <w:spacing w:after="0"/>
              <w:rPr>
                <w:sz w:val="15"/>
                <w:szCs w:val="15"/>
                <w:color w:val="auto"/>
              </w:rPr>
            </w:pPr>
          </w:p>
        </w:tc>
        <w:tc>
          <w:tcPr>
            <w:tcW w:w="4400" w:type="dxa"/>
            <w:vAlign w:val="bottom"/>
          </w:tcPr>
          <w:p>
            <w:pPr>
              <w:jc w:val="right"/>
              <w:ind w:right="2391"/>
              <w:spacing w:after="0" w:line="176" w:lineRule="exact"/>
              <w:rPr>
                <w:sz w:val="20"/>
                <w:szCs w:val="20"/>
                <w:color w:val="auto"/>
              </w:rPr>
            </w:pPr>
            <w:r>
              <w:rPr>
                <w:rFonts w:ascii="Times New Roman" w:cs="Times New Roman" w:eastAsia="Times New Roman" w:hAnsi="Times New Roman"/>
                <w:sz w:val="18"/>
                <w:szCs w:val="18"/>
                <w:b w:val="1"/>
                <w:bCs w:val="1"/>
                <w:color w:val="auto"/>
              </w:rPr>
              <w:t>(617) 374-7580</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4400" w:type="dxa"/>
            <w:vAlign w:val="bottom"/>
          </w:tcPr>
          <w:p>
            <w:pPr>
              <w:jc w:val="center"/>
              <w:ind w:right="1591"/>
              <w:spacing w:after="0"/>
              <w:rPr>
                <w:sz w:val="20"/>
                <w:szCs w:val="20"/>
                <w:color w:val="auto"/>
              </w:rPr>
            </w:pPr>
            <w:r>
              <w:rPr>
                <w:rFonts w:ascii="Times New Roman" w:cs="Times New Roman" w:eastAsia="Times New Roman" w:hAnsi="Times New Roman"/>
                <w:sz w:val="11"/>
                <w:szCs w:val="11"/>
                <w:b w:val="1"/>
                <w:bCs w:val="1"/>
                <w:color w:val="auto"/>
                <w:w w:val="96"/>
              </w:rPr>
              <w:t>(Registrant’s Telephone Number, Including Area Code)</w:t>
            </w:r>
          </w:p>
        </w:tc>
        <w:tc>
          <w:tcPr>
            <w:tcW w:w="0" w:type="dxa"/>
            <w:vAlign w:val="bottom"/>
          </w:tcPr>
          <w:p>
            <w:pPr>
              <w:spacing w:after="0"/>
              <w:rPr>
                <w:sz w:val="1"/>
                <w:szCs w:val="1"/>
                <w:color w:val="auto"/>
              </w:rPr>
            </w:pPr>
          </w:p>
        </w:tc>
      </w:tr>
    </w:tbl>
    <w:p>
      <w:pPr>
        <w:spacing w:after="0" w:line="25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215 First Street, Cambridge, MA 02142</w:t>
      </w:r>
    </w:p>
    <w:p>
      <w:pPr>
        <w:jc w:val="center"/>
        <w:ind w:right="-239"/>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200" w:lineRule="exact"/>
        <w:rPr>
          <w:sz w:val="24"/>
          <w:szCs w:val="24"/>
          <w:color w:val="auto"/>
        </w:rPr>
      </w:pPr>
    </w:p>
    <w:p>
      <w:pPr>
        <w:spacing w:after="0" w:line="206" w:lineRule="exact"/>
        <w:rPr>
          <w:sz w:val="24"/>
          <w:szCs w:val="24"/>
          <w:color w:val="auto"/>
        </w:rPr>
      </w:pPr>
    </w:p>
    <w:p>
      <w:pPr>
        <w:ind w:firstLine="415"/>
        <w:spacing w:after="0" w:line="15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109" w:lineRule="exact"/>
        <w:rPr>
          <w:sz w:val="24"/>
          <w:szCs w:val="24"/>
          <w:color w:val="auto"/>
        </w:rPr>
      </w:pPr>
    </w:p>
    <w:p>
      <w:pPr>
        <w:ind w:right="40" w:firstLine="415"/>
        <w:spacing w:after="0" w:line="15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123" w:lineRule="exact"/>
        <w:rPr>
          <w:sz w:val="24"/>
          <w:szCs w:val="24"/>
          <w:color w:val="auto"/>
        </w:rPr>
      </w:pPr>
    </w:p>
    <w:p>
      <w:pPr>
        <w:ind w:right="380" w:firstLine="415"/>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4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2640" w:type="dxa"/>
            <w:vAlign w:val="bottom"/>
          </w:tcPr>
          <w:p>
            <w:pPr>
              <w:ind w:left="74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(Do not check if a smaller</w:t>
            </w:r>
          </w:p>
        </w:tc>
        <w:tc>
          <w:tcPr>
            <w:tcW w:w="2860" w:type="dxa"/>
            <w:vAlign w:val="bottom"/>
          </w:tcPr>
          <w:p>
            <w:pPr>
              <w:spacing w:after="0"/>
              <w:rPr>
                <w:sz w:val="21"/>
                <w:szCs w:val="21"/>
                <w:color w:val="auto"/>
              </w:rPr>
            </w:pPr>
          </w:p>
        </w:tc>
        <w:tc>
          <w:tcPr>
            <w:tcW w:w="5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reporting company)</w:t>
            </w:r>
          </w:p>
        </w:tc>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5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p>
        </w:tc>
        <w:tc>
          <w:tcPr>
            <w:tcW w:w="540" w:type="dxa"/>
            <w:vAlign w:val="bottom"/>
          </w:tcPr>
          <w:p>
            <w:pPr>
              <w:ind w:left="16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Number of shares of the registrant’s common stock, $0.001 par value, outstanding on November 2, 2015: 27,100,791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829945</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20"/>
          </w:cols>
          <w:pgMar w:left="920" w:top="216" w:right="115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580" w:type="dxa"/>
            <w:vAlign w:val="bottom"/>
            <w:gridSpan w:val="12"/>
            <w:vMerge w:val="restart"/>
          </w:tcPr>
          <w:p>
            <w:pPr>
              <w:jc w:val="center"/>
              <w:ind w:right="2440"/>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 FINANCIAL INFORMATION</w:t>
              </w:r>
            </w:hyperlink>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5580" w:type="dxa"/>
            <w:vAlign w:val="bottom"/>
            <w:gridSpan w:val="12"/>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5580" w:type="dxa"/>
            <w:vAlign w:val="bottom"/>
            <w:gridSpan w:val="1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Item 1. Financial Statements (unaudited)</w:t>
              </w:r>
            </w:hyperlink>
          </w:p>
        </w:tc>
        <w:tc>
          <w:tcPr>
            <w:tcW w:w="5460" w:type="dxa"/>
            <w:vAlign w:val="bottom"/>
            <w:gridSpan w:val="11"/>
          </w:tcPr>
          <w:p>
            <w:pPr>
              <w:spacing w:after="0"/>
              <w:rPr>
                <w:sz w:val="18"/>
                <w:szCs w:val="18"/>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9"/>
          </w:tcPr>
          <w:p>
            <w:pPr>
              <w:spacing w:after="0" w:line="18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Balance Sheets as of September 30, 2015 and December 31, 2014</w:t>
              </w:r>
            </w:hyperlink>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00" w:type="dxa"/>
            <w:vAlign w:val="bottom"/>
            <w:tcBorders>
              <w:bottom w:val="single" w:sz="8" w:color="0000EE"/>
            </w:tcBorders>
            <w:gridSpan w:val="18"/>
          </w:tcPr>
          <w:p>
            <w:pPr>
              <w:spacing w:after="0" w:line="182"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Statements of Operations for the three and nine months ended September 30, 2015 and 2014</w:t>
              </w:r>
            </w:hyperlink>
          </w:p>
        </w:tc>
        <w:tc>
          <w:tcPr>
            <w:tcW w:w="280" w:type="dxa"/>
            <w:vAlign w:val="bottom"/>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9"/>
          </w:tcPr>
          <w:p>
            <w:pPr>
              <w:spacing w:after="0" w:line="182"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Statements of Cash Flows for the nine months ended September 30, 2015 and 2014</w:t>
              </w:r>
            </w:hyperlink>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40" w:type="dxa"/>
            <w:vAlign w:val="bottom"/>
            <w:tcBorders>
              <w:top w:val="single" w:sz="8" w:color="0000EE"/>
            </w:tcBorders>
            <w:gridSpan w:val="17"/>
          </w:tcPr>
          <w:p>
            <w:pPr>
              <w:spacing w:after="0" w:line="18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Financial Statements</w:t>
              </w:r>
            </w:hyperlink>
          </w:p>
        </w:tc>
        <w:tc>
          <w:tcPr>
            <w:tcW w:w="940" w:type="dxa"/>
            <w:vAlign w:val="bottom"/>
            <w:gridSpan w:val="2"/>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70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138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920" w:type="dxa"/>
            <w:vAlign w:val="bottom"/>
            <w:tcBorders>
              <w:bottom w:val="single" w:sz="8" w:color="0000EE"/>
            </w:tcBorders>
            <w:gridSpan w:val="14"/>
          </w:tcPr>
          <w:p>
            <w:pPr>
              <w:spacing w:after="0" w:line="182" w:lineRule="exact"/>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Item 3. Quantitative and Qualitative Disclosures About Market Risk</w:t>
              </w:r>
            </w:hyperlink>
          </w:p>
        </w:tc>
        <w:tc>
          <w:tcPr>
            <w:tcW w:w="3480" w:type="dxa"/>
            <w:vAlign w:val="bottom"/>
            <w:gridSpan w:val="7"/>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00" w:type="dxa"/>
            <w:vAlign w:val="bottom"/>
            <w:gridSpan w:val="21"/>
          </w:tcPr>
          <w:p>
            <w:pPr>
              <w:spacing w:after="0" w:line="18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 Controls and Procedures</w:t>
              </w:r>
            </w:hyperlink>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8"/>
              </w:rPr>
            </w:pPr>
            <w:hyperlink w:anchor="page35">
              <w:r>
                <w:rPr>
                  <w:rFonts w:ascii="Times New Roman" w:cs="Times New Roman" w:eastAsia="Times New Roman" w:hAnsi="Times New Roman"/>
                  <w:sz w:val="18"/>
                  <w:szCs w:val="18"/>
                  <w:b w:val="1"/>
                  <w:bCs w:val="1"/>
                  <w:color w:val="0000EE"/>
                  <w:w w:val="98"/>
                </w:rPr>
                <w:t>PART II – OTHER INFORMATION</w:t>
              </w:r>
            </w:hyperlink>
          </w:p>
        </w:tc>
        <w:tc>
          <w:tcPr>
            <w:tcW w:w="25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1.</w:t>
              </w:r>
            </w:hyperlink>
          </w:p>
        </w:tc>
        <w:tc>
          <w:tcPr>
            <w:tcW w:w="7860" w:type="dxa"/>
            <w:vAlign w:val="bottom"/>
            <w:gridSpan w:val="20"/>
          </w:tcPr>
          <w:p>
            <w:pPr>
              <w:ind w:left="20"/>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tcBorders>
            <w:gridSpan w:val="7"/>
          </w:tcPr>
          <w:p>
            <w:pPr>
              <w:spacing w:after="0" w:line="182"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1A. Risk Factors</w:t>
              </w:r>
            </w:hyperlink>
          </w:p>
        </w:tc>
        <w:tc>
          <w:tcPr>
            <w:tcW w:w="6520" w:type="dxa"/>
            <w:vAlign w:val="bottom"/>
            <w:gridSpan w:val="14"/>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8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Item 2.</w:t>
              </w:r>
            </w:hyperlink>
          </w:p>
        </w:tc>
        <w:tc>
          <w:tcPr>
            <w:tcW w:w="7860" w:type="dxa"/>
            <w:vAlign w:val="bottom"/>
            <w:gridSpan w:val="20"/>
          </w:tcPr>
          <w:p>
            <w:pPr>
              <w:ind w:left="20"/>
              <w:spacing w:after="0" w:line="182"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Unregistered Sales of Equity Securities and Use of Proceeds</w:t>
              </w:r>
            </w:hyperlink>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tcBorders>
          </w:tcPr>
          <w:p>
            <w:pPr>
              <w:spacing w:after="0" w:line="182"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Item 5.</w:t>
              </w:r>
            </w:hyperlink>
          </w:p>
        </w:tc>
        <w:tc>
          <w:tcPr>
            <w:tcW w:w="4360" w:type="dxa"/>
            <w:vAlign w:val="bottom"/>
            <w:tcBorders>
              <w:top w:val="single" w:sz="8" w:color="0000EE"/>
            </w:tcBorders>
            <w:gridSpan w:val="12"/>
          </w:tcPr>
          <w:p>
            <w:pPr>
              <w:ind w:left="20"/>
              <w:spacing w:after="0" w:line="182"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Other Information</w:t>
              </w:r>
            </w:hyperlink>
          </w:p>
        </w:tc>
        <w:tc>
          <w:tcPr>
            <w:tcW w:w="3500" w:type="dxa"/>
            <w:vAlign w:val="bottom"/>
            <w:gridSpan w:val="8"/>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Item 6.</w:t>
              </w:r>
            </w:hyperlink>
          </w:p>
        </w:tc>
        <w:tc>
          <w:tcPr>
            <w:tcW w:w="620" w:type="dxa"/>
            <w:vAlign w:val="bottom"/>
            <w:tcBorders>
              <w:top w:val="single" w:sz="8" w:color="0000EE"/>
              <w:bottom w:val="single" w:sz="8" w:color="0000EE"/>
            </w:tcBorders>
            <w:gridSpan w:val="3"/>
          </w:tcPr>
          <w:p>
            <w:pPr>
              <w:ind w:left="20"/>
              <w:spacing w:after="0" w:line="182" w:lineRule="exact"/>
              <w:rPr>
                <w:rFonts w:ascii="Times New Roman" w:cs="Times New Roman" w:eastAsia="Times New Roman" w:hAnsi="Times New Roman"/>
                <w:sz w:val="18"/>
                <w:szCs w:val="18"/>
                <w:color w:val="0000EE"/>
                <w:w w:val="96"/>
              </w:rPr>
            </w:pPr>
            <w:hyperlink w:anchor="page73">
              <w:r>
                <w:rPr>
                  <w:rFonts w:ascii="Times New Roman" w:cs="Times New Roman" w:eastAsia="Times New Roman" w:hAnsi="Times New Roman"/>
                  <w:sz w:val="18"/>
                  <w:szCs w:val="18"/>
                  <w:color w:val="0000EE"/>
                  <w:w w:val="96"/>
                </w:rPr>
                <w:t>Exhibits</w:t>
              </w:r>
            </w:hyperlink>
          </w:p>
        </w:tc>
        <w:tc>
          <w:tcPr>
            <w:tcW w:w="700" w:type="dxa"/>
            <w:vAlign w:val="bottom"/>
            <w:tcBorders>
              <w:top w:val="single" w:sz="8" w:color="0000EE"/>
            </w:tcBorders>
            <w:gridSpan w:val="2"/>
          </w:tcPr>
          <w:p>
            <w:pPr>
              <w:spacing w:after="0"/>
              <w:rPr>
                <w:sz w:val="17"/>
                <w:szCs w:val="17"/>
                <w:color w:val="auto"/>
              </w:rPr>
            </w:pPr>
          </w:p>
        </w:tc>
        <w:tc>
          <w:tcPr>
            <w:tcW w:w="6540" w:type="dxa"/>
            <w:vAlign w:val="bottom"/>
            <w:gridSpan w:val="15"/>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82" w:lineRule="exact"/>
              <w:rPr>
                <w:rFonts w:ascii="Times New Roman" w:cs="Times New Roman" w:eastAsia="Times New Roman" w:hAnsi="Times New Roman"/>
                <w:sz w:val="18"/>
                <w:szCs w:val="18"/>
                <w:color w:val="0000EE"/>
                <w:w w:val="97"/>
              </w:rPr>
            </w:pPr>
            <w:hyperlink w:anchor="page74">
              <w:r>
                <w:rPr>
                  <w:rFonts w:ascii="Times New Roman" w:cs="Times New Roman" w:eastAsia="Times New Roman" w:hAnsi="Times New Roman"/>
                  <w:sz w:val="18"/>
                  <w:szCs w:val="18"/>
                  <w:color w:val="0000EE"/>
                  <w:w w:val="97"/>
                </w:rPr>
                <w:t>Signatures</w:t>
              </w:r>
            </w:hyperlink>
          </w:p>
        </w:tc>
        <w:tc>
          <w:tcPr>
            <w:tcW w:w="7640" w:type="dxa"/>
            <w:vAlign w:val="bottom"/>
            <w:gridSpan w:val="18"/>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85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60" w:type="dxa"/>
            <w:vAlign w:val="bottom"/>
            <w:gridSpan w:val="12"/>
          </w:tcPr>
          <w:p>
            <w:pPr>
              <w:jc w:val="center"/>
              <w:ind w:left="32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ind w:right="199" w:firstLine="648"/>
        <w:spacing w:after="0" w:line="21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but are not limited to, statements</w:t>
      </w:r>
    </w:p>
    <w:p>
      <w:pPr>
        <w:spacing w:after="0"/>
        <w:rPr>
          <w:sz w:val="20"/>
          <w:szCs w:val="20"/>
          <w:color w:val="auto"/>
        </w:rPr>
      </w:pPr>
      <w:r>
        <w:rPr>
          <w:rFonts w:ascii="Times New Roman" w:cs="Times New Roman" w:eastAsia="Times New Roman" w:hAnsi="Times New Roman"/>
          <w:sz w:val="18"/>
          <w:szCs w:val="18"/>
          <w:color w:val="auto"/>
        </w:rPr>
        <w:t>about:</w:t>
      </w:r>
    </w:p>
    <w:p>
      <w:pPr>
        <w:spacing w:after="0" w:line="124" w:lineRule="exact"/>
        <w:rPr>
          <w:sz w:val="20"/>
          <w:szCs w:val="20"/>
          <w:color w:val="auto"/>
        </w:rPr>
      </w:pPr>
    </w:p>
    <w:p>
      <w:pPr>
        <w:ind w:left="1020" w:right="179" w:hanging="53"/>
        <w:spacing w:after="0" w:line="237" w:lineRule="auto"/>
        <w:rPr>
          <w:sz w:val="20"/>
          <w:szCs w:val="20"/>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Phase 1 clinical trials for BLU-285 and BLU-554, and our research and development programs;</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accuracy of our estimates regarding expenses, future revenues and capital requirements;</w:t>
      </w:r>
    </w:p>
    <w:p>
      <w:pPr>
        <w:spacing w:after="0" w:line="117" w:lineRule="exact"/>
        <w:rPr>
          <w:sz w:val="20"/>
          <w:szCs w:val="20"/>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 and approvals;</w:t>
      </w:r>
    </w:p>
    <w:p>
      <w:pPr>
        <w:spacing w:after="0" w:line="117"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drug candidates, if approved;</w:t>
      </w:r>
    </w:p>
    <w:p>
      <w:pPr>
        <w:spacing w:after="0" w:line="117"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candidates, if approved;</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implementation of our business model, strategic plans for our business, drug candidates and technology;</w:t>
      </w:r>
    </w:p>
    <w:p>
      <w:pPr>
        <w:spacing w:after="0" w:line="117" w:lineRule="exact"/>
        <w:rPr>
          <w:sz w:val="20"/>
          <w:szCs w:val="20"/>
          <w:color w:val="auto"/>
        </w:rPr>
      </w:pPr>
    </w:p>
    <w:p>
      <w:pPr>
        <w:ind w:left="1020" w:right="119" w:hanging="53"/>
        <w:spacing w:after="0" w:line="237" w:lineRule="auto"/>
        <w:rPr>
          <w:sz w:val="20"/>
          <w:szCs w:val="20"/>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and technology;</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117" w:lineRule="exact"/>
        <w:rPr>
          <w:sz w:val="20"/>
          <w:szCs w:val="20"/>
          <w:color w:val="auto"/>
        </w:rPr>
      </w:pPr>
    </w:p>
    <w:p>
      <w:pPr>
        <w:ind w:left="1020" w:right="179" w:hanging="53"/>
        <w:spacing w:after="0" w:line="237" w:lineRule="auto"/>
        <w:rPr>
          <w:sz w:val="20"/>
          <w:szCs w:val="20"/>
          <w:color w:val="auto"/>
        </w:rPr>
      </w:pPr>
      <w:r>
        <w:rPr>
          <w:rFonts w:ascii="Times New Roman" w:cs="Times New Roman" w:eastAsia="Times New Roman" w:hAnsi="Times New Roman"/>
          <w:sz w:val="18"/>
          <w:szCs w:val="18"/>
          <w:color w:val="auto"/>
        </w:rPr>
        <w:t>·the potential benefits of our existing collaboration with Alexion Pharma Holding and our ability to enter into other strategic arrangements;</w:t>
      </w:r>
    </w:p>
    <w:p>
      <w:pPr>
        <w:spacing w:after="0" w:line="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ability to maintain and establish collaborations or obtain additional grant funding;</w:t>
      </w:r>
    </w:p>
    <w:p>
      <w:pPr>
        <w:spacing w:after="0" w:line="117" w:lineRule="exact"/>
        <w:rPr>
          <w:sz w:val="20"/>
          <w:szCs w:val="20"/>
          <w:color w:val="auto"/>
        </w:rPr>
      </w:pPr>
    </w:p>
    <w:p>
      <w:pPr>
        <w:ind w:left="1160" w:hanging="185"/>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117"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71" w:lineRule="exact"/>
        <w:rPr>
          <w:sz w:val="20"/>
          <w:szCs w:val="20"/>
          <w:color w:val="auto"/>
        </w:rPr>
      </w:pPr>
    </w:p>
    <w:p>
      <w:pPr>
        <w:ind w:right="19" w:firstLine="648"/>
        <w:spacing w:after="0" w:line="211"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31" w:lineRule="exact"/>
        <w:rPr>
          <w:sz w:val="20"/>
          <w:szCs w:val="20"/>
          <w:color w:val="auto"/>
        </w:rPr>
      </w:pPr>
    </w:p>
    <w:p>
      <w:pPr>
        <w:ind w:right="199" w:firstLine="648"/>
        <w:spacing w:after="0" w:line="22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Balance Sheets</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28"/>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Unbilled accounts receivable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6,218</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188,587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48,274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195,288</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49,925</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Liabilities, convertible preferred stock and stockholders’ equity (deficit)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liability</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Current portion of deferred revenue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Current portion of lease incentive obligation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Current portion of term loan payable</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19,291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6,764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Deferred rent, net of current portion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liability, net of current portion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Lease incentive obligation, net of current portion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payable, net of current portion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Other long term liabilities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5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Series A convertible preferred stock, $0.001 par value: 0 and 40,150,000 shares authorized at September 30,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2015 and December 31, 2014, respectively; 0 and 40,000,000 shares issued and outstanding at September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39,958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2015 and December 31, 2014, respectively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5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Series B convertible preferred stock, $0.001 par value: 0 and 20,999,996 shares authorized at September</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30,2015 and December 31, 2014, respectively; 0 and 20,916,663 shares issued and outstanding at September</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30, 2015 and December 31, 2014, respectively</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5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Series C convertible preferred stock, $0.001 par value: 0 and 24,154,589 shares authorized at September 30,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2015 and December 31, 2014, respectively; 0 and 24,154,589 shares issued and outstanding at September 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49,868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2015 and December 31, 2014, respectively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5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Preferred stock, $0.001 par value; 5,000,000 shares authorized; no shares issued and outstanding at September</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30, 2015 and December 31, 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5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Common stock, $0.001 par value; 120,000,000 shares authorized; 27,095,711 and 2,218,652 shares issued at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September 30, 2015 and December 31, 2014, respectively, and 26,895,589 and 1,626,738 shares outstanding</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 September 30, 2015 and December 31, 2014, respectively</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277,515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(119,400)</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(82,206)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158,142</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(79,382)</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convertible preferred stock, and stockholders’ equity (deficit)</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195,288</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49,925</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Statements of Operations</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3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1"/>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1"/>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5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(37,194)</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dividends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3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Net loss per share applicable to common stockholders — basic and</w:t>
            </w:r>
          </w:p>
        </w:tc>
        <w:tc>
          <w:tcPr>
            <w:tcW w:w="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5300" w:type="dxa"/>
            <w:vAlign w:val="bottom"/>
            <w:tcBorders>
              <w:top w:val="single" w:sz="8" w:color="CCEEFF"/>
            </w:tcBorders>
          </w:tcPr>
          <w:p>
            <w:pPr>
              <w:spacing w:after="0" w:line="122" w:lineRule="exact"/>
              <w:rPr>
                <w:sz w:val="20"/>
                <w:szCs w:val="20"/>
                <w:color w:val="auto"/>
              </w:rPr>
            </w:pPr>
            <w:r>
              <w:rPr>
                <w:rFonts w:ascii="Times New Roman" w:cs="Times New Roman" w:eastAsia="Times New Roman" w:hAnsi="Times New Roman"/>
                <w:sz w:val="14"/>
                <w:szCs w:val="14"/>
                <w:color w:val="auto"/>
              </w:rPr>
              <w:t>Weighted-average number of common shares used in net loss per share</w:t>
            </w:r>
          </w:p>
        </w:tc>
        <w:tc>
          <w:tcPr>
            <w:tcW w:w="1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26,835</w:t>
            </w: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6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4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applicable to common stockholders — basic and diluted</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Statements of Cash Flows</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29"/>
        </w:trPr>
        <w:tc>
          <w:tcPr>
            <w:tcW w:w="664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1"/>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169"/>
        </w:trPr>
        <w:tc>
          <w:tcPr>
            <w:tcW w:w="66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(25,817)</w:t>
            </w:r>
          </w:p>
        </w:tc>
      </w:tr>
      <w:tr>
        <w:trPr>
          <w:trHeight w:val="176"/>
        </w:trPr>
        <w:tc>
          <w:tcPr>
            <w:tcW w:w="6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1,026</w:t>
            </w:r>
          </w:p>
        </w:tc>
      </w:tr>
      <w:tr>
        <w:trPr>
          <w:trHeight w:val="176"/>
        </w:trPr>
        <w:tc>
          <w:tcPr>
            <w:tcW w:w="66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Changes in assets and liabilities:</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1,464</w:t>
            </w:r>
          </w:p>
        </w:tc>
      </w:tr>
      <w:tr>
        <w:trPr>
          <w:trHeight w:val="216"/>
        </w:trPr>
        <w:tc>
          <w:tcPr>
            <w:tcW w:w="6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(18,630)</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(23,820)</w:t>
            </w:r>
          </w:p>
        </w:tc>
      </w:tr>
      <w:tr>
        <w:trPr>
          <w:trHeight w:val="176"/>
        </w:trPr>
        <w:tc>
          <w:tcPr>
            <w:tcW w:w="6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176"/>
        </w:trPr>
        <w:tc>
          <w:tcPr>
            <w:tcW w:w="66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term loan</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loan payable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B convertible preferred stock, net of issuance costs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24,985</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IPO, net of commissions and underwriting discounts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repurchases</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26,752</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2,631</w:t>
            </w:r>
          </w:p>
        </w:tc>
      </w:tr>
      <w:tr>
        <w:trPr>
          <w:trHeight w:val="216"/>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1,987</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4,618</w:t>
            </w:r>
          </w:p>
        </w:tc>
      </w:tr>
      <w:tr>
        <w:trPr>
          <w:trHeight w:val="163"/>
        </w:trPr>
        <w:tc>
          <w:tcPr>
            <w:tcW w:w="664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5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6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into common stock</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warrant liability to additional paid-in-capital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6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purchases incurred but unpaid at period end</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w:t>
            </w:r>
          </w:p>
        </w:tc>
      </w:tr>
      <w:tr>
        <w:trPr>
          <w:trHeight w:val="905"/>
        </w:trPr>
        <w:tc>
          <w:tcPr>
            <w:tcW w:w="664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6</w:t>
            </w: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102"/>
        </w:trPr>
        <w:tc>
          <w:tcPr>
            <w:tcW w:w="6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08"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89" w:lineRule="exact"/>
        <w:rPr>
          <w:sz w:val="20"/>
          <w:szCs w:val="20"/>
          <w:color w:val="auto"/>
        </w:rPr>
      </w:pPr>
    </w:p>
    <w:p>
      <w:pPr>
        <w:ind w:right="180" w:firstLine="648"/>
        <w:spacing w:after="0" w:line="217"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formed on October 14, 2008, is a biopharmaceutical company focused on improving the lives of patients with genomically defined diseases driven by abnormal kinase activation. The Company’s approach is to systematically and reproducibly identify kinases that are drivers of genomically defined diseases and to craft drug candidates with therapeutic windows that provide significant and durable clinical response to patients.</w:t>
      </w:r>
    </w:p>
    <w:p>
      <w:pPr>
        <w:spacing w:after="0" w:line="158"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certain of its research and development programs or future commercialization efforts.</w:t>
      </w:r>
    </w:p>
    <w:p>
      <w:pPr>
        <w:spacing w:after="0" w:line="15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On May 5, 2015, the Company completed an initial public offering (IPO) of its common stock, which resulted in the sale of 9,367,708 shares of its common stock, including 1,221,874 shares of common stock sold by the Company pursuant to the exercise in full by the underwriters of their option to purchase additional shares in connection with the offering, at a price to the public of $18.00 per share. The Company received net proceeds of $154.8 million after deducting underwriting discounts and commissions and offering costs payable by the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 unaudited interim condensed financial statements of the Company included herein have been prepared in accordance with accounting principles generally accepted in the United States (GAAP) as found in the Accounting Standards Codification (ASC) and Accounting Standards Update (ASU) of the Financial Accounting Standards Board (FASB).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2014 and notes thereto, included in the Company’s final prospectus for the IPO filed with the SEC pursuant to Rule 424(b)(4) on April 30, 2015 (the Prospectus).</w:t>
      </w:r>
    </w:p>
    <w:p>
      <w:pPr>
        <w:spacing w:after="0" w:line="117"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The unaudited interim condensed financial statements have been prepared on the same basis as the audited financial statements. In the opinion of the Company’s management, the accompanying unaudited interim condensed financial statements contain all adjustments which are necessary to present fairly the Company’s financial position as of September 30, 2015 and the results of its operations for the three and nine months ended September 30, 2015 and 2014 and cash flows for the nine months ended September 30, 2015 and 2014. Such adjustments are of a normal and recurring nature. The results for the three and nine months ended September 30, 2015 are not necessarily indicative of the results for the year ending December 31, 2015, or for any future period.</w:t>
      </w:r>
    </w:p>
    <w:p>
      <w:pPr>
        <w:spacing w:after="0" w:line="90" w:lineRule="exact"/>
        <w:rPr>
          <w:sz w:val="20"/>
          <w:szCs w:val="20"/>
          <w:color w:val="auto"/>
        </w:rPr>
      </w:pPr>
    </w:p>
    <w:p>
      <w:pPr>
        <w:ind w:right="160" w:firstLine="648"/>
        <w:spacing w:after="0" w:line="189" w:lineRule="exact"/>
        <w:rPr>
          <w:sz w:val="20"/>
          <w:szCs w:val="20"/>
          <w:color w:val="auto"/>
        </w:rPr>
      </w:pPr>
      <w:r>
        <w:rPr>
          <w:rFonts w:ascii="Times New Roman" w:cs="Times New Roman" w:eastAsia="Times New Roman" w:hAnsi="Times New Roman"/>
          <w:sz w:val="18"/>
          <w:szCs w:val="18"/>
          <w:color w:val="auto"/>
        </w:rPr>
        <w:t>In connection with preparing for its IPO, the Company effected a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Upon the closing of the IPO, all of the Company’s outstanding convertible preferred stock automatically converted into 15,467,479 shares of common stock; and warrants exercisable for convertible preferred stock were automatically converted into warrants exercisable for 42,423 shares of common stock. Additionally, the Company is now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authorized to issue 120,000,000 shares of common stock and 5,000,000 shares of preferred stock. The significant increase in shares outstanding in the nine months ended September 30, 2015 is expected to impact the year-over-year comparability of the Company’s net loss per share calculations over the next year.</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140" w:firstLine="648"/>
        <w:spacing w:after="0" w:line="182" w:lineRule="exact"/>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including estimating the fair value of the Company’s common stock prior to the IPO; revenue recognition; the valuation of liability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classified warrants prior to the IPO; accrued expenses; and income taxes.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The Company recognizes revenue from license and collaboration agreements in accordance with FASB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605). Accordingly, revenue is recognized when all of the following criteria are met:</w:t>
      </w:r>
    </w:p>
    <w:p>
      <w:pPr>
        <w:spacing w:after="0" w:line="106" w:lineRule="exact"/>
        <w:rPr>
          <w:sz w:val="20"/>
          <w:szCs w:val="20"/>
          <w:color w:val="auto"/>
        </w:rPr>
      </w:pPr>
    </w:p>
    <w:p>
      <w:pPr>
        <w:ind w:left="780" w:hanging="129"/>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ind w:left="760" w:hanging="109"/>
        <w:spacing w:after="0" w:line="203"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rendered;</w:t>
      </w:r>
    </w:p>
    <w:p>
      <w:pPr>
        <w:ind w:left="740" w:hanging="89"/>
        <w:spacing w:after="0" w:line="203"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price to the buyer is fixed or determinable; and</w:t>
      </w:r>
    </w:p>
    <w:p>
      <w:pPr>
        <w:ind w:left="820" w:hanging="169"/>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205"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recognized as deferred revenue in the Company’s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1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The Company’s revenue is currently generated through its collaboration agreement with Alexion Pharma Holding (Alexion). The terms of this agreement contains multiple elements, or deliverables, including an exclusive license granted by the Company to Alexion to research, develop, manufacture and commercialize the licensed products and the compounds in the field in the territory, as well as research and development activities to be performed by the Company on behalf of Alexion related to the licensed product candidates. In addition, the terms of this agreement include payments to the Company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the Company has received the upfront payment, payment for the achievement of the first milestone under the agreement and payments for certain research and development services. The Company has not received any other milestone payments under the agreement or earned royalty revenue as a result of product sales. See Note 9 for additional information on this agreement.</w:t>
      </w:r>
    </w:p>
    <w:p>
      <w:pPr>
        <w:spacing w:after="0" w:line="124"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When evaluating multiple element arrangements,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18"/>
          <w:szCs w:val="18"/>
          <w:color w:val="auto"/>
        </w:rPr>
        <w:t>customer on a stand-alone basis and (ii) if the arrangement includes a general right of return relative to the delivered item(s), delivery or performance of the undelivered item(s) is considered probable and substantially in the control of the Company. In assessing whether an item has stand-alone value, the Company considers factors such as the research, manufacturing and commercialization capabilities of the collaboration partner and the availability of the associated expertise in the general marketplace. In addition, the Company considers whether the collaboration partner can use the deliverable(s) for their intended purpose without the receipt of the remaining element(s), whether the value of the deliverable is dependent on the undelivered item(s) and whether there are other vendors that can provide the undelivered element(s). The Company’s collaboration agreement with Alexion does not contain a general right of return relative to the delivered item(s).</w:t>
      </w:r>
    </w:p>
    <w:p>
      <w:pPr>
        <w:spacing w:after="0" w:line="117"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The Company determines the selling price of a unit of accounting following the hierarchy of evidence prescribed by ASC 605-25. Accordingly,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The Company typically uses BESP to estimate the selling price, since it generally does not have VSOE or TPE of selling price for its units of accounting.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126"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In the event that an element of a multiple element arrangement does not represent a separate unit of accounting, the Company recognizes revenue from the combined element over the period over which it expects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the Company recognizes revenue under the arrangement using the proportional performance method. If there is no discernible pattern of performance and/or objectively measurable performance measures do not exist, then the Company recognizes revenue under the arrangement on a straight-line basis over the period the Company is expected to complete its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multiple-element revenue arrangements may include the following: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Licenses</w:t>
      </w:r>
    </w:p>
    <w:p>
      <w:pPr>
        <w:spacing w:after="0" w:line="146"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 deliverables under the Company’s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The Company may recognize the arrangement consideration allocated to licenses upon delivery of the license if facts and circumstances indicate that the license has stand-alone value from the undelivered elements, which generally include research and development services. The Company defers arrangement consideration allocated to licenses if facts and circumstances indicate that the delivered license does not have stand-alone value from the undelivered elements.</w:t>
      </w:r>
    </w:p>
    <w:p>
      <w:pPr>
        <w:spacing w:after="0" w:line="117"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When management believes a license does not have stand-alone value from the other deliverables to be provided in the arrangement, the Company recognizes revenue attributed to the license on a proportional basis over the Company’s contractual or estimated performance period, which is typically the term of the Company’s research and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17" w:lineRule="auto"/>
        <w:rPr>
          <w:sz w:val="20"/>
          <w:szCs w:val="20"/>
          <w:color w:val="auto"/>
        </w:rPr>
      </w:pPr>
      <w:r>
        <w:rPr>
          <w:rFonts w:ascii="Times New Roman" w:cs="Times New Roman" w:eastAsia="Times New Roman" w:hAnsi="Times New Roman"/>
          <w:sz w:val="18"/>
          <w:szCs w:val="18"/>
          <w:color w:val="auto"/>
        </w:rPr>
        <w:t>development obligations. If management cannot reasonably estimate when the Company’s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146" w:lineRule="exact"/>
        <w:rPr>
          <w:sz w:val="20"/>
          <w:szCs w:val="20"/>
          <w:color w:val="auto"/>
        </w:rPr>
      </w:pPr>
    </w:p>
    <w:p>
      <w:pPr>
        <w:jc w:val="both"/>
        <w:ind w:right="39" w:firstLine="648"/>
        <w:spacing w:after="0" w:line="217" w:lineRule="auto"/>
        <w:rPr>
          <w:sz w:val="20"/>
          <w:szCs w:val="20"/>
          <w:color w:val="auto"/>
        </w:rPr>
      </w:pPr>
      <w:r>
        <w:rPr>
          <w:rFonts w:ascii="Times New Roman" w:cs="Times New Roman" w:eastAsia="Times New Roman" w:hAnsi="Times New Roman"/>
          <w:sz w:val="18"/>
          <w:szCs w:val="18"/>
          <w:color w:val="auto"/>
        </w:rPr>
        <w:t>The deliverables under the Company’s collaboration agreements may include 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so long as there is persuasive evidence of an arrangement, the fee is fixed or determinable, and collection of the related amount is reasonably assured.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Revenue</w:t>
      </w:r>
    </w:p>
    <w:p>
      <w:pPr>
        <w:spacing w:after="0" w:line="146" w:lineRule="exact"/>
        <w:rPr>
          <w:sz w:val="20"/>
          <w:szCs w:val="20"/>
          <w:color w:val="auto"/>
        </w:rPr>
      </w:pPr>
    </w:p>
    <w:p>
      <w:pPr>
        <w:ind w:right="419" w:firstLine="648"/>
        <w:spacing w:after="0" w:line="237" w:lineRule="auto"/>
        <w:rPr>
          <w:sz w:val="20"/>
          <w:szCs w:val="20"/>
          <w:color w:val="auto"/>
        </w:rPr>
      </w:pPr>
      <w:r>
        <w:rPr>
          <w:rFonts w:ascii="Times New Roman" w:cs="Times New Roman" w:eastAsia="Times New Roman" w:hAnsi="Times New Roman"/>
          <w:sz w:val="18"/>
          <w:szCs w:val="18"/>
          <w:color w:val="auto"/>
        </w:rPr>
        <w:t>The Company’s collaboration agreements may include contingent milestone payments related to specified pre-clinical milestones, development milestones and sales-based commercial milestones.</w:t>
      </w:r>
    </w:p>
    <w:p>
      <w:pPr>
        <w:spacing w:after="0" w:line="158" w:lineRule="exact"/>
        <w:rPr>
          <w:sz w:val="20"/>
          <w:szCs w:val="20"/>
          <w:color w:val="auto"/>
        </w:rPr>
      </w:pPr>
    </w:p>
    <w:p>
      <w:pPr>
        <w:ind w:right="79" w:firstLine="324"/>
        <w:spacing w:after="0" w:line="226" w:lineRule="auto"/>
        <w:rPr>
          <w:sz w:val="20"/>
          <w:szCs w:val="20"/>
          <w:color w:val="auto"/>
        </w:rPr>
      </w:pPr>
      <w:r>
        <w:rPr>
          <w:rFonts w:ascii="Times New Roman" w:cs="Times New Roman" w:eastAsia="Times New Roman" w:hAnsi="Times New Roman"/>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w:t>
      </w:r>
    </w:p>
    <w:p>
      <w:pPr>
        <w:spacing w:after="0" w:line="158" w:lineRule="exact"/>
        <w:rPr>
          <w:sz w:val="20"/>
          <w:szCs w:val="20"/>
          <w:color w:val="auto"/>
        </w:rPr>
      </w:pPr>
    </w:p>
    <w:p>
      <w:pPr>
        <w:ind w:left="380" w:right="19" w:hanging="53"/>
        <w:spacing w:after="0" w:line="226" w:lineRule="auto"/>
        <w:rPr>
          <w:sz w:val="20"/>
          <w:szCs w:val="20"/>
          <w:color w:val="auto"/>
        </w:rPr>
      </w:pPr>
      <w:r>
        <w:rPr>
          <w:rFonts w:ascii="Times New Roman" w:cs="Times New Roman" w:eastAsia="Times New Roman" w:hAnsi="Times New Roman"/>
          <w:sz w:val="18"/>
          <w:szCs w:val="18"/>
          <w:color w:val="auto"/>
        </w:rPr>
        <w:t>·the consideration is commensurate with either the Company’s performance to achieve the milestone or the enhancement of the value of the delivered item(s) as a result of a specific outcome resulting from the Company’s performance to achieve the milestone;</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the consideration relates solely to past performance; and</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consideration is reasonable relative to all of the deliverables and payment terms within the arrangement.</w:t>
      </w:r>
    </w:p>
    <w:p>
      <w:pPr>
        <w:spacing w:after="0" w:line="144" w:lineRule="exact"/>
        <w:rPr>
          <w:sz w:val="20"/>
          <w:szCs w:val="20"/>
          <w:color w:val="auto"/>
        </w:rPr>
      </w:pPr>
    </w:p>
    <w:p>
      <w:pPr>
        <w:ind w:right="39" w:firstLine="324"/>
        <w:spacing w:after="0" w:line="213" w:lineRule="auto"/>
        <w:rPr>
          <w:sz w:val="20"/>
          <w:szCs w:val="20"/>
          <w:color w:val="auto"/>
        </w:rPr>
      </w:pPr>
      <w:r>
        <w:rPr>
          <w:rFonts w:ascii="Times New Roman" w:cs="Times New Roman" w:eastAsia="Times New Roman" w:hAnsi="Times New Roman"/>
          <w:sz w:val="18"/>
          <w:szCs w:val="18"/>
          <w:color w:val="auto"/>
        </w:rPr>
        <w:t>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 milestone. Milestones that are considered substantive will be recognized in their entirety upon successful accomplishment of the milestone, assuming all other revenue recognition criteria are met.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87" w:lineRule="exact"/>
        <w:rPr>
          <w:sz w:val="20"/>
          <w:szCs w:val="20"/>
          <w:color w:val="auto"/>
        </w:rPr>
      </w:pPr>
    </w:p>
    <w:p>
      <w:pPr>
        <w:jc w:val="both"/>
        <w:ind w:right="379" w:firstLine="324"/>
        <w:spacing w:after="0" w:line="226" w:lineRule="auto"/>
        <w:rPr>
          <w:sz w:val="20"/>
          <w:szCs w:val="20"/>
          <w:color w:val="auto"/>
        </w:rPr>
      </w:pPr>
      <w:r>
        <w:rPr>
          <w:rFonts w:ascii="Times New Roman" w:cs="Times New Roman" w:eastAsia="Times New Roman" w:hAnsi="Times New Roman"/>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right="19" w:firstLine="648"/>
        <w:spacing w:after="0" w:line="237"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These assets include an investment in a money market fund that invests in U.S.</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obligations. Cash equivalents consist of the following at September 30, 2015 and December 31, 2014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820" w:type="dxa"/>
            <w:vAlign w:val="bottom"/>
            <w:gridSpan w:val="2"/>
          </w:tcPr>
          <w:p>
            <w:pPr>
              <w:jc w:val="center"/>
              <w:ind w:left="18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2"/>
        </w:trPr>
        <w:tc>
          <w:tcPr>
            <w:tcW w:w="3340" w:type="dxa"/>
            <w:vAlign w:val="bottom"/>
          </w:tcPr>
          <w:p>
            <w:pPr>
              <w:spacing w:after="0"/>
              <w:rPr>
                <w:sz w:val="14"/>
                <w:szCs w:val="14"/>
                <w:color w:val="auto"/>
              </w:rPr>
            </w:pPr>
          </w:p>
        </w:tc>
        <w:tc>
          <w:tcPr>
            <w:tcW w:w="2820" w:type="dxa"/>
            <w:vAlign w:val="bottom"/>
            <w:gridSpan w:val="2"/>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2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0" w:type="dxa"/>
            <w:vAlign w:val="bottom"/>
          </w:tcPr>
          <w:p>
            <w:pPr>
              <w:spacing w:after="0"/>
              <w:rPr>
                <w:sz w:val="14"/>
                <w:szCs w:val="14"/>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19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179,780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47,240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The fair value hierarchy prioritizes the inputs to valuation techniques used to measure fair value into three broad levels as follows:</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04" w:lineRule="exact"/>
        <w:rPr>
          <w:sz w:val="20"/>
          <w:szCs w:val="20"/>
          <w:color w:val="auto"/>
        </w:rPr>
      </w:pPr>
    </w:p>
    <w:p>
      <w:pPr>
        <w:ind w:left="660" w:right="580"/>
        <w:spacing w:after="0" w:line="237" w:lineRule="auto"/>
        <w:rPr>
          <w:sz w:val="20"/>
          <w:szCs w:val="20"/>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91" w:lineRule="exact"/>
        <w:rPr>
          <w:sz w:val="20"/>
          <w:szCs w:val="20"/>
          <w:color w:val="auto"/>
        </w:rPr>
      </w:pPr>
    </w:p>
    <w:p>
      <w:pPr>
        <w:jc w:val="both"/>
        <w:ind w:left="660" w:right="200"/>
        <w:spacing w:after="0" w:line="226" w:lineRule="auto"/>
        <w:rPr>
          <w:sz w:val="20"/>
          <w:szCs w:val="20"/>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91"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Financial instruments measured at fair value as of September 30, 2015, are classified below based on the fair value hierarchy described above: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3"/>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bottom w:val="single" w:sz="8" w:color="CCEEFF"/>
            </w:tcBorders>
          </w:tcPr>
          <w:p>
            <w:pPr>
              <w:spacing w:after="0"/>
              <w:rPr>
                <w:sz w:val="15"/>
                <w:szCs w:val="15"/>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36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179,780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Financial instruments measured at fair value as of December 31, 2014, are classified below based on the fair value hierarchy described above: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bottom w:val="single" w:sz="8" w:color="CCEEFF"/>
            </w:tcBorders>
          </w:tcPr>
          <w:p>
            <w:pPr>
              <w:spacing w:after="0"/>
              <w:rPr>
                <w:sz w:val="15"/>
                <w:szCs w:val="15"/>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47,240</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r>
    </w:tbl>
    <w:p>
      <w:pPr>
        <w:spacing w:after="0" w:line="25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At September 30, 2015 and December 31, 2014, all of the Company’s cash equivalents were comprised of a money market account, the fair value of which is valued using Level 1 inputs.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77" w:lineRule="exact"/>
        <w:rPr>
          <w:sz w:val="20"/>
          <w:szCs w:val="20"/>
          <w:color w:val="auto"/>
        </w:rPr>
      </w:pPr>
    </w:p>
    <w:p>
      <w:pPr>
        <w:ind w:right="160" w:firstLine="648"/>
        <w:spacing w:after="0" w:line="232" w:lineRule="auto"/>
        <w:rPr>
          <w:sz w:val="20"/>
          <w:szCs w:val="20"/>
          <w:color w:val="auto"/>
        </w:rPr>
      </w:pPr>
      <w:r>
        <w:rPr>
          <w:rFonts w:ascii="Times New Roman" w:cs="Times New Roman" w:eastAsia="Times New Roman" w:hAnsi="Times New Roman"/>
          <w:sz w:val="18"/>
          <w:szCs w:val="18"/>
          <w:color w:val="auto"/>
        </w:rPr>
        <w:t>The fair value of the preferred stock warrant liability was determined based on Level 3 inputs and utilizing the Black-Scholes option pricing model (Note 6). On May 5, 2015, upon completion of the IPO, the warrants to purchase preferred stock converted into warrants to purchase common stock and the Company reclassified the fair value of the warrants as of May 5, 2015 to additional paid-in capital. The following table presents activity in the preferred stock warrant liability during the three and nine months ended September 30, 2015 and 2014 (in thousands):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34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52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shd w:val="clear" w:color="auto" w:fill="CCEEFF"/>
          </w:tcPr>
          <w:p>
            <w:pPr>
              <w:spacing w:after="0"/>
              <w:rPr>
                <w:sz w:val="18"/>
                <w:szCs w:val="18"/>
                <w:color w:val="auto"/>
              </w:rPr>
            </w:pPr>
          </w:p>
        </w:tc>
      </w:tr>
      <w:tr>
        <w:trPr>
          <w:trHeight w:val="216"/>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fair value to additional paid-in capital</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0" w:type="dxa"/>
            <w:vAlign w:val="bottom"/>
          </w:tcPr>
          <w:p>
            <w:pPr>
              <w:spacing w:after="0"/>
              <w:rPr>
                <w:sz w:val="18"/>
                <w:szCs w:val="18"/>
                <w:color w:val="auto"/>
              </w:rPr>
            </w:pPr>
          </w:p>
        </w:tc>
      </w:tr>
      <w:tr>
        <w:trPr>
          <w:trHeight w:val="27"/>
        </w:trPr>
        <w:tc>
          <w:tcPr>
            <w:tcW w:w="5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48"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The Company capitalizes certain legal, accounting and other third-party fees that are directly associated with in-process equity financings as other assets until such financings are consummated. After completion of the IPO in May 2015, $2,062 of these costs were recorded in stockholders’ equity (deficit) as a reduction of additional paid-in capital generated as a result of the IPO. As of December 31, 2014, the Company recorded $91 of deferred offering costs, included in other assets in the accompanying balance sheet, in contemplation of its IPO.</w:t>
      </w:r>
    </w:p>
    <w:p>
      <w:pPr>
        <w:spacing w:after="0" w:line="118" w:lineRule="exact"/>
        <w:rPr>
          <w:sz w:val="20"/>
          <w:szCs w:val="20"/>
          <w:color w:val="auto"/>
        </w:rPr>
      </w:pPr>
    </w:p>
    <w:p>
      <w:pPr>
        <w:ind w:right="660" w:firstLine="648"/>
        <w:spacing w:after="0" w:line="237" w:lineRule="auto"/>
        <w:rPr>
          <w:sz w:val="20"/>
          <w:szCs w:val="20"/>
          <w:color w:val="auto"/>
        </w:rPr>
      </w:pPr>
      <w:r>
        <w:rPr>
          <w:rFonts w:ascii="Times New Roman" w:cs="Times New Roman" w:eastAsia="Times New Roman" w:hAnsi="Times New Roman"/>
          <w:sz w:val="18"/>
          <w:szCs w:val="18"/>
          <w:color w:val="auto"/>
        </w:rPr>
        <w:t>There have been no other material changes to the significant accounting policies previously disclosed in the Company’s Prospectus.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(ASU 2014-09), which supersedes the revenue recognition requirements in ASC 605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is expected to be effective for annual reporting periods (including interim reporting periods within those years) beginning January 1, 2018; early adoption in 2017 is permitted. Companies have the option of applying this new guidance retrospectively to each prior reporting period presented or retrospectively with the cumulative effect of initially applying this update recognized at the date of initial application. The Company has not yet determined the potential effects of the adoption of this standard on its consolidated financial position, results of operations or cash flows.</w:t>
      </w:r>
    </w:p>
    <w:p>
      <w:pPr>
        <w:spacing w:after="0" w:line="117"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 xml:space="preserve">On April 7,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(ASU 2015-03),which requires debt issuance costs to be presented in the balance sheet as a direct deduction from the carrying value of the associated debt liability, consistent with the presentation of a debt discount. ASU 2015-03 will be effective for the Company on January 1, 2016, with early adoption permitted. ASU 2015-03 will be applied on a retrospective basis. The Company is currently assessing the potential impact of the adoption of ASU 2015-03 on its financial statements.</w:t>
      </w:r>
    </w:p>
    <w:p>
      <w:pPr>
        <w:spacing w:after="0" w:line="120"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In 2014, the FASB issued new guidance on management’s responsibility in evaluating whether or not there is substantial doubt about a company’s ability to continue as a going concern within one year from the date the financial statements are issued each reporting period. This new accounting guidance is effective for annual periods ending after December 15, 2016. Early adoption is permitted. The Company is in process of evaluating the new guidance and determining the expected effect on its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Restricted Cash</w:t>
      </w:r>
    </w:p>
    <w:p>
      <w:pPr>
        <w:spacing w:after="0" w:line="189" w:lineRule="exact"/>
        <w:rPr>
          <w:sz w:val="20"/>
          <w:szCs w:val="20"/>
          <w:color w:val="auto"/>
        </w:rPr>
      </w:pPr>
    </w:p>
    <w:p>
      <w:pPr>
        <w:jc w:val="both"/>
        <w:ind w:right="40" w:firstLine="648"/>
        <w:spacing w:after="0" w:line="190" w:lineRule="exact"/>
        <w:rPr>
          <w:sz w:val="20"/>
          <w:szCs w:val="20"/>
          <w:color w:val="auto"/>
        </w:rPr>
      </w:pPr>
      <w:r>
        <w:rPr>
          <w:rFonts w:ascii="Times New Roman" w:cs="Times New Roman" w:eastAsia="Times New Roman" w:hAnsi="Times New Roman"/>
          <w:sz w:val="18"/>
          <w:szCs w:val="18"/>
          <w:color w:val="auto"/>
        </w:rPr>
        <w:t>At September 30, 2015 and December 31, 2014, $1.5 million and $0.2 million, respectively, of the Company’s cash is restricted by a bank. As of September 30, 2015, $0.1 million of the restricted cash is included in current assets as collateral for a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 letter of credit issued by the Company to its landlord in connection with the lease of the Company’s corporate headquarters, which ended in October 2015. On February 12, 2015, the Company entered into a</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91" w:lineRule="exact"/>
        <w:rPr>
          <w:sz w:val="20"/>
          <w:szCs w:val="20"/>
          <w:color w:val="auto"/>
        </w:rPr>
      </w:pPr>
      <w:r>
        <w:rPr>
          <w:rFonts w:ascii="Times New Roman" w:cs="Times New Roman" w:eastAsia="Times New Roman" w:hAnsi="Times New Roman"/>
          <w:sz w:val="18"/>
          <w:szCs w:val="18"/>
          <w:color w:val="auto"/>
        </w:rPr>
        <w:t>lease for approximately 38,500 rentable square feet of office and laboratory space in Cambridge, Massachusetts, which the Company gained control over on June 15, 2015 and occupancy commenced in October 2015. The lease ends on October 31, 2022. The lease agreement required the Company to pay a security deposit of $1.3 million, which is included in long-term assets on the Company’s balance sheet as of September 30, 2015. In addition, $0.1 million of restricted cash is included 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assets related to the Company’s corporate credit card agreement as of September 30, 2015 and December 31, 2014.</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29"/>
        </w:trPr>
        <w:tc>
          <w:tcPr>
            <w:tcW w:w="4480" w:type="dxa"/>
            <w:vAlign w:val="bottom"/>
            <w:tcBorders>
              <w:bottom w:val="single" w:sz="8" w:color="CCEEFF"/>
            </w:tcBorders>
          </w:tcPr>
          <w:p>
            <w:pPr>
              <w:spacing w:after="0"/>
              <w:rPr>
                <w:sz w:val="11"/>
                <w:szCs w:val="11"/>
                <w:color w:val="auto"/>
              </w:rPr>
            </w:pPr>
          </w:p>
        </w:tc>
        <w:tc>
          <w:tcPr>
            <w:tcW w:w="19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373"/>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433"/>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 costs</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2,034</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44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3,810</w:t>
            </w:r>
          </w:p>
        </w:tc>
      </w:tr>
      <w:tr>
        <w:trPr>
          <w:trHeight w:val="27"/>
        </w:trPr>
        <w:tc>
          <w:tcPr>
            <w:tcW w:w="44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tcBorders>
              <w:right w:val="single" w:sz="8" w:color="CCEEFF"/>
            </w:tcBorders>
            <w:shd w:val="clear" w:color="auto" w:fill="000000"/>
          </w:tcPr>
          <w:p>
            <w:pPr>
              <w:spacing w:after="0"/>
              <w:rPr>
                <w:sz w:val="2"/>
                <w:szCs w:val="2"/>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Term Loan</w:t>
      </w:r>
    </w:p>
    <w:p>
      <w:pPr>
        <w:spacing w:after="0" w:line="189" w:lineRule="exact"/>
        <w:rPr>
          <w:sz w:val="20"/>
          <w:szCs w:val="20"/>
          <w:color w:val="auto"/>
        </w:rPr>
      </w:pPr>
    </w:p>
    <w:p>
      <w:pPr>
        <w:ind w:right="20" w:firstLine="648"/>
        <w:spacing w:after="0" w:line="179" w:lineRule="exact"/>
        <w:rPr>
          <w:sz w:val="20"/>
          <w:szCs w:val="20"/>
          <w:color w:val="auto"/>
        </w:rPr>
      </w:pPr>
      <w:r>
        <w:rPr>
          <w:rFonts w:ascii="Times New Roman" w:cs="Times New Roman" w:eastAsia="Times New Roman" w:hAnsi="Times New Roman"/>
          <w:sz w:val="18"/>
          <w:szCs w:val="18"/>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April 1, 2014, and consecutive monthly payments of principal, plus accrued interest, over the remaining term through March 2017. In June 2014, the Company drew the remaining $2.0 million advance under the 2013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is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w:t>
      </w:r>
    </w:p>
    <w:p>
      <w:pPr>
        <w:spacing w:after="0" w:line="163" w:lineRule="exact"/>
        <w:rPr>
          <w:sz w:val="20"/>
          <w:szCs w:val="20"/>
          <w:color w:val="auto"/>
        </w:rPr>
      </w:pPr>
    </w:p>
    <w:p>
      <w:pPr>
        <w:ind w:right="180" w:firstLine="648"/>
        <w:spacing w:after="0" w:line="191" w:lineRule="exact"/>
        <w:rPr>
          <w:sz w:val="20"/>
          <w:szCs w:val="20"/>
          <w:color w:val="auto"/>
        </w:rPr>
      </w:pPr>
      <w:r>
        <w:rPr>
          <w:rFonts w:ascii="Times New Roman" w:cs="Times New Roman" w:eastAsia="Times New Roman" w:hAnsi="Times New Roman"/>
          <w:sz w:val="18"/>
          <w:szCs w:val="18"/>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 based on scheduled principal payments.</w:t>
      </w:r>
    </w:p>
    <w:p>
      <w:pPr>
        <w:spacing w:after="0" w:line="141"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The Company assessed all terms and features of the 2013 Term Loan and the 2014 Term Loan in order to identify any potential embedded features that would require bifurcation. As part of this analysis, the Company assessed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18"/>
          <w:szCs w:val="18"/>
          <w:color w:val="auto"/>
        </w:rPr>
        <w:t>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58"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Future minimum payments, which include principal and interest due under each of the 2013 Term Loan and the 2014 Term Loan, are $0.7 million, in the aggregate, for the remainder of 2015.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Warrants</w:t>
      </w:r>
    </w:p>
    <w:p>
      <w:pPr>
        <w:spacing w:after="0" w:line="189" w:lineRule="exact"/>
        <w:rPr>
          <w:sz w:val="20"/>
          <w:szCs w:val="20"/>
          <w:color w:val="auto"/>
        </w:rPr>
      </w:pPr>
    </w:p>
    <w:p>
      <w:pPr>
        <w:ind w:right="120" w:firstLine="648"/>
        <w:spacing w:after="0" w:line="191" w:lineRule="exact"/>
        <w:rPr>
          <w:sz w:val="20"/>
          <w:szCs w:val="20"/>
          <w:color w:val="auto"/>
        </w:rPr>
      </w:pPr>
      <w:r>
        <w:rPr>
          <w:rFonts w:ascii="Times New Roman" w:cs="Times New Roman" w:eastAsia="Times New Roman" w:hAnsi="Times New Roman"/>
          <w:sz w:val="18"/>
          <w:szCs w:val="18"/>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 Both warrants were exercisable immediately and have a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life.</w:t>
      </w:r>
    </w:p>
    <w:p>
      <w:pPr>
        <w:spacing w:after="0" w:line="141" w:lineRule="exact"/>
        <w:rPr>
          <w:sz w:val="20"/>
          <w:szCs w:val="20"/>
          <w:color w:val="auto"/>
        </w:rPr>
      </w:pPr>
    </w:p>
    <w:p>
      <w:pPr>
        <w:ind w:right="60" w:firstLine="648"/>
        <w:spacing w:after="0" w:line="188" w:lineRule="exact"/>
        <w:rPr>
          <w:sz w:val="20"/>
          <w:szCs w:val="20"/>
          <w:color w:val="auto"/>
        </w:rPr>
      </w:pPr>
      <w:r>
        <w:rPr>
          <w:rFonts w:ascii="Times New Roman" w:cs="Times New Roman" w:eastAsia="Times New Roman" w:hAnsi="Times New Roman"/>
          <w:sz w:val="18"/>
          <w:szCs w:val="18"/>
          <w:color w:val="auto"/>
        </w:rPr>
        <w:t>The Company initially valued the Series A Warrant and the Series B Warrant at issuance and at the balance sheet dates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significant assumptions used in estimating the fair value of the warrants include the volatility of the stock underlying the warrant,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estimated fair value of the preferred stock underlying the warrant, and the estimated term of the warrant. The fair value of the preferred stock underlying the warrants was estimated using the implied value from the common stock valuations on those dates.</w:t>
      </w:r>
    </w:p>
    <w:p>
      <w:pPr>
        <w:spacing w:after="0" w:line="158" w:lineRule="exact"/>
        <w:rPr>
          <w:sz w:val="20"/>
          <w:szCs w:val="20"/>
          <w:color w:val="auto"/>
        </w:rPr>
      </w:pPr>
    </w:p>
    <w:p>
      <w:pPr>
        <w:ind w:right="60" w:firstLine="648"/>
        <w:spacing w:after="0" w:line="188" w:lineRule="exact"/>
        <w:rPr>
          <w:sz w:val="20"/>
          <w:szCs w:val="20"/>
          <w:color w:val="auto"/>
        </w:rPr>
      </w:pPr>
      <w:r>
        <w:rPr>
          <w:rFonts w:ascii="Times New Roman" w:cs="Times New Roman" w:eastAsia="Times New Roman" w:hAnsi="Times New Roman"/>
          <w:sz w:val="18"/>
          <w:szCs w:val="18"/>
          <w:color w:val="auto"/>
        </w:rPr>
        <w:t>In accordance with ASC 480, the characteristics of these warrants and the rights and privileges of the underlying preferred stock resulted in the classification of these warrants as a liability and were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measured to 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then current fair value at each balance sheet date.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gains or losses were recorded in other income (expense) in the statements of operations. Changes in the fair value of the warrants represented a recurring measurement that was classified within Level 3 of the fair value hierarchy wherein fair value is estimated using significant unobservable inputs.</w:t>
      </w:r>
    </w:p>
    <w:p>
      <w:pPr>
        <w:spacing w:after="0" w:line="130"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The Company used the following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assumptions in its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Series A Warrant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Series B Warrant</w:t>
            </w:r>
          </w:p>
        </w:tc>
      </w:tr>
      <w:tr>
        <w:trPr>
          <w:trHeight w:val="171"/>
        </w:trPr>
        <w:tc>
          <w:tcPr>
            <w:tcW w:w="3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73"/>
        </w:trPr>
        <w:tc>
          <w:tcPr>
            <w:tcW w:w="378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240" w:type="dxa"/>
            <w:vAlign w:val="bottom"/>
            <w:tcBorders>
              <w:bottom w:val="single" w:sz="8" w:color="CCEEFF"/>
            </w:tcBorders>
          </w:tcPr>
          <w:p>
            <w:pPr>
              <w:spacing w:after="0"/>
              <w:rPr>
                <w:sz w:val="15"/>
                <w:szCs w:val="15"/>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instrument</w:t>
            </w:r>
          </w:p>
        </w:tc>
        <w:tc>
          <w:tcPr>
            <w:tcW w:w="14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1.97</w:t>
            </w:r>
          </w:p>
        </w:tc>
        <w:tc>
          <w:tcPr>
            <w:tcW w:w="2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89.98 %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80.70 %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87.38 %</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87.18 %</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2.24 %</w:t>
            </w: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2.36 %</w:t>
            </w:r>
          </w:p>
        </w:tc>
      </w:tr>
      <w:tr>
        <w:trPr>
          <w:trHeight w:val="176"/>
        </w:trPr>
        <w:tc>
          <w:tcPr>
            <w:tcW w:w="37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Expected dividend yield</w:t>
            </w: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 %</w:t>
            </w: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a debt discount upon issuance of the warrants, which is being accreted as interest expense</w:t>
      </w:r>
    </w:p>
    <w:p>
      <w:pPr>
        <w:spacing w:after="0" w:line="2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over the remaining term of the loan. The Company recorded interest expense related to the Series A Warrant and the Series B Warrant of less than $0.1 million in each of the nine months ended September 30, 2015 and 2014.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Upon completion of the IPO, the Series A Warrant became exercisable for 27,272 shares of the common stock at an exercise price of $5.50 per share, and the Series B Warrant became exercisable for 15,151 shares of the common stock at an exercise price of $6.60 per share. On the date of the conversion of the warrants, the Company revalued the outstanding warrants using the Black-Scholes option pricing model with the following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 Warrant</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B Warrant</w:t>
            </w:r>
          </w:p>
        </w:tc>
        <w:tc>
          <w:tcPr>
            <w:tcW w:w="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71"/>
        </w:trPr>
        <w:tc>
          <w:tcPr>
            <w:tcW w:w="4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May 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May 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3"/>
        </w:trPr>
        <w:tc>
          <w:tcPr>
            <w:tcW w:w="440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instrument</w:t>
            </w:r>
          </w:p>
        </w:tc>
        <w:tc>
          <w:tcPr>
            <w:tcW w:w="204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91.58 %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87.75 %</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w:t>
            </w:r>
          </w:p>
        </w:tc>
      </w:tr>
      <w:tr>
        <w:trPr>
          <w:trHeight w:val="176"/>
        </w:trPr>
        <w:tc>
          <w:tcPr>
            <w:tcW w:w="44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Expected dividend yield</w:t>
            </w:r>
          </w:p>
        </w:tc>
        <w:tc>
          <w:tcPr>
            <w:tcW w:w="1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gridSpan w:val="3"/>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 %</w:t>
            </w:r>
          </w:p>
        </w:tc>
      </w:tr>
    </w:tbl>
    <w:p>
      <w:pPr>
        <w:spacing w:after="0" w:line="144"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18"/>
          <w:szCs w:val="18"/>
          <w:color w:val="auto"/>
        </w:rPr>
        <w:t>The fair value of the warrants at May 5, 2015 was $0.8 million. The Company recorded other expense of $0.4 million in the statement of operations during the nine months ended September 30, 2015 equal to the change in fair value of the warrants from December 31, 2014 to May 5, 2015. The Company reclassified the fair value of the warrants at May 5, 2015, of $0.8 million, to additional paid-in capital.</w:t>
      </w:r>
    </w:p>
    <w:p>
      <w:pPr>
        <w:spacing w:after="0" w:line="119"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to Silicon Valley Bank. Warrants to purchase 5,991 shares of common stock were cancelled as payment for the aggregate exercise price of the Series A Warrant to Silicon Valley Bank.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 Awards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and Incentive Plan</w:t>
      </w:r>
    </w:p>
    <w:p>
      <w:pPr>
        <w:spacing w:after="0" w:line="148"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8"/>
          <w:szCs w:val="18"/>
          <w:color w:val="auto"/>
        </w:rPr>
        <w:t>On April 8, 2015, the 2015 Stock Option and Incentive Plan (the Plan) was adopted by the board of directors and approved by the stockholders and became effective upon the completion of the IPO. The Plan replaced the Company’s 2011 Stock Option and Grant Plan, as amended (the 2011 Plan). Any options or awards outstanding under the 2011 Plan remain outstanding and effective. The Plan provides the Company flexibility to use various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incentive and other awards as compensation tools to motivate its workforce. These tools include incentive stock options (ISO), nonstatutory stock options (NSO), stock appreciation rights, restricted stock, restricted stock units, unrestricted stock, performance share awards and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The Company initially reserved 1,460,084 shares of common stock for the issuance of awards under the Plan, which will be cumulatively increased on January 1 of each calendar year by 4% of the number of shares of common stock issued and outstanding on the immediately preceding December 31 or such lesser amount as specified by the compensation committee of the board of directors. This number is subject to adjustment in the event of a stock split, stock dividend or other change in our capitalization. At September 30, 2015, there were 1,379,432 shares available for future grant under the Plan. ISOs may not be granted at less than fair value on the date of the grant. Furthermore, the exercise price of ISOs granted to an employee, who at the time of grant is a 10% shareholder, may not be less than 110% of the fair value on the date of grant.</w:t>
      </w:r>
    </w:p>
    <w:p>
      <w:pPr>
        <w:spacing w:after="0" w:line="163"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Terms of restricted stock awards and stock option agreements, including vesting requirements, are determined by the board of directors or compensation committee of the board of directors, subject to the provisions of the applicable plan. Options and restricted stock awards granted by the Company generally vest ratably over four years, with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cliff for new employee awards, and are exercisable from the date of grant for a period of ten years. For options and restricted stock awards granted prior to the IPO, the exercise price equaled the estimated fair value of the common stock as determined by the board of directors on the date of grant. The dates of the Company’s contemporaneous valuations have not always coincided with the dates of the stock option grants. For financial reporting purposes, the Company performed common stock valuations with the assistance of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specialist, as of January 6, 2014, July 30, 2014, November 10, 2014, February 1, 2015 and March 1, 2015 to determine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based compensation expense. Upon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completion of the IPO, the fair value of the common stock on the grant date was based on the closing price of the stock on the date of grant.</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unvested restricted stock and related information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5020" w:type="dxa"/>
            <w:vAlign w:val="bottom"/>
          </w:tcPr>
          <w:p>
            <w:pPr>
              <w:spacing w:after="0"/>
              <w:rPr>
                <w:sz w:val="12"/>
                <w:szCs w:val="12"/>
                <w:color w:val="auto"/>
              </w:rPr>
            </w:pPr>
          </w:p>
        </w:tc>
        <w:tc>
          <w:tcPr>
            <w:tcW w:w="7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50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425,279</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Granted</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(203,056)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Repurchased</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September 30, 2015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right="60" w:firstLine="648"/>
        <w:spacing w:after="0" w:line="183" w:lineRule="exact"/>
        <w:rPr>
          <w:sz w:val="20"/>
          <w:szCs w:val="20"/>
          <w:color w:val="auto"/>
        </w:rPr>
      </w:pPr>
      <w:r>
        <w:rPr>
          <w:rFonts w:ascii="Times New Roman" w:cs="Times New Roman" w:eastAsia="Times New Roman" w:hAnsi="Times New Roman"/>
          <w:sz w:val="18"/>
          <w:szCs w:val="18"/>
          <w:color w:val="auto"/>
        </w:rPr>
        <w:t>The Company has granted restricted stock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which contain both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criteria.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associated with these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is recognized if the performance condition is considered probable of achievement using management’s best estimates. In the nine months ended September 30, 2014 management concluded that the milestones associated with 90,909 shares of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were probable of achievement, and the Company began to record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using the accelerated attribution method, accordingly. The Company recorded $0.1 million and $0.2 million of stock-based compensation expense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in the three and nine months end September 30, 2014, respectively. In the three months ended December 31, 2014, management concluded that the milestones associated with an additional 90,909 shares of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were probable of achievement, and the Company began to record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using the accelerated attribution method accordingly. The Company recorded $1.2 million of stock-based compensation expense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based awards in the nine months ended September 30, 2015 related to both milestone achievements.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6"/>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Value(2)</w:t>
            </w:r>
          </w:p>
        </w:tc>
      </w:tr>
      <w:tr>
        <w:trPr>
          <w:trHeight w:val="173"/>
        </w:trPr>
        <w:tc>
          <w:tcPr>
            <w:tcW w:w="53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bottom w:val="single" w:sz="8" w:color="CCEEFF"/>
            </w:tcBorders>
          </w:tcPr>
          <w:p>
            <w:pPr>
              <w:spacing w:after="0"/>
              <w:rPr>
                <w:sz w:val="15"/>
                <w:szCs w:val="15"/>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1,501,912</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(124,400)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0"/>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1,870,415</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0"/>
        </w:trPr>
        <w:tc>
          <w:tcPr>
            <w:tcW w:w="53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Exercisable at September 30, 2015</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418,243</w:t>
            </w:r>
          </w:p>
        </w:tc>
        <w:tc>
          <w:tcPr>
            <w:tcW w:w="280" w:type="dxa"/>
            <w:vAlign w:val="bottom"/>
            <w:tcBorders>
              <w:bottom w:val="single" w:sz="8" w:color="CCEEFF"/>
            </w:tcBorders>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7.50</w:t>
            </w:r>
          </w:p>
        </w:tc>
        <w:tc>
          <w:tcPr>
            <w:tcW w:w="260" w:type="dxa"/>
            <w:vAlign w:val="bottom"/>
            <w:tcBorders>
              <w:bottom w:val="single" w:sz="8" w:color="CCEEFF"/>
            </w:tcBorders>
            <w:gridSpan w:val="2"/>
          </w:tcPr>
          <w:p>
            <w:pPr>
              <w:ind w:lef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7,719</w:t>
            </w:r>
          </w:p>
        </w:tc>
        <w:tc>
          <w:tcPr>
            <w:tcW w:w="60" w:type="dxa"/>
            <w:vAlign w:val="bottom"/>
            <w:tcBorders>
              <w:bottom w:val="single" w:sz="8" w:color="CCEEFF"/>
            </w:tcBorders>
          </w:tcPr>
          <w:p>
            <w:pPr>
              <w:spacing w:after="0"/>
              <w:rPr>
                <w:sz w:val="18"/>
                <w:szCs w:val="18"/>
                <w:color w:val="auto"/>
              </w:rPr>
            </w:pPr>
          </w:p>
        </w:tc>
      </w:tr>
      <w:tr>
        <w:trPr>
          <w:trHeight w:val="223"/>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2015(1)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1,777,920</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28,860</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3" w:lineRule="exact"/>
        <w:rPr>
          <w:sz w:val="20"/>
          <w:szCs w:val="20"/>
          <w:color w:val="auto"/>
        </w:rPr>
      </w:pPr>
    </w:p>
    <w:p>
      <w:pPr>
        <w:ind w:left="220" w:right="120" w:hanging="215"/>
        <w:spacing w:after="0" w:line="237" w:lineRule="auto"/>
        <w:rPr>
          <w:sz w:val="20"/>
          <w:szCs w:val="20"/>
          <w:color w:val="auto"/>
        </w:rPr>
      </w:pPr>
      <w:r>
        <w:rPr>
          <w:rFonts w:ascii="Times New Roman" w:cs="Times New Roman" w:eastAsia="Times New Roman" w:hAnsi="Times New Roman"/>
          <w:sz w:val="18"/>
          <w:szCs w:val="18"/>
          <w:color w:val="auto"/>
        </w:rPr>
        <w:t>(1)Represents the number of vested options as of September 30, 2015, plus the number of unvested options expected to vest as of September 30, 2015 based on a forfeiture rate of 2.5%.</w:t>
      </w:r>
    </w:p>
    <w:p>
      <w:pPr>
        <w:spacing w:after="0" w:line="158" w:lineRule="exact"/>
        <w:rPr>
          <w:sz w:val="20"/>
          <w:szCs w:val="20"/>
          <w:color w:val="auto"/>
        </w:rPr>
      </w:pPr>
    </w:p>
    <w:p>
      <w:pPr>
        <w:ind w:left="220" w:right="100" w:hanging="215"/>
        <w:spacing w:after="0" w:line="237" w:lineRule="auto"/>
        <w:rPr>
          <w:sz w:val="20"/>
          <w:szCs w:val="20"/>
          <w:color w:val="auto"/>
        </w:rPr>
      </w:pPr>
      <w:r>
        <w:rPr>
          <w:rFonts w:ascii="Times New Roman" w:cs="Times New Roman" w:eastAsia="Times New Roman" w:hAnsi="Times New Roman"/>
          <w:sz w:val="18"/>
          <w:szCs w:val="18"/>
          <w:color w:val="auto"/>
        </w:rPr>
        <w:t>(2)Intrinsic value represents the amount by which the fair market value as of September 30, 2015 of the underlying common stock exceeds the exercise price of the option.</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based on the following weighted average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266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5"/>
                <w:szCs w:val="15"/>
                <w:color w:val="auto"/>
              </w:rPr>
            </w:pPr>
          </w:p>
        </w:tc>
      </w:tr>
      <w:tr>
        <w:trPr>
          <w:trHeight w:val="169"/>
        </w:trPr>
        <w:tc>
          <w:tcPr>
            <w:tcW w:w="3440" w:type="dxa"/>
            <w:vAlign w:val="bottom"/>
          </w:tcPr>
          <w:p>
            <w:pPr>
              <w:spacing w:after="0"/>
              <w:rPr>
                <w:sz w:val="14"/>
                <w:szCs w:val="14"/>
                <w:color w:val="auto"/>
              </w:rPr>
            </w:pPr>
          </w:p>
        </w:tc>
        <w:tc>
          <w:tcPr>
            <w:tcW w:w="14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 2014</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 2015</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September 30, 2014</w:t>
            </w: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176"/>
        </w:trPr>
        <w:tc>
          <w:tcPr>
            <w:tcW w:w="3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r>
      <w:tr>
        <w:trPr>
          <w:trHeight w:val="24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81.85 %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90.95 %</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85.59 %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91.01 %</w:t>
            </w:r>
          </w:p>
        </w:tc>
      </w:tr>
    </w:tbl>
    <w:p>
      <w:pPr>
        <w:spacing w:after="0" w:line="88" w:lineRule="exact"/>
        <w:rPr>
          <w:sz w:val="20"/>
          <w:szCs w:val="20"/>
          <w:color w:val="auto"/>
        </w:rPr>
      </w:pPr>
    </w:p>
    <w:p>
      <w:pPr>
        <w:ind w:right="40" w:firstLine="648"/>
        <w:spacing w:after="0" w:line="197" w:lineRule="exact"/>
        <w:rPr>
          <w:sz w:val="20"/>
          <w:szCs w:val="20"/>
          <w:color w:val="auto"/>
        </w:rPr>
      </w:pPr>
      <w:r>
        <w:rPr>
          <w:rFonts w:ascii="Times New Roman" w:cs="Times New Roman" w:eastAsia="Times New Roman" w:hAnsi="Times New Roman"/>
          <w:sz w:val="18"/>
          <w:szCs w:val="18"/>
          <w:color w:val="auto"/>
        </w:rPr>
        <w:t>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grant date fair value of options granted in the nine months ended September 30, 2015 and 2014 was $8.22 and $3.23, respectively. The total intrinsic value of options exercised in the three and nine months ended September 30, 2015 was $4.2 million and $4.7 million, respectively. The total intrinsic value of options exercised in the three and nine months ended September 30, 2014 was less than $0.1 million.</w:t>
      </w:r>
    </w:p>
    <w:p>
      <w:pPr>
        <w:spacing w:after="0" w:line="132" w:lineRule="exact"/>
        <w:rPr>
          <w:sz w:val="20"/>
          <w:szCs w:val="20"/>
          <w:color w:val="auto"/>
        </w:rPr>
      </w:pPr>
    </w:p>
    <w:p>
      <w:pPr>
        <w:ind w:right="200" w:firstLine="648"/>
        <w:spacing w:after="0" w:line="220"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in the statements of operations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4"/>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4"/>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56"/>
        </w:trPr>
        <w:tc>
          <w:tcPr>
            <w:tcW w:w="434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329</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1,618</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642</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2,367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545</w:t>
            </w: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971</w:t>
            </w: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3,985</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1,026</w:t>
            </w:r>
          </w:p>
        </w:tc>
      </w:tr>
      <w:tr>
        <w:trPr>
          <w:trHeight w:val="27"/>
        </w:trPr>
        <w:tc>
          <w:tcPr>
            <w:tcW w:w="4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r>
    </w:tbl>
    <w:p>
      <w:pPr>
        <w:spacing w:after="0" w:line="144" w:lineRule="exact"/>
        <w:rPr>
          <w:sz w:val="20"/>
          <w:szCs w:val="20"/>
          <w:color w:val="auto"/>
        </w:rPr>
      </w:pPr>
    </w:p>
    <w:p>
      <w:pPr>
        <w:ind w:right="160" w:firstLine="648"/>
        <w:spacing w:after="0" w:line="190" w:lineRule="exact"/>
        <w:rPr>
          <w:sz w:val="20"/>
          <w:szCs w:val="20"/>
          <w:color w:val="auto"/>
        </w:rPr>
      </w:pPr>
      <w:r>
        <w:rPr>
          <w:rFonts w:ascii="Times New Roman" w:cs="Times New Roman" w:eastAsia="Times New Roman" w:hAnsi="Times New Roman"/>
          <w:sz w:val="18"/>
          <w:szCs w:val="18"/>
          <w:color w:val="auto"/>
        </w:rPr>
        <w:t>At September 30, 2015, there was $8.3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2.75 years. Due to an operating loss, the Company does not record tax benefits associated with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or option exercises. Tax benefit will be recorded when realized.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148"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On April 8, 2015, the Company’s stockholders approved the 2015 Employee Stock Purchase Plan. A total of 243,347 shares of common stock were initially authorized for issuance under this plan. The 2015 Employee Stock Purchase Plan became effective upon the completion of the IPO. As of September 30, 2015, the first offering under the 2015 Employee Stock Purchase Plan has not occurred.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Loss per Share Applicable to Common Stockholders</w:t>
      </w:r>
    </w:p>
    <w:p>
      <w:pPr>
        <w:spacing w:after="0" w:line="108"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dilutive; therefore, basic and diluted net loss per share applicable to common stockholders were the same for all periods presented as a result of the Company’s net loss. The following common stock equivalents were excluded from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15" w:lineRule="exact"/>
        <w:rPr>
          <w:sz w:val="20"/>
          <w:szCs w:val="20"/>
          <w:color w:val="auto"/>
        </w:rPr>
      </w:pPr>
      <w:r>
        <w:rPr>
          <w:rFonts w:ascii="Times New Roman" w:cs="Times New Roman" w:eastAsia="Times New Roman" w:hAnsi="Times New Roman"/>
          <w:sz w:val="18"/>
          <w:szCs w:val="18"/>
          <w:color w:val="auto"/>
        </w:rPr>
        <w:t>the calculation of diluted net loss per share applicable to common stockholders for the periods indicated because including them would have had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effect.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28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9"/>
        </w:trPr>
        <w:tc>
          <w:tcPr>
            <w:tcW w:w="678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11,075,750</w:t>
            </w:r>
          </w:p>
        </w:tc>
        <w:tc>
          <w:tcPr>
            <w:tcW w:w="240" w:type="dxa"/>
            <w:vAlign w:val="bottom"/>
            <w:shd w:val="clear" w:color="auto" w:fill="CCEEFF"/>
          </w:tcPr>
          <w:p>
            <w:pPr>
              <w:spacing w:after="0"/>
              <w:rPr>
                <w:sz w:val="18"/>
                <w:szCs w:val="18"/>
                <w:color w:val="auto"/>
              </w:rPr>
            </w:pPr>
          </w:p>
        </w:tc>
      </w:tr>
      <w:tr>
        <w:trPr>
          <w:trHeight w:val="216"/>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w:t>
            </w:r>
          </w:p>
        </w:tc>
        <w:tc>
          <w:tcPr>
            <w:tcW w:w="240" w:type="dxa"/>
            <w:vAlign w:val="bottom"/>
          </w:tcPr>
          <w:p>
            <w:pPr>
              <w:spacing w:after="0"/>
              <w:rPr>
                <w:sz w:val="18"/>
                <w:szCs w:val="18"/>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1,870,415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1,492,029</w:t>
            </w:r>
          </w:p>
        </w:tc>
        <w:tc>
          <w:tcPr>
            <w:tcW w:w="240" w:type="dxa"/>
            <w:vAlign w:val="bottom"/>
            <w:shd w:val="clear" w:color="auto" w:fill="CCEEFF"/>
          </w:tcPr>
          <w:p>
            <w:pPr>
              <w:spacing w:after="0"/>
              <w:rPr>
                <w:sz w:val="18"/>
                <w:szCs w:val="18"/>
                <w:color w:val="auto"/>
              </w:rPr>
            </w:pPr>
          </w:p>
        </w:tc>
      </w:tr>
      <w:tr>
        <w:trPr>
          <w:trHeight w:val="216"/>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200,122</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554,290</w:t>
            </w:r>
          </w:p>
        </w:tc>
        <w:tc>
          <w:tcPr>
            <w:tcW w:w="240" w:type="dxa"/>
            <w:vAlign w:val="bottom"/>
            <w:tcBorders>
              <w:bottom w:val="single" w:sz="8" w:color="CCEEFF"/>
            </w:tcBorders>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2,070,537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13,149,341</w:t>
            </w:r>
          </w:p>
        </w:tc>
        <w:tc>
          <w:tcPr>
            <w:tcW w:w="240" w:type="dxa"/>
            <w:vAlign w:val="bottom"/>
            <w:shd w:val="clear" w:color="auto" w:fill="CCEEFF"/>
          </w:tcPr>
          <w:p>
            <w:pPr>
              <w:spacing w:after="0"/>
              <w:rPr>
                <w:sz w:val="18"/>
                <w:szCs w:val="18"/>
                <w:color w:val="auto"/>
              </w:rPr>
            </w:pPr>
          </w:p>
        </w:tc>
      </w:tr>
    </w:tbl>
    <w:p>
      <w:pPr>
        <w:spacing w:after="0" w:line="139" w:lineRule="exact"/>
        <w:rPr>
          <w:sz w:val="20"/>
          <w:szCs w:val="20"/>
          <w:color w:val="auto"/>
        </w:rPr>
      </w:pPr>
    </w:p>
    <w:p>
      <w:pPr>
        <w:ind w:right="220" w:firstLine="648"/>
        <w:spacing w:after="0" w:line="215" w:lineRule="auto"/>
        <w:rPr>
          <w:sz w:val="20"/>
          <w:szCs w:val="20"/>
          <w:color w:val="auto"/>
        </w:rPr>
      </w:pPr>
      <w:r>
        <w:rPr>
          <w:rFonts w:ascii="Times New Roman" w:cs="Times New Roman" w:eastAsia="Times New Roman" w:hAnsi="Times New Roman"/>
          <w:sz w:val="20"/>
          <w:szCs w:val="20"/>
          <w:color w:val="auto"/>
        </w:rPr>
        <w:t>The weighted average number of common shares used in net loss per share applicable to common stockholders on a basic and diluted basis were 26,835,277 and 1,453,032 for the three months ended September 30, 2015 and 2014, respectively and 15,297,907 and 1,370,722 for the nine months ended September 30, 2015 and 2014,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Collaboration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Alexion</w:t>
      </w:r>
    </w:p>
    <w:p>
      <w:pPr>
        <w:spacing w:after="0" w:line="187" w:lineRule="exact"/>
        <w:rPr>
          <w:sz w:val="20"/>
          <w:szCs w:val="20"/>
          <w:color w:val="auto"/>
        </w:rPr>
      </w:pPr>
    </w:p>
    <w:p>
      <w:pPr>
        <w:ind w:right="100" w:firstLine="648"/>
        <w:spacing w:after="0" w:line="188" w:lineRule="exact"/>
        <w:rPr>
          <w:sz w:val="20"/>
          <w:szCs w:val="20"/>
          <w:color w:val="auto"/>
        </w:rPr>
      </w:pPr>
      <w:r>
        <w:rPr>
          <w:rFonts w:ascii="Times New Roman" w:cs="Times New Roman" w:eastAsia="Times New Roman" w:hAnsi="Times New Roman"/>
          <w:sz w:val="18"/>
          <w:szCs w:val="18"/>
          <w:color w:val="auto"/>
        </w:rPr>
        <w:t>In March 2015, the Company entered into a research, development and commercialization agreement with Alexion to research, develop and commercialize drug candidates for an undisclosed activated kinase target, which is the cause of a rare genetic disease. Under the terms of this agreement, the Company is responsible for research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clinical development activities related to drug candidates and Alexion is responsible for all clinical development, manufacturing and commercialization activities related to drug candidates.</w:t>
      </w:r>
    </w:p>
    <w:p>
      <w:pPr>
        <w:spacing w:after="0" w:line="158" w:lineRule="exact"/>
        <w:rPr>
          <w:sz w:val="20"/>
          <w:szCs w:val="20"/>
          <w:color w:val="auto"/>
        </w:rPr>
      </w:pPr>
    </w:p>
    <w:p>
      <w:pPr>
        <w:ind w:right="60" w:firstLine="648"/>
        <w:spacing w:after="0" w:line="180" w:lineRule="exact"/>
        <w:rPr>
          <w:sz w:val="20"/>
          <w:szCs w:val="20"/>
          <w:color w:val="auto"/>
        </w:rPr>
      </w:pPr>
      <w:r>
        <w:rPr>
          <w:rFonts w:ascii="Times New Roman" w:cs="Times New Roman" w:eastAsia="Times New Roman" w:hAnsi="Times New Roman"/>
          <w:sz w:val="18"/>
          <w:szCs w:val="18"/>
          <w:color w:val="auto"/>
        </w:rPr>
        <w:t>Alexion is responsible for funding 100% of the Company’s research and development costs incurred under the research plan, including pass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costs and a negotiated yearly rate per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equivalent for its employees’ time and their associated overhead expenses. The Company received a $15.0 million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refundable upfront payment in March 2015 upon execution of the agreement and is eligible to receive over $250.0 million in payments upon the successful achievement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clinical, regulatory and commercial milestones as follows: (i) up to $6.0 million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to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double digit percentages,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and licensed-product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expire valid claim of specified patents covering such licensed product, (ii) the expiration of the applicable regulatory exclusivity period, and (iii) 10 or 15 years from specified commercial sales. There are no refund provisions in the agreement.</w:t>
      </w:r>
    </w:p>
    <w:p>
      <w:pPr>
        <w:spacing w:after="0" w:line="163"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Alexion has the right to terminate the Alexion agreement if the Company undergoes a change of control or becomes an affiliate of a biotechnology or pharmaceutical company, and may terminate the agreement at will upon 90 days prior written notice. The Company and Alexion have the right to terminate the agreement in the event of the other party’s uncured breach or insolvency, and in certain other circumstances agreed to by the parties</w:t>
      </w:r>
    </w:p>
    <w:p>
      <w:pPr>
        <w:spacing w:after="0" w:line="159"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18"/>
          <w:szCs w:val="18"/>
          <w:color w:val="auto"/>
        </w:rPr>
        <w:t>The Company determined that there were three deliverables under the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5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activities and JSC and JPT participation are a single unit of accounting. When multiple deliverables are accounted for as a single unit of accounting, the Company bases its revenue recognition model on the final deliverable. Under the agreement, the last deliverable to be completed is its research and development activities and participation on the JSC and JPT, which are expected to be delivered over the same performance period. The Company is utilizing a proportional performance model to recognize revenue under the agreement.</w:t>
      </w:r>
    </w:p>
    <w:p>
      <w:pPr>
        <w:spacing w:after="0" w:line="118" w:lineRule="exact"/>
        <w:rPr>
          <w:sz w:val="20"/>
          <w:szCs w:val="20"/>
          <w:color w:val="auto"/>
        </w:rPr>
      </w:pPr>
    </w:p>
    <w:p>
      <w:pPr>
        <w:ind w:right="220" w:firstLine="648"/>
        <w:spacing w:after="0" w:line="214" w:lineRule="auto"/>
        <w:rPr>
          <w:sz w:val="20"/>
          <w:szCs w:val="20"/>
          <w:color w:val="auto"/>
        </w:rPr>
      </w:pPr>
      <w:r>
        <w:rPr>
          <w:rFonts w:ascii="Times New Roman" w:cs="Times New Roman" w:eastAsia="Times New Roman" w:hAnsi="Times New Roman"/>
          <w:sz w:val="18"/>
          <w:szCs w:val="18"/>
          <w:color w:val="auto"/>
        </w:rPr>
        <w:t>The Company evaluated whether the milestones that may be received in connection with the agreement are substantive or non-substantive milestones. The Company concluded that the first pre-clinical milestone in the agreement is non-substantive due to the certainty at the date the arrangement was entered into that the event will be achieved. Once the milestone is achieved, the Company will recognize revenues from the related milestone payment over the period of performance. In May 2015, the Company achieved the first pre-clinical milestone under the agreement and received $1.75 million payment from Alexion in the second quarter of 2015.</w:t>
      </w:r>
    </w:p>
    <w:p>
      <w:pPr>
        <w:spacing w:after="0" w:line="122" w:lineRule="exact"/>
        <w:rPr>
          <w:sz w:val="20"/>
          <w:szCs w:val="20"/>
          <w:color w:val="auto"/>
        </w:rPr>
      </w:pPr>
    </w:p>
    <w:p>
      <w:pPr>
        <w:ind w:right="100" w:firstLine="648"/>
        <w:spacing w:after="0" w:line="213" w:lineRule="auto"/>
        <w:rPr>
          <w:sz w:val="20"/>
          <w:szCs w:val="20"/>
          <w:color w:val="auto"/>
        </w:rPr>
      </w:pPr>
      <w:r>
        <w:rPr>
          <w:rFonts w:ascii="Times New Roman" w:cs="Times New Roman" w:eastAsia="Times New Roman" w:hAnsi="Times New Roman"/>
          <w:sz w:val="18"/>
          <w:szCs w:val="18"/>
          <w:color w:val="auto"/>
        </w:rPr>
        <w:t>The remaining non-refundable pre-clinical milestones that are expected to be achieved as a result of the Company's efforts during the period of substantial involvement are considered substantive and are recognized as revenue upon the achievement of the milestone, assuming all other revenue recognition criteria are met. Milestones that are not considered substantive because the Company does not contribute effort to the achievement of such milestones are generally achieved after the period of substantial involvement and are recognized as revenue upon achievement of the milestone, as there are no undelivered elements remaining and no continuing performance obligations, assuming all other revenue recognition criteria are met.</w:t>
      </w:r>
    </w:p>
    <w:p>
      <w:pPr>
        <w:spacing w:after="0" w:line="119"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During the three and nine months ended September 30, 2015, the Company recognized revenue under the Alexion agreement of $3.4 million and $6.8 million, respectively.</w:t>
      </w:r>
    </w:p>
    <w:p>
      <w:pPr>
        <w:spacing w:after="0" w:line="26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10. Related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Party Transactions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received consulting and management services from one of its investors, Third Rock</w:t>
      </w:r>
    </w:p>
    <w:p>
      <w:pPr>
        <w:spacing w:after="0" w:line="218" w:lineRule="auto"/>
        <w:rPr>
          <w:sz w:val="20"/>
          <w:szCs w:val="20"/>
          <w:color w:val="auto"/>
        </w:rPr>
      </w:pPr>
      <w:r>
        <w:rPr>
          <w:rFonts w:ascii="Times New Roman" w:cs="Times New Roman" w:eastAsia="Times New Roman" w:hAnsi="Times New Roman"/>
          <w:sz w:val="18"/>
          <w:szCs w:val="18"/>
          <w:color w:val="auto"/>
        </w:rPr>
        <w:t>Ventures LLC (Third Rock Ventures). The Company paid Third Rock Ventures $0.3 million for these services during the nine months ended September 30, 2014. The Company did not receive any consulting services from Third Rock Ventures during the nine months ended September 30, 2015.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89"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18"/>
          <w:szCs w:val="18"/>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$2,312,000, which rises periodically until it reaches approximately $2,760,000. The Company is recording rent expense on a straight-line basis through the end of the lease term. The Company has recorded deferred rent on the condensed consolidated balance sheet at September 30, 2015, accordingly. The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sheets. The lease agreement required the Company to pay a security deposit of $1.3 million, which is recorded in restricted cash on the Company’s balance sheet.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financial statements and related notes appearing elsewhere in this Quarterly Report on Form 10-Q and the audited financial information and the notes thereto included in our final prospectus for our initial public offering, or IPO, filed pursuant to Rule 424(b)(4) under the Securities Act of 1933, as amended, or the Securities Act, with the Securities and Exchange Commission, or the SEC, on April 30, 2015, or the Prospectus.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firstLine="648"/>
        <w:spacing w:after="0" w:line="182" w:lineRule="exact"/>
        <w:rPr>
          <w:sz w:val="20"/>
          <w:szCs w:val="20"/>
          <w:color w:val="auto"/>
        </w:rPr>
      </w:pPr>
      <w:r>
        <w:rPr>
          <w:rFonts w:ascii="Times New Roman" w:cs="Times New Roman" w:eastAsia="Times New Roman" w:hAnsi="Times New Roman"/>
          <w:sz w:val="18"/>
          <w:szCs w:val="18"/>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four years, we have developed a robust small molecule drug pipeline in cancer and a rare genetic disease. One of our lead drug candidates is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which targets KIT Exon 17 and PDGFRα D842V, abnormally active receptor tyrosine kinase mutants that are drivers of cancer and proliferative disorders.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is currently being developed for patients with systemic mastocytosis, or SM, a myeloproliferative disorder of the mast cells, and defined subsets of patients with gastrointestinal stromal tumor, or GIST, the most common sarcoma, or tumor of bone or connective tissue, of the gastrointestinal tract. Our other lead drug candidate is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which targets FGFR4, a kinase that is aberrantly activated and is a driver of disease in a defined subset of patients with hepatocellular carcinoma, or HCC, the most common type of liver cancer. Both drug candidates have demonstrated proof of concept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models.</w:t>
      </w:r>
    </w:p>
    <w:p>
      <w:pPr>
        <w:spacing w:after="0" w:line="138"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In July 2015, the U.S. Food and Drug Administration, or FDA, accepted our Investigational New Drug, or IND, application for BLU-285 for the treatment of unresectable, treatment-resistant GIST. We have initiated a dose-escalation Phase 1 clinical trial for this indication and are currently enrolling patients in this clinical trial. In September 2015, the FDA accepted our IND application to begin a Phase 1 clinical trial for BLU-285 for the treatment of advanced SM, and we are in the process of initiating clinical sites. In June 2015, the FDA accepted our IND application for BLU-554 for the treatment of advanced HCC and cholangiocarcinoma. We have initiated a dose-escalation Phase 1 clinical trial for these indications and are currently enrolling patients in this clinical trial. In addition, in September 2015, the FDA granted orphan drug designation to BLU-554 for the treatment of HCC.</w:t>
      </w:r>
    </w:p>
    <w:p>
      <w:pPr>
        <w:spacing w:after="0" w:line="158" w:lineRule="exact"/>
        <w:rPr>
          <w:sz w:val="20"/>
          <w:szCs w:val="20"/>
          <w:color w:val="auto"/>
        </w:rPr>
      </w:pPr>
    </w:p>
    <w:p>
      <w:pPr>
        <w:ind w:right="60" w:firstLine="648"/>
        <w:spacing w:after="0" w:line="182" w:lineRule="exact"/>
        <w:rPr>
          <w:sz w:val="20"/>
          <w:szCs w:val="20"/>
          <w:color w:val="auto"/>
        </w:rPr>
      </w:pPr>
      <w:r>
        <w:rPr>
          <w:rFonts w:ascii="Times New Roman" w:cs="Times New Roman" w:eastAsia="Times New Roman" w:hAnsi="Times New Roman"/>
          <w:sz w:val="18"/>
          <w:szCs w:val="18"/>
          <w:color w:val="auto"/>
        </w:rPr>
        <w:t>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RET is a key disease driver in multiple cancers. In pre-clinical studies, our drug candidate BLU6864, induced tumor regression in disease models driven by the primary RET fusion and all predicted secondary on-target resistance mutations. In addition, we have identified predicted resistance mutations in the neurotrophic tyrosine receptor kinase, or NTRK, some of which have recently been clinically observed by others, and we are advancing compounds that inhibit NTRK and resistant mutants into preclinical safety studies. Leveraging our proprietary compound library, we also plan to conduct discovery efforts focused on kinases as therapeutic targets in tumor immunity. We believe that our strategy will allow us to deliver transformative drugs to patients while building a fully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integrated biopharmaceutical company.</w:t>
      </w:r>
    </w:p>
    <w:p>
      <w:pPr>
        <w:spacing w:after="0" w:line="161" w:lineRule="exact"/>
        <w:rPr>
          <w:sz w:val="20"/>
          <w:szCs w:val="20"/>
          <w:color w:val="auto"/>
        </w:rPr>
      </w:pPr>
    </w:p>
    <w:p>
      <w:pPr>
        <w:jc w:val="both"/>
        <w:ind w:right="320" w:firstLine="648"/>
        <w:spacing w:after="0" w:line="226"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20"/>
        <w:spacing w:after="0" w:line="205" w:lineRule="exact"/>
        <w:rPr>
          <w:sz w:val="20"/>
          <w:szCs w:val="20"/>
          <w:color w:val="auto"/>
        </w:rPr>
      </w:pPr>
      <w:r>
        <w:rPr>
          <w:rFonts w:ascii="Times New Roman" w:cs="Times New Roman" w:eastAsia="Times New Roman" w:hAnsi="Times New Roman"/>
          <w:sz w:val="18"/>
          <w:szCs w:val="18"/>
          <w:color w:val="auto"/>
        </w:rPr>
        <w:t>and drug product material for use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conducting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including Good Laboratory Practice, or GLP, toxicology studies and preparing to commence planned clinical development activities. We do not have any drugs approved for sale and have not generated any revenue from drug sales.</w:t>
      </w:r>
    </w:p>
    <w:p>
      <w:pPr>
        <w:spacing w:after="0" w:line="158"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In May 2015, we completed an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We received gross proceeds of $168.6 million before deducting underwriting discounts and commissions and offering costs payable by us. To date, we have financed our operations primarily through our IPO, private placements of our convertible preferred stock and, to a lesser extent, the research, development and commercialization agreement, or Alexion agreement, that we entered into in March 2015 with Alexion Pharma Holding, or Alexion, and a debt financing. Through September 30, 2015, we have received an aggregate of $310.5 million from such transactions, including $168.6 million in gross proceeds from our IPO, $115.1 million in gross proceeds from the issuance of convertible preferred stock, $16.8 million of upfront and milestone payments from Alexion and $10.0 million in gross proceeds from the debt financing.</w:t>
      </w:r>
    </w:p>
    <w:p>
      <w:pPr>
        <w:spacing w:after="0" w:line="161" w:lineRule="exact"/>
        <w:rPr>
          <w:sz w:val="20"/>
          <w:szCs w:val="20"/>
          <w:color w:val="auto"/>
        </w:rPr>
      </w:pPr>
    </w:p>
    <w:p>
      <w:pPr>
        <w:ind w:right="220" w:firstLine="648"/>
        <w:spacing w:after="0" w:line="217"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$37.2 million for the nine months ended September 30, 2015, $40.3 million for the year ended December 31, 2014 and $20.9 million for the year ended December 31, 2013. As of September 30, 2015, we had an accumulated deficit of $119.4 million. We expect to continue to incur significant expenses and operating losses over the next several years. We anticipate that our expenses will increase significantly in connection with our ongoing activities, particularly as we:</w:t>
      </w:r>
    </w:p>
    <w:p>
      <w:pPr>
        <w:spacing w:after="0" w:line="3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·continue the planned clinical development activities for our lead drug candidates, BLU-285 and BLU-554;</w:t>
      </w:r>
    </w:p>
    <w:p>
      <w:pPr>
        <w:spacing w:after="0" w:line="200" w:lineRule="exact"/>
        <w:rPr>
          <w:sz w:val="20"/>
          <w:szCs w:val="20"/>
          <w:color w:val="auto"/>
        </w:rPr>
      </w:pPr>
    </w:p>
    <w:p>
      <w:pPr>
        <w:spacing w:after="0" w:line="2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·continue to discover, validate and develop additional drug candidates, including BLU6864;</w:t>
      </w:r>
    </w:p>
    <w:p>
      <w:pPr>
        <w:spacing w:after="0" w:line="200" w:lineRule="exact"/>
        <w:rPr>
          <w:sz w:val="20"/>
          <w:szCs w:val="20"/>
          <w:color w:val="auto"/>
        </w:rPr>
      </w:pPr>
    </w:p>
    <w:p>
      <w:pPr>
        <w:spacing w:after="0" w:line="201" w:lineRule="exact"/>
        <w:rPr>
          <w:sz w:val="20"/>
          <w:szCs w:val="20"/>
          <w:color w:val="auto"/>
        </w:rPr>
      </w:pPr>
    </w:p>
    <w:p>
      <w:pPr>
        <w:ind w:left="1060" w:hanging="85"/>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development and business personnel;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180" w:lineRule="exact"/>
        <w:rPr>
          <w:rFonts w:ascii="Times New Roman" w:cs="Times New Roman" w:eastAsia="Times New Roman" w:hAnsi="Times New Roman"/>
          <w:sz w:val="18"/>
          <w:szCs w:val="18"/>
          <w:color w:val="auto"/>
        </w:rPr>
      </w:pPr>
    </w:p>
    <w:p>
      <w:pPr>
        <w:ind w:left="3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Collaboration with Alexion</w:t>
      </w:r>
    </w:p>
    <w:p>
      <w:pPr>
        <w:spacing w:after="0" w:line="189"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In March 2015, we entered into the Alexion agreement to research, develop and commercialize drug candidates for an undisclosed activated kinase target, which is the cause of a rare genetic disease. Under the terms of this agreement, we are responsible for research and pre-clinical development activities related to drug candidates and Alexion is responsible for all clinical development, manufacturing and commercialization activities related to drug candidates.</w:t>
      </w:r>
    </w:p>
    <w:p>
      <w:pPr>
        <w:spacing w:after="0" w:line="15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Alexion is responsible for funding 100% of our research and development costs incurred under the research plan, including pass-through costs and a negotiated yearly rate per full-time equivalent for our employees’ time and their associated overhead expenses. We received a $15.0 million non-refundable upfront payment in March 2015 upon execution of the agreement and are eligible to receive over $250.0 million in payments upon the successful achievement of pre-specified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We received a $1.75 million payment from Alexion in the second quarter of 2015 upon the achievement of the first pre-clinical milestone under the agreement. Alexion will pay us tiered royalties, ranging from mid-single to low-double digit percentages, on a country-by-country and licensed-product-by-licensed-product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Alexion has the right to terminate the Alexion agreement if we undergo a change of control or become an affiliate of a biotechnology or pharmaceutical company, and may terminate the agreement at will upon 90 days’ prior written notice. We and Alexion have the right to terminate the Alexion agreement in the event of the other party’s uncured breach or insolvency, and in certain other circumstances agreed to by the parties.</w:t>
      </w:r>
    </w:p>
    <w:p>
      <w:pPr>
        <w:spacing w:after="0" w:line="159"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During the three and nine months ended September 30, 2015, we recognized revenue under the Alexion agreement of $3.4 million and $6.8 million, respectively.</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To date, we have not generated any revenue from drug sales and do not expect to generate any revenue from the sale of drugs in the near future. Our revenue consists of collaboration revenue under the Alexion agreement, including amounts that are recognized related to an upfront payment, milestone payment and amounts due to us for research and development services. In the future, revenue may include additional milestone payments earned under the collaboration agreement and royalties on any net product sales.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59" w:lineRule="exact"/>
        <w:rPr>
          <w:sz w:val="20"/>
          <w:szCs w:val="20"/>
          <w:color w:val="auto"/>
        </w:rPr>
      </w:pPr>
    </w:p>
    <w:p>
      <w:pPr>
        <w:ind w:right="900" w:firstLine="648"/>
        <w:spacing w:after="0" w:line="237" w:lineRule="auto"/>
        <w:rPr>
          <w:sz w:val="20"/>
          <w:szCs w:val="20"/>
          <w:color w:val="auto"/>
        </w:rPr>
      </w:pPr>
      <w:r>
        <w:rPr>
          <w:rFonts w:ascii="Times New Roman" w:cs="Times New Roman" w:eastAsia="Times New Roman" w:hAnsi="Times New Roman"/>
          <w:sz w:val="18"/>
          <w:szCs w:val="18"/>
          <w:color w:val="auto"/>
        </w:rPr>
        <w:t>In the future, we will seek to generate revenue from a combination of drug sales and additional strategic relationships we may enter into.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drug candidates, which include:</w:t>
      </w:r>
    </w:p>
    <w:p>
      <w:pPr>
        <w:spacing w:after="0" w:line="130" w:lineRule="exact"/>
        <w:rPr>
          <w:sz w:val="20"/>
          <w:szCs w:val="20"/>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including salaries,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185" w:lineRule="exact"/>
        <w:rPr>
          <w:sz w:val="20"/>
          <w:szCs w:val="20"/>
          <w:color w:val="auto"/>
        </w:rPr>
      </w:pPr>
    </w:p>
    <w:p>
      <w:pPr>
        <w:ind w:left="1020" w:right="360" w:hanging="53"/>
        <w:spacing w:after="0" w:line="220" w:lineRule="exact"/>
        <w:rPr>
          <w:sz w:val="20"/>
          <w:szCs w:val="20"/>
          <w:color w:val="auto"/>
        </w:rPr>
      </w:pPr>
      <w:r>
        <w:rPr>
          <w:rFonts w:ascii="Times New Roman" w:cs="Times New Roman" w:eastAsia="Times New Roman" w:hAnsi="Times New Roman"/>
          <w:sz w:val="18"/>
          <w:szCs w:val="18"/>
          <w:color w:val="auto"/>
        </w:rPr>
        <w:t>·expenses incurred under agreements with third parties that conduct research and development,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activities, clinical activities and manufacturing on our behalf;</w:t>
      </w:r>
    </w:p>
    <w:p>
      <w:pPr>
        <w:spacing w:after="0" w:line="158" w:lineRule="exact"/>
        <w:rPr>
          <w:sz w:val="20"/>
          <w:szCs w:val="20"/>
          <w:color w:val="auto"/>
        </w:rPr>
      </w:pPr>
    </w:p>
    <w:p>
      <w:pPr>
        <w:ind w:left="1220" w:hanging="245"/>
        <w:spacing w:after="0"/>
        <w:tabs>
          <w:tab w:leader="none" w:pos="1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w:t>
      </w:r>
    </w:p>
    <w:p>
      <w:pPr>
        <w:spacing w:after="0" w:line="156" w:lineRule="exact"/>
        <w:rPr>
          <w:sz w:val="20"/>
          <w:szCs w:val="20"/>
          <w:color w:val="auto"/>
        </w:rPr>
      </w:pPr>
    </w:p>
    <w:p>
      <w:pPr>
        <w:ind w:left="1020" w:right="520" w:hanging="53"/>
        <w:spacing w:after="0" w:line="220" w:lineRule="exact"/>
        <w:rPr>
          <w:sz w:val="20"/>
          <w:szCs w:val="20"/>
          <w:color w:val="auto"/>
        </w:rPr>
      </w:pPr>
      <w:r>
        <w:rPr>
          <w:rFonts w:ascii="Times New Roman" w:cs="Times New Roman" w:eastAsia="Times New Roman" w:hAnsi="Times New Roman"/>
          <w:sz w:val="18"/>
          <w:szCs w:val="18"/>
          <w:color w:val="auto"/>
        </w:rPr>
        <w:t>·the cost of lab supplies and acquiring, developing and manufacturing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study and clinical trial materials; and</w:t>
      </w:r>
    </w:p>
    <w:p>
      <w:pPr>
        <w:spacing w:after="0" w:line="158" w:lineRule="exact"/>
        <w:rPr>
          <w:sz w:val="20"/>
          <w:szCs w:val="20"/>
          <w:color w:val="auto"/>
        </w:rPr>
      </w:pPr>
    </w:p>
    <w:p>
      <w:pPr>
        <w:ind w:left="1020" w:right="820" w:hanging="53"/>
        <w:spacing w:after="0" w:line="237" w:lineRule="auto"/>
        <w:rPr>
          <w:sz w:val="20"/>
          <w:szCs w:val="20"/>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w:t>
      </w:r>
    </w:p>
    <w:p>
      <w:pPr>
        <w:spacing w:after="0" w:line="15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159" w:lineRule="exact"/>
        <w:rPr>
          <w:sz w:val="20"/>
          <w:szCs w:val="20"/>
          <w:color w:val="auto"/>
        </w:rPr>
      </w:pPr>
    </w:p>
    <w:p>
      <w:pPr>
        <w:jc w:val="both"/>
        <w:ind w:right="80" w:firstLine="648"/>
        <w:spacing w:after="0" w:line="226"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20"/>
        <w:spacing w:after="0" w:line="237" w:lineRule="auto"/>
        <w:rPr>
          <w:sz w:val="20"/>
          <w:szCs w:val="20"/>
          <w:color w:val="auto"/>
        </w:rPr>
      </w:pPr>
      <w:r>
        <w:rPr>
          <w:rFonts w:ascii="Times New Roman" w:cs="Times New Roman" w:eastAsia="Times New Roman" w:hAnsi="Times New Roman"/>
          <w:sz w:val="18"/>
          <w:szCs w:val="18"/>
          <w:color w:val="auto"/>
        </w:rPr>
        <w:t>inflows will commence from our drug candidates. This is due to the numerous risks and uncertainties associated with developing drugs, including the uncertainty of:</w:t>
      </w:r>
    </w:p>
    <w:p>
      <w:pPr>
        <w:spacing w:after="0" w:line="130" w:lineRule="exact"/>
        <w:rPr>
          <w:sz w:val="20"/>
          <w:szCs w:val="20"/>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·establishing an appropriate safety profile with 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enabling toxicology studies;</w:t>
      </w:r>
    </w:p>
    <w:p>
      <w:pPr>
        <w:spacing w:after="0" w:line="213" w:lineRule="exact"/>
        <w:rPr>
          <w:sz w:val="20"/>
          <w:szCs w:val="20"/>
          <w:color w:val="auto"/>
        </w:rPr>
      </w:pPr>
    </w:p>
    <w:p>
      <w:pPr>
        <w:ind w:left="1060" w:hanging="85"/>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56" w:lineRule="exact"/>
        <w:rPr>
          <w:sz w:val="20"/>
          <w:szCs w:val="20"/>
          <w:color w:val="auto"/>
        </w:rPr>
      </w:pPr>
    </w:p>
    <w:p>
      <w:pPr>
        <w:ind w:left="980" w:right="20"/>
        <w:spacing w:after="0" w:line="359" w:lineRule="exact"/>
        <w:rPr>
          <w:sz w:val="20"/>
          <w:szCs w:val="20"/>
          <w:color w:val="auto"/>
        </w:rPr>
      </w:pPr>
      <w:r>
        <w:rPr>
          <w:rFonts w:ascii="Times New Roman" w:cs="Times New Roman" w:eastAsia="Times New Roman" w:hAnsi="Times New Roman"/>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·obtaining and maintaining patent and trade secret protection and regulatory exclusivity for our drug candidates; ·commercializing the drug candidates, if and when approved, whether alone or in collaboration with others; and · continued acceptable safety profile of the drugs following approval.</w:t>
      </w:r>
    </w:p>
    <w:p>
      <w:pPr>
        <w:spacing w:after="0" w:line="160"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158" w:lineRule="exact"/>
        <w:rPr>
          <w:sz w:val="20"/>
          <w:szCs w:val="20"/>
          <w:color w:val="auto"/>
        </w:rPr>
      </w:pPr>
    </w:p>
    <w:p>
      <w:pPr>
        <w:ind w:right="200" w:firstLine="648"/>
        <w:spacing w:after="0" w:line="182" w:lineRule="exact"/>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58"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A significant portion of our research and development costs have been external costs, which we track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program basis following nomination as a development candidate. Our internal research and development costs are primarily personnel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including stock-based compensation expense. We do not track our internal research and development expenses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program basis as they are deployed across multiple projects under development. The following table summarizes our external research and development expenses, by program for the three and nine months ended September 30, 2015 and 2014.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development candidate expenses, unallocated costs and internal research and development costs have been classified separately.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4"/>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4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29"/>
        </w:trPr>
        <w:tc>
          <w:tcPr>
            <w:tcW w:w="4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8"/>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8"/>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53"/>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156"/>
        </w:trPr>
        <w:tc>
          <w:tcPr>
            <w:tcW w:w="4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4"/>
          </w:tcPr>
          <w:p>
            <w:pPr>
              <w:jc w:val="center"/>
              <w:ind w:right="11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center"/>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BLU-285 external costs</w:t>
            </w: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2,499</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BLU-554 external costs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costs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9,902</w:t>
            </w:r>
          </w:p>
        </w:tc>
      </w:tr>
      <w:tr>
        <w:trPr>
          <w:trHeight w:val="21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6,282</w:t>
            </w:r>
          </w:p>
        </w:tc>
      </w:tr>
      <w:tr>
        <w:trPr>
          <w:trHeight w:val="210"/>
        </w:trPr>
        <w:tc>
          <w:tcPr>
            <w:tcW w:w="4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20,511</w:t>
            </w:r>
          </w:p>
        </w:tc>
      </w:tr>
      <w:tr>
        <w:trPr>
          <w:trHeight w:val="27"/>
        </w:trPr>
        <w:tc>
          <w:tcPr>
            <w:tcW w:w="46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r>
    </w:tbl>
    <w:p>
      <w:pPr>
        <w:spacing w:after="0" w:line="184"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The substantial increase in external costs associated with BLU-285 and BLU-554 for the three and nine months ended September 30, 2015 over the three and nine months ended September 30, 2014 was due to the progression of our lead drug candidates, BLU-285 and BLU-554, into clinical development.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58" w:lineRule="exact"/>
        <w:rPr>
          <w:sz w:val="20"/>
          <w:szCs w:val="20"/>
          <w:color w:val="auto"/>
        </w:rPr>
      </w:pPr>
    </w:p>
    <w:p>
      <w:pPr>
        <w:ind w:right="160" w:firstLine="648"/>
        <w:spacing w:after="0" w:line="194" w:lineRule="exact"/>
        <w:rPr>
          <w:sz w:val="20"/>
          <w:szCs w:val="20"/>
          <w:color w:val="auto"/>
        </w:rPr>
      </w:pPr>
      <w:r>
        <w:rPr>
          <w:rFonts w:ascii="Times New Roman" w:cs="Times New Roman" w:eastAsia="Times New Roman" w:hAnsi="Times New Roman"/>
          <w:sz w:val="17"/>
          <w:szCs w:val="17"/>
          <w:color w:val="auto"/>
        </w:rPr>
        <w:t>General and administrative expenses consist primarily of salaries and other related costs, including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for personnel in executive, finance, accounting, business development, legal and human resources functions.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includes expense associated with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awards issued to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employees, including directors for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board related services. Other significant costs include facility costs not otherwise included in research and development expenses, legal fees relating to patent and corporate matters and fees for accounting and consulting services.</w:t>
      </w:r>
    </w:p>
    <w:p>
      <w:pPr>
        <w:spacing w:after="0" w:line="157" w:lineRule="exact"/>
        <w:rPr>
          <w:sz w:val="20"/>
          <w:szCs w:val="20"/>
          <w:color w:val="auto"/>
        </w:rPr>
      </w:pPr>
    </w:p>
    <w:p>
      <w:pPr>
        <w:ind w:firstLine="648"/>
        <w:spacing w:after="0" w:line="191" w:lineRule="exact"/>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continued research and development activities, including the initiation of our clinical trials and increased costs of operating as a public company. These increases will likely include increased costs related to the hiring of additional personnel and fees to outside consultants, among other expenses. We also anticipate increased expenses associated with being a public company, including costs for audit, legal, regulatory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services, director and officer insurance premiums and investor relations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58" w:lineRule="exact"/>
        <w:rPr>
          <w:sz w:val="20"/>
          <w:szCs w:val="20"/>
          <w:color w:val="auto"/>
        </w:rPr>
      </w:pPr>
    </w:p>
    <w:p>
      <w:pPr>
        <w:ind w:right="80" w:firstLine="648"/>
        <w:spacing w:after="0" w:line="197" w:lineRule="exact"/>
        <w:rPr>
          <w:sz w:val="20"/>
          <w:szCs w:val="20"/>
          <w:color w:val="auto"/>
        </w:rPr>
      </w:pPr>
      <w:r>
        <w:rPr>
          <w:rFonts w:ascii="Times New Roman" w:cs="Times New Roman" w:eastAsia="Times New Roman" w:hAnsi="Times New Roman"/>
          <w:sz w:val="18"/>
          <w:szCs w:val="18"/>
          <w:color w:val="auto"/>
        </w:rPr>
        <w:t>Other income (expense) consists primarily of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gain or loss associated with the change in the fair value of the convertible preferred stock warrant liability and interest expense on amounts outstanding under a loan and security agreement, or Loan and Security Agreement, that we entered into with Silicon Valley Bank in May 2013, and amortization of debt discount.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Our critical accounting policies are those policies which require the most significant judgments and estimates in the preparation of our financial statements. Management has determined that our most critical accounting policies are those relating to revenue recognition, accrued research and development expenses and stock-based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400" w:firstLine="648"/>
        <w:spacing w:after="0" w:line="226" w:lineRule="auto"/>
        <w:rPr>
          <w:sz w:val="20"/>
          <w:szCs w:val="20"/>
          <w:color w:val="auto"/>
        </w:rPr>
      </w:pPr>
      <w:r>
        <w:rPr>
          <w:rFonts w:ascii="Times New Roman" w:cs="Times New Roman" w:eastAsia="Times New Roman" w:hAnsi="Times New Roman"/>
          <w:sz w:val="18"/>
          <w:szCs w:val="18"/>
          <w:color w:val="auto"/>
        </w:rPr>
        <w:t xml:space="preserve">We recognize revenue from license and collaboration agreements in accordance with Financial Accounting Standards Board, or FASB, Accounting Standards Codification, or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or ASC 605. Accordingly, revenue is recognized when all of the following criteria are met:</w:t>
      </w:r>
    </w:p>
    <w:p>
      <w:pPr>
        <w:spacing w:after="0" w:line="158" w:lineRule="exact"/>
        <w:rPr>
          <w:sz w:val="20"/>
          <w:szCs w:val="20"/>
          <w:color w:val="auto"/>
        </w:rPr>
      </w:pPr>
    </w:p>
    <w:p>
      <w:pPr>
        <w:ind w:left="1100" w:hanging="125"/>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rendered;</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price to the buyer is fixed or determinable; and</w:t>
      </w:r>
    </w:p>
    <w:p>
      <w:pPr>
        <w:spacing w:after="0" w:line="184"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185" w:lineRule="exact"/>
        <w:rPr>
          <w:sz w:val="20"/>
          <w:szCs w:val="20"/>
          <w:color w:val="auto"/>
        </w:rPr>
      </w:pPr>
    </w:p>
    <w:p>
      <w:pPr>
        <w:ind w:right="340" w:firstLine="648"/>
        <w:spacing w:after="0" w:line="220"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recognized as deferred revenue in our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59"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Our revenue is currently generated through our collaboration agreement with Alexion. The terms of this agreement contain multiple elements, or deliverables, including an exclusive license granted by us to Alexion to research, develop, manufacture and commercialize the licensed products and the compounds in the field in the territory, as well as research and development activities to be performed by us on behalf of Alexion related to the licensed product candidates. In addition, the terms of this agreement include payments to us of one or more of the following: a</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8"/>
          <w:szCs w:val="18"/>
          <w:color w:val="auto"/>
        </w:rPr>
        <w:t>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we have received the upfront payment upon execution of the agreement, payment for the achievement of the first pre-clinical milestone under the agreement and payments for certain research and development services. We have not received any other milestone payments under the agreement or earned royalty revenue as a result of product sales.</w:t>
      </w:r>
    </w:p>
    <w:p>
      <w:pPr>
        <w:spacing w:after="0" w:line="162" w:lineRule="exact"/>
        <w:rPr>
          <w:sz w:val="20"/>
          <w:szCs w:val="20"/>
          <w:color w:val="auto"/>
        </w:rPr>
      </w:pPr>
    </w:p>
    <w:p>
      <w:pPr>
        <w:ind w:right="40" w:firstLine="648"/>
        <w:spacing w:after="0" w:line="207" w:lineRule="auto"/>
        <w:rPr>
          <w:sz w:val="20"/>
          <w:szCs w:val="20"/>
          <w:color w:val="auto"/>
        </w:rPr>
      </w:pPr>
      <w:r>
        <w:rPr>
          <w:rFonts w:ascii="Times New Roman" w:cs="Times New Roman" w:eastAsia="Times New Roman" w:hAnsi="Times New Roman"/>
          <w:sz w:val="18"/>
          <w:szCs w:val="18"/>
          <w:color w:val="auto"/>
        </w:rPr>
        <w:t>When evaluating multiple element arrangements, we consider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our control. In assessing whether an item has stand-alone value, we consider factors such as the research, manufacturing and commercialization capabilities of the collaboration partner and the availability of the associated expertise in the general marketplace. In addition, we consider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Our collaboration agreement with Alexion does not contain a general right of return relative to the delivered item(s).</w:t>
      </w:r>
    </w:p>
    <w:p>
      <w:pPr>
        <w:spacing w:after="0" w:line="16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vendor-specific objective evidence, or VSOE, of selling price, if available, third-party evidence, or TPE, of selling price if VSOE is not available, or best estimate of selling price, or BESP, if neither VSOE nor TPE is available. We typically use BESP to estimate the selling price, since it generally does not have VSOE or TPE of selling price for its units of accounting. Determining the BESP for a unit of accounting requires significant judgment. In developing the BESP for a unit of accounting, we consider applicable market conditions and relevant entity-specific factors, including factors that were contemplated in negotiating the agreement with the customer and estimated costs. We validate the BESP for units of accounting by evaluating whether changes in the key assumptions used to determine the BESP will have a significant effect on the allocation of arrangement consideration between multiple units of accounting.</w:t>
      </w:r>
    </w:p>
    <w:p>
      <w:pPr>
        <w:spacing w:after="0" w:line="166" w:lineRule="exact"/>
        <w:rPr>
          <w:sz w:val="20"/>
          <w:szCs w:val="20"/>
          <w:color w:val="auto"/>
        </w:rPr>
      </w:pPr>
    </w:p>
    <w:p>
      <w:pPr>
        <w:ind w:right="120" w:firstLine="648"/>
        <w:spacing w:after="0" w:line="210" w:lineRule="auto"/>
        <w:rPr>
          <w:sz w:val="20"/>
          <w:szCs w:val="20"/>
          <w:color w:val="auto"/>
        </w:rPr>
      </w:pPr>
      <w:r>
        <w:rPr>
          <w:rFonts w:ascii="Times New Roman" w:cs="Times New Roman" w:eastAsia="Times New Roman" w:hAnsi="Times New Roman"/>
          <w:sz w:val="18"/>
          <w:szCs w:val="18"/>
          <w:color w:val="auto"/>
        </w:rPr>
        <w:t>In the event that an element of a multiple element arrangement does not represent a separate unit of accounting, we recognize revenue from the combined element over the period over which we expect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we recognize revenue under the arrangement using the proportional performance method. If there is no discernible pattern of performance and/or objectively measurable performance measures do not exist, then we recognize revenue under the arrangement on a straight-line basis over the period we are expected to complete our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multiple-element revenue arrangements may include the following: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Licenses</w:t>
      </w:r>
    </w:p>
    <w:p>
      <w:pPr>
        <w:spacing w:after="0" w:line="187"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The deliverables under our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We may recognize the arrangement consideration allocated to licenses upon delivery of the license if facts and circumstances indicate that the license has stand-alone value from the undelivered elements, which generally include research and development services. We defer arrangement consideration allocated to licenses if facts and circumstances indicate that the delivered license does not have stand-alone value from the undelivered elements.</w:t>
      </w:r>
    </w:p>
    <w:p>
      <w:pPr>
        <w:spacing w:after="0" w:line="158"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When management believes a license does not have stand-alone value from the other deliverables to be provided in the arrangement, we recognize revenue attributed to the license on a proportional basis over our contractual or estimated performance period, which is typically the term of our research and development obligations. If management cannot reasonably estimate when our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Services</w:t>
      </w:r>
    </w:p>
    <w:p>
      <w:pPr>
        <w:spacing w:after="0" w:line="187"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18"/>
          <w:szCs w:val="18"/>
          <w:color w:val="auto"/>
        </w:rPr>
        <w:t>The deliverables under our collaboration agreements may include research and development services to be performed by us on behalf of the partner. Payments or reimbursements resulting from our research and development efforts are recognized as the services are performed and presented on a gross basis because we are the principal for such efforts, so long as there is persuasive evidence of an arrangement, the fee is fixed or determinable, and collection of the related amount is reasonably assured.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Revenue</w:t>
      </w:r>
    </w:p>
    <w:p>
      <w:pPr>
        <w:spacing w:after="0" w:line="187" w:lineRule="exact"/>
        <w:rPr>
          <w:sz w:val="20"/>
          <w:szCs w:val="20"/>
          <w:color w:val="auto"/>
        </w:rPr>
      </w:pPr>
    </w:p>
    <w:p>
      <w:pPr>
        <w:ind w:right="780" w:firstLine="648"/>
        <w:spacing w:after="0" w:line="237" w:lineRule="auto"/>
        <w:rPr>
          <w:sz w:val="20"/>
          <w:szCs w:val="20"/>
          <w:color w:val="auto"/>
        </w:rPr>
      </w:pPr>
      <w:r>
        <w:rPr>
          <w:rFonts w:ascii="Times New Roman" w:cs="Times New Roman" w:eastAsia="Times New Roman" w:hAnsi="Times New Roman"/>
          <w:sz w:val="18"/>
          <w:szCs w:val="18"/>
          <w:color w:val="auto"/>
        </w:rPr>
        <w:t>Our collaboration agreements may include contingent milestone payments related to specified pre-clinical milestones, development milestones and sales-based commercial milestones.</w:t>
      </w:r>
    </w:p>
    <w:p>
      <w:pPr>
        <w:spacing w:after="0" w:line="158" w:lineRule="exact"/>
        <w:rPr>
          <w:sz w:val="20"/>
          <w:szCs w:val="20"/>
          <w:color w:val="auto"/>
        </w:rPr>
      </w:pPr>
    </w:p>
    <w:p>
      <w:pPr>
        <w:ind w:right="460" w:firstLine="648"/>
        <w:spacing w:after="0" w:line="226" w:lineRule="auto"/>
        <w:rPr>
          <w:sz w:val="20"/>
          <w:szCs w:val="20"/>
          <w:color w:val="auto"/>
        </w:rPr>
      </w:pPr>
      <w:r>
        <w:rPr>
          <w:rFonts w:ascii="Times New Roman" w:cs="Times New Roman" w:eastAsia="Times New Roman" w:hAnsi="Times New Roman"/>
          <w:sz w:val="18"/>
          <w:szCs w:val="18"/>
          <w:color w:val="auto"/>
        </w:rPr>
        <w:t>At the inception of an arrangement that includes milestone payments, we evaluate whether each milestone is substantive and at risk to both parties on the basis of the contingent nature of the milestone. This evaluation includes an assessment of whether:</w:t>
      </w:r>
    </w:p>
    <w:p>
      <w:pPr>
        <w:spacing w:after="0" w:line="158" w:lineRule="exact"/>
        <w:rPr>
          <w:sz w:val="20"/>
          <w:szCs w:val="20"/>
          <w:color w:val="auto"/>
        </w:rPr>
      </w:pPr>
    </w:p>
    <w:p>
      <w:pPr>
        <w:ind w:left="1020" w:right="40" w:hanging="53"/>
        <w:spacing w:after="0" w:line="226" w:lineRule="auto"/>
        <w:rPr>
          <w:sz w:val="20"/>
          <w:szCs w:val="20"/>
          <w:color w:val="auto"/>
        </w:rPr>
      </w:pPr>
      <w:r>
        <w:rPr>
          <w:rFonts w:ascii="Times New Roman" w:cs="Times New Roman" w:eastAsia="Times New Roman" w:hAnsi="Times New Roman"/>
          <w:sz w:val="18"/>
          <w:szCs w:val="18"/>
          <w:color w:val="auto"/>
        </w:rPr>
        <w:t>·the consideration is commensurate with either our performance to achieve the milestone or the enhancement of the value of the delivered item(s) as a result of a specific outcome resulting from the our performance to achieve the milestone;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the consideration relates solely to past performance; and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consideration is reasonable relative to all of the deliverables and payment terms within the arrangement.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evaluate factors such as the scientific, clinical, regulatory, commercial and other risks that must be overcome to</w:t>
      </w:r>
    </w:p>
    <w:p>
      <w:pPr>
        <w:spacing w:after="0" w:line="203" w:lineRule="auto"/>
        <w:rPr>
          <w:sz w:val="20"/>
          <w:szCs w:val="20"/>
          <w:color w:val="auto"/>
        </w:rPr>
      </w:pPr>
      <w:r>
        <w:rPr>
          <w:rFonts w:ascii="Times New Roman" w:cs="Times New Roman" w:eastAsia="Times New Roman" w:hAnsi="Times New Roman"/>
          <w:sz w:val="18"/>
          <w:szCs w:val="18"/>
          <w:color w:val="auto"/>
        </w:rPr>
        <w:t>achieve the respective milestone and the level of effort and investment required to achieve the respective milestone in making</w:t>
      </w:r>
    </w:p>
    <w:p>
      <w:pPr>
        <w:spacing w:after="0" w:line="204" w:lineRule="auto"/>
        <w:rPr>
          <w:sz w:val="20"/>
          <w:szCs w:val="20"/>
          <w:color w:val="auto"/>
        </w:rPr>
      </w:pPr>
      <w:r>
        <w:rPr>
          <w:rFonts w:ascii="Times New Roman" w:cs="Times New Roman" w:eastAsia="Times New Roman" w:hAnsi="Times New Roman"/>
          <w:sz w:val="18"/>
          <w:szCs w:val="18"/>
          <w:color w:val="auto"/>
        </w:rPr>
        <w:t>this assessment. There is considerable judgment involved in determining whether a milestone satisfies all of the criteria</w:t>
      </w:r>
    </w:p>
    <w:p>
      <w:pPr>
        <w:spacing w:after="0" w:line="203" w:lineRule="auto"/>
        <w:rPr>
          <w:sz w:val="20"/>
          <w:szCs w:val="20"/>
          <w:color w:val="auto"/>
        </w:rPr>
      </w:pPr>
      <w:r>
        <w:rPr>
          <w:rFonts w:ascii="Times New Roman" w:cs="Times New Roman" w:eastAsia="Times New Roman" w:hAnsi="Times New Roman"/>
          <w:sz w:val="18"/>
          <w:szCs w:val="18"/>
          <w:color w:val="auto"/>
        </w:rPr>
        <w:t>required to conclude that a milestone is substantive. Milestones that are not considered substantive are accounted for as</w:t>
      </w:r>
    </w:p>
    <w:p>
      <w:pPr>
        <w:spacing w:after="0" w:line="204" w:lineRule="auto"/>
        <w:rPr>
          <w:sz w:val="20"/>
          <w:szCs w:val="20"/>
          <w:color w:val="auto"/>
        </w:rPr>
      </w:pPr>
      <w:r>
        <w:rPr>
          <w:rFonts w:ascii="Times New Roman" w:cs="Times New Roman" w:eastAsia="Times New Roman" w:hAnsi="Times New Roman"/>
          <w:sz w:val="18"/>
          <w:szCs w:val="18"/>
          <w:color w:val="auto"/>
        </w:rPr>
        <w:t>license payments and recognized over the remaining period of performance from the date of achievement of the</w:t>
      </w:r>
    </w:p>
    <w:p>
      <w:pPr>
        <w:spacing w:after="0" w:line="203" w:lineRule="auto"/>
        <w:rPr>
          <w:sz w:val="20"/>
          <w:szCs w:val="20"/>
          <w:color w:val="auto"/>
        </w:rPr>
      </w:pPr>
      <w:r>
        <w:rPr>
          <w:rFonts w:ascii="Times New Roman" w:cs="Times New Roman" w:eastAsia="Times New Roman" w:hAnsi="Times New Roman"/>
          <w:sz w:val="18"/>
          <w:szCs w:val="18"/>
          <w:color w:val="auto"/>
        </w:rPr>
        <w:t>milestone. Milestones that are considered substantive will be recognized in their entirety upon successful accomplishment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milestone, assuming all other revenue recognition criteria are met.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87"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We will recognize royalty revenue in the period of sale of the related product(s), based on the underlying contract terms, provided that the reported sales are reliably measurable, and we have no remaining performance obligations, assuming all other revenue recognition criteria are met.</w:t>
      </w:r>
    </w:p>
    <w:p>
      <w:pPr>
        <w:spacing w:after="0" w:line="158"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18"/>
          <w:szCs w:val="18"/>
          <w:color w:val="auto"/>
        </w:rPr>
        <w:t>There have been no significant changes to our accounting policies discussed in our Prospectus related to accrued research and development expenses and stock-based compensation.</w:t>
      </w:r>
    </w:p>
    <w:p>
      <w:pPr>
        <w:spacing w:after="0" w:line="15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2015 and 2014</w:t>
      </w:r>
    </w:p>
    <w:p>
      <w:pPr>
        <w:spacing w:after="0" w:line="189"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2015 and 2014, together with the changes in those items in dollars and as a percentage:</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2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3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120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gridSpan w:val="5"/>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6"/>
        </w:trPr>
        <w:tc>
          <w:tcPr>
            <w:tcW w:w="2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94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Other income (expense):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(10,503)</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7" w:lineRule="exact"/>
        <w:rPr>
          <w:sz w:val="20"/>
          <w:szCs w:val="20"/>
          <w:color w:val="auto"/>
        </w:rPr>
      </w:pPr>
    </w:p>
    <w:p>
      <w:pPr>
        <w:ind w:right="720" w:firstLine="648"/>
        <w:spacing w:after="0" w:line="237" w:lineRule="auto"/>
        <w:rPr>
          <w:sz w:val="20"/>
          <w:szCs w:val="20"/>
          <w:color w:val="auto"/>
        </w:rPr>
      </w:pPr>
      <w:r>
        <w:rPr>
          <w:rFonts w:ascii="Times New Roman" w:cs="Times New Roman" w:eastAsia="Times New Roman" w:hAnsi="Times New Roman"/>
          <w:sz w:val="18"/>
          <w:szCs w:val="18"/>
          <w:color w:val="auto"/>
        </w:rPr>
        <w:t>Collaboration revenue was $3.4 million for the three months ended September 30, 2015 under the Alexion agreement. We did not record any collaboration revenue during the three months ended September 30, 2014.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87" w:lineRule="exact"/>
        <w:rPr>
          <w:sz w:val="20"/>
          <w:szCs w:val="20"/>
          <w:color w:val="auto"/>
        </w:rPr>
      </w:pPr>
    </w:p>
    <w:p>
      <w:pPr>
        <w:ind w:right="280" w:firstLine="648"/>
        <w:spacing w:after="0" w:line="226" w:lineRule="auto"/>
        <w:rPr>
          <w:sz w:val="20"/>
          <w:szCs w:val="20"/>
          <w:color w:val="auto"/>
        </w:rPr>
      </w:pPr>
      <w:r>
        <w:rPr>
          <w:rFonts w:ascii="Times New Roman" w:cs="Times New Roman" w:eastAsia="Times New Roman" w:hAnsi="Times New Roman"/>
          <w:sz w:val="18"/>
          <w:szCs w:val="18"/>
          <w:color w:val="auto"/>
        </w:rPr>
        <w:t>Research and development expense increased by $3.3 million from $8.4 million for the three months ended September 30, 2014 to $11.7 million for the three months ended September 30, 2015, an increase of 40%. The increase in research and development expense was primarily attributable to the following:</w:t>
      </w:r>
    </w:p>
    <w:p>
      <w:pPr>
        <w:spacing w:after="0" w:line="158" w:lineRule="exact"/>
        <w:rPr>
          <w:sz w:val="20"/>
          <w:szCs w:val="20"/>
          <w:color w:val="auto"/>
        </w:rPr>
      </w:pPr>
    </w:p>
    <w:p>
      <w:pPr>
        <w:ind w:left="1020" w:right="220" w:hanging="53"/>
        <w:spacing w:after="0" w:line="202" w:lineRule="exact"/>
        <w:rPr>
          <w:sz w:val="20"/>
          <w:szCs w:val="20"/>
          <w:color w:val="auto"/>
        </w:rPr>
      </w:pPr>
      <w:r>
        <w:rPr>
          <w:rFonts w:ascii="Times New Roman" w:cs="Times New Roman" w:eastAsia="Times New Roman" w:hAnsi="Times New Roman"/>
          <w:sz w:val="18"/>
          <w:szCs w:val="18"/>
          <w:color w:val="auto"/>
        </w:rPr>
        <w:t>·approximately $1.3 million in increased personnel expense primarily due to a 16% increase in headcount, largely driven by growth in the clinical and non-clinical organizations as we advance our two lead programs into clinical trials, as well as higher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137" w:lineRule="exact"/>
        <w:rPr>
          <w:sz w:val="20"/>
          <w:szCs w:val="20"/>
          <w:color w:val="auto"/>
        </w:rPr>
      </w:pPr>
    </w:p>
    <w:p>
      <w:pPr>
        <w:ind w:left="1020" w:right="320" w:hanging="53"/>
        <w:spacing w:after="0" w:line="237" w:lineRule="auto"/>
        <w:rPr>
          <w:sz w:val="20"/>
          <w:szCs w:val="20"/>
          <w:color w:val="auto"/>
        </w:rPr>
      </w:pPr>
      <w:r>
        <w:rPr>
          <w:rFonts w:ascii="Times New Roman" w:cs="Times New Roman" w:eastAsia="Times New Roman" w:hAnsi="Times New Roman"/>
          <w:sz w:val="18"/>
          <w:szCs w:val="18"/>
          <w:color w:val="auto"/>
        </w:rPr>
        <w:t>·approximately $2.3 million in external clinical activities as we advance our two lead programs into clinical trials; and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·approximately $1.0 million as we continue to build our platform and advance our discovery pipeline forward.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40" w:firstLine="648"/>
        <w:spacing w:after="0" w:line="205" w:lineRule="exact"/>
        <w:rPr>
          <w:sz w:val="20"/>
          <w:szCs w:val="20"/>
          <w:color w:val="auto"/>
        </w:rPr>
      </w:pPr>
      <w:r>
        <w:rPr>
          <w:rFonts w:ascii="Times New Roman" w:cs="Times New Roman" w:eastAsia="Times New Roman" w:hAnsi="Times New Roman"/>
          <w:sz w:val="18"/>
          <w:szCs w:val="18"/>
          <w:color w:val="auto"/>
        </w:rPr>
        <w:t>These increases were partially offset by $1.3 million of lower external 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and toxicology studies as well as manufacturing activities primarily due to timing associated with toxicology studies for BLU-285 and BLU-554 during the three months ended September 30, 2014.</w:t>
      </w:r>
    </w:p>
    <w:p>
      <w:pPr>
        <w:spacing w:after="0" w:line="158" w:lineRule="exact"/>
        <w:rPr>
          <w:sz w:val="20"/>
          <w:szCs w:val="20"/>
          <w:color w:val="auto"/>
        </w:rPr>
      </w:pPr>
    </w:p>
    <w:p>
      <w:pPr>
        <w:ind w:right="220" w:firstLine="648"/>
        <w:spacing w:after="0" w:line="220" w:lineRule="auto"/>
        <w:rPr>
          <w:sz w:val="20"/>
          <w:szCs w:val="20"/>
          <w:color w:val="auto"/>
        </w:rPr>
      </w:pPr>
      <w:r>
        <w:rPr>
          <w:rFonts w:ascii="Times New Roman" w:cs="Times New Roman" w:eastAsia="Times New Roman" w:hAnsi="Times New Roman"/>
          <w:sz w:val="18"/>
          <w:szCs w:val="18"/>
          <w:color w:val="auto"/>
        </w:rPr>
        <w:t>We expect that our research and development expense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87" w:lineRule="exact"/>
        <w:rPr>
          <w:sz w:val="20"/>
          <w:szCs w:val="20"/>
          <w:color w:val="auto"/>
        </w:rPr>
      </w:pPr>
    </w:p>
    <w:p>
      <w:pPr>
        <w:ind w:right="300" w:firstLine="648"/>
        <w:spacing w:after="0" w:line="226" w:lineRule="auto"/>
        <w:rPr>
          <w:sz w:val="20"/>
          <w:szCs w:val="20"/>
          <w:color w:val="auto"/>
        </w:rPr>
      </w:pPr>
      <w:r>
        <w:rPr>
          <w:rFonts w:ascii="Times New Roman" w:cs="Times New Roman" w:eastAsia="Times New Roman" w:hAnsi="Times New Roman"/>
          <w:sz w:val="18"/>
          <w:szCs w:val="18"/>
          <w:color w:val="auto"/>
        </w:rPr>
        <w:t>General and administrative expense increased by $2.3 million from $1.9 million for the three months ended September 30, 2014 to $4.2 million for the three months ended September 30, 2015, an increase of 120%. The increase in general and administrative expense was primarily attributable to the following:</w:t>
      </w:r>
    </w:p>
    <w:p>
      <w:pPr>
        <w:spacing w:after="0" w:line="158" w:lineRule="exact"/>
        <w:rPr>
          <w:sz w:val="20"/>
          <w:szCs w:val="20"/>
          <w:color w:val="auto"/>
        </w:rPr>
      </w:pPr>
    </w:p>
    <w:p>
      <w:pPr>
        <w:jc w:val="both"/>
        <w:ind w:left="1020" w:right="460" w:hanging="53"/>
        <w:spacing w:after="0" w:line="226" w:lineRule="auto"/>
        <w:rPr>
          <w:sz w:val="20"/>
          <w:szCs w:val="20"/>
          <w:color w:val="auto"/>
        </w:rPr>
      </w:pPr>
      <w:r>
        <w:rPr>
          <w:rFonts w:ascii="Times New Roman" w:cs="Times New Roman" w:eastAsia="Times New Roman" w:hAnsi="Times New Roman"/>
          <w:sz w:val="18"/>
          <w:szCs w:val="18"/>
          <w:color w:val="auto"/>
        </w:rPr>
        <w:t>·approximately $0.7 million in increased personnel costs primarily due to an increase of 66% in business personnel headcount to support our overall growth as a publicly traded company as well as an increase in stock-based compensation expense; and</w:t>
      </w:r>
    </w:p>
    <w:p>
      <w:pPr>
        <w:spacing w:after="0" w:line="158" w:lineRule="exact"/>
        <w:rPr>
          <w:sz w:val="20"/>
          <w:szCs w:val="20"/>
          <w:color w:val="auto"/>
        </w:rPr>
      </w:pPr>
    </w:p>
    <w:p>
      <w:pPr>
        <w:jc w:val="both"/>
        <w:ind w:left="1020" w:right="360" w:hanging="53"/>
        <w:spacing w:after="0" w:line="237" w:lineRule="auto"/>
        <w:rPr>
          <w:sz w:val="20"/>
          <w:szCs w:val="20"/>
          <w:color w:val="auto"/>
        </w:rPr>
      </w:pPr>
      <w:r>
        <w:rPr>
          <w:rFonts w:ascii="Times New Roman" w:cs="Times New Roman" w:eastAsia="Times New Roman" w:hAnsi="Times New Roman"/>
          <w:sz w:val="18"/>
          <w:szCs w:val="18"/>
          <w:color w:val="auto"/>
        </w:rPr>
        <w:t>·approximately $1.4 million increase in professional fees including commercial research expenses, external legal and audit fees, insurance premiums, corporate communications, public relations and recruiting costs.</w:t>
      </w:r>
    </w:p>
    <w:p>
      <w:pPr>
        <w:spacing w:after="0" w:line="158" w:lineRule="exact"/>
        <w:rPr>
          <w:sz w:val="20"/>
          <w:szCs w:val="20"/>
          <w:color w:val="auto"/>
        </w:rPr>
      </w:pPr>
    </w:p>
    <w:p>
      <w:pPr>
        <w:jc w:val="both"/>
        <w:ind w:right="120" w:firstLine="648"/>
        <w:spacing w:after="0" w:line="226"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jc w:val="both"/>
        <w:ind w:right="360" w:firstLine="648"/>
        <w:spacing w:after="0" w:line="190" w:lineRule="exact"/>
        <w:rPr>
          <w:sz w:val="20"/>
          <w:szCs w:val="20"/>
          <w:color w:val="auto"/>
        </w:rPr>
      </w:pPr>
      <w:r>
        <w:rPr>
          <w:rFonts w:ascii="Times New Roman" w:cs="Times New Roman" w:eastAsia="Times New Roman" w:hAnsi="Times New Roman"/>
          <w:sz w:val="18"/>
          <w:szCs w:val="18"/>
          <w:color w:val="auto"/>
        </w:rPr>
        <w:t>Other income increased by $0.1 million from $0.1 million of expense for the three months ended September 30, 2014 to less than $0.1 million for the three months ended September 30, 2015. Other expense for the three months ended September 30, 2014 primarily related to the impact of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expense associated with the change in the fair value of the convertible preferred stock warrant liability.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Interest expense increased by $0.1 million from $0.1 million for the three months ended September 30, 2014 to $0.2 million for the three months ended September 30, 2015. The increase in interest expense was primarily related to a higher outstanding principal balance under the Loan and Security Agreement for the three months ended September 30, 2015.</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2015 and 2014</w:t>
      </w:r>
    </w:p>
    <w:p>
      <w:pPr>
        <w:spacing w:after="0" w:line="189"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2015 and 2014, together with the changes in those items in dollars and as a percentage: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 w:type="dxa"/>
            <w:vAlign w:val="bottom"/>
            <w:vMerge w:val="restart"/>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bottom w:val="single" w:sz="8" w:color="auto"/>
            </w:tcBorders>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3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76"/>
        </w:trPr>
        <w:tc>
          <w:tcPr>
            <w:tcW w:w="3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74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Other income (expense):</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(37,194)</w:t>
            </w:r>
          </w:p>
        </w:tc>
        <w:tc>
          <w:tcPr>
            <w:tcW w:w="8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8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7" w:lineRule="exact"/>
        <w:rPr>
          <w:sz w:val="20"/>
          <w:szCs w:val="20"/>
          <w:color w:val="auto"/>
        </w:rPr>
      </w:pPr>
    </w:p>
    <w:p>
      <w:pPr>
        <w:ind w:right="800" w:firstLine="648"/>
        <w:spacing w:after="0" w:line="263" w:lineRule="auto"/>
        <w:rPr>
          <w:sz w:val="20"/>
          <w:szCs w:val="20"/>
          <w:color w:val="auto"/>
        </w:rPr>
      </w:pPr>
      <w:r>
        <w:rPr>
          <w:rFonts w:ascii="Times New Roman" w:cs="Times New Roman" w:eastAsia="Times New Roman" w:hAnsi="Times New Roman"/>
          <w:sz w:val="17"/>
          <w:szCs w:val="17"/>
          <w:color w:val="auto"/>
        </w:rPr>
        <w:t>Collaboration revenue was $6.8 million for the nine months ended September 30, 2015 under the Alexion agreement. We did not record any collaboration revenue during the nine months ended September 30, 2014.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87" w:lineRule="exact"/>
        <w:rPr>
          <w:sz w:val="20"/>
          <w:szCs w:val="20"/>
          <w:color w:val="auto"/>
        </w:rPr>
      </w:pPr>
    </w:p>
    <w:p>
      <w:pPr>
        <w:ind w:right="340" w:firstLine="648"/>
        <w:spacing w:after="0" w:line="226" w:lineRule="auto"/>
        <w:rPr>
          <w:sz w:val="20"/>
          <w:szCs w:val="20"/>
          <w:color w:val="auto"/>
        </w:rPr>
      </w:pPr>
      <w:r>
        <w:rPr>
          <w:rFonts w:ascii="Times New Roman" w:cs="Times New Roman" w:eastAsia="Times New Roman" w:hAnsi="Times New Roman"/>
          <w:sz w:val="18"/>
          <w:szCs w:val="18"/>
          <w:color w:val="auto"/>
        </w:rPr>
        <w:t>Research and development expense increased $11.6 million from $20.5 million for the nine months ended September 30, 2014 to $32.2 million for the nine months ended September 30, 2015, an increase of 57%. The increase in research and development expense was primarily attributable to the following:</w:t>
      </w:r>
    </w:p>
    <w:p>
      <w:pPr>
        <w:spacing w:after="0" w:line="158" w:lineRule="exact"/>
        <w:rPr>
          <w:sz w:val="20"/>
          <w:szCs w:val="20"/>
          <w:color w:val="auto"/>
        </w:rPr>
      </w:pPr>
    </w:p>
    <w:p>
      <w:pPr>
        <w:ind w:left="1020" w:right="80" w:hanging="53"/>
        <w:spacing w:after="0" w:line="202" w:lineRule="exact"/>
        <w:rPr>
          <w:sz w:val="20"/>
          <w:szCs w:val="20"/>
          <w:color w:val="auto"/>
        </w:rPr>
      </w:pPr>
      <w:r>
        <w:rPr>
          <w:rFonts w:ascii="Times New Roman" w:cs="Times New Roman" w:eastAsia="Times New Roman" w:hAnsi="Times New Roman"/>
          <w:sz w:val="18"/>
          <w:szCs w:val="18"/>
          <w:color w:val="auto"/>
        </w:rPr>
        <w:t>·approximately $4.5 million in increased personnel costs primarily due to an increase of 18% in headcount, largely driven by growth in the clinical and non-clinical organizations as our two lead programs advanced into clinical trials as well as higher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·approximately $4.2 million in clinical activities as we advanced our two lead programs into clinical trials; and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·approximately $2.9 million as we continue to build our platform and advance our discovery pipeline forward.</w:t>
      </w:r>
    </w:p>
    <w:p>
      <w:pPr>
        <w:spacing w:after="0" w:line="185" w:lineRule="exact"/>
        <w:rPr>
          <w:sz w:val="20"/>
          <w:szCs w:val="20"/>
          <w:color w:val="auto"/>
        </w:rPr>
      </w:pPr>
    </w:p>
    <w:p>
      <w:pPr>
        <w:ind w:right="220" w:firstLine="648"/>
        <w:spacing w:after="0" w:line="220" w:lineRule="auto"/>
        <w:rPr>
          <w:sz w:val="20"/>
          <w:szCs w:val="20"/>
          <w:color w:val="auto"/>
        </w:rPr>
      </w:pPr>
      <w:r>
        <w:rPr>
          <w:rFonts w:ascii="Times New Roman" w:cs="Times New Roman" w:eastAsia="Times New Roman" w:hAnsi="Times New Roman"/>
          <w:sz w:val="18"/>
          <w:szCs w:val="18"/>
          <w:color w:val="auto"/>
        </w:rPr>
        <w:t>We expect that our research and development expense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87" w:lineRule="exact"/>
        <w:rPr>
          <w:sz w:val="20"/>
          <w:szCs w:val="20"/>
          <w:color w:val="auto"/>
        </w:rPr>
      </w:pPr>
    </w:p>
    <w:p>
      <w:pPr>
        <w:ind w:right="240" w:firstLine="648"/>
        <w:spacing w:after="0" w:line="226" w:lineRule="auto"/>
        <w:rPr>
          <w:sz w:val="20"/>
          <w:szCs w:val="20"/>
          <w:color w:val="auto"/>
        </w:rPr>
      </w:pPr>
      <w:r>
        <w:rPr>
          <w:rFonts w:ascii="Times New Roman" w:cs="Times New Roman" w:eastAsia="Times New Roman" w:hAnsi="Times New Roman"/>
          <w:sz w:val="18"/>
          <w:szCs w:val="18"/>
          <w:color w:val="auto"/>
        </w:rPr>
        <w:t>General and administrative expense increased by $5.9 million from $4.9 million for the nine months ended September 30, 2014 to $10.8 million for the nine months ended September 30, 2015, an increase of 120%. The increase in general and administrative expense was primarily attributable to the following:</w:t>
      </w:r>
    </w:p>
    <w:p>
      <w:pPr>
        <w:spacing w:after="0" w:line="129" w:lineRule="exact"/>
        <w:rPr>
          <w:sz w:val="20"/>
          <w:szCs w:val="20"/>
          <w:color w:val="auto"/>
        </w:rPr>
      </w:pPr>
    </w:p>
    <w:p>
      <w:pPr>
        <w:ind w:left="1020" w:right="140" w:hanging="53"/>
        <w:spacing w:after="0" w:line="205" w:lineRule="exact"/>
        <w:rPr>
          <w:sz w:val="20"/>
          <w:szCs w:val="20"/>
          <w:color w:val="auto"/>
        </w:rPr>
      </w:pPr>
      <w:r>
        <w:rPr>
          <w:rFonts w:ascii="Times New Roman" w:cs="Times New Roman" w:eastAsia="Times New Roman" w:hAnsi="Times New Roman"/>
          <w:sz w:val="18"/>
          <w:szCs w:val="18"/>
          <w:color w:val="auto"/>
        </w:rPr>
        <w:t>·approximately $3.3 million in increased personnel costs primarily due to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an increase of 71% in business personnel headcount to support our overall growth as a publicly traded company; and</w:t>
      </w:r>
    </w:p>
    <w:p>
      <w:pPr>
        <w:spacing w:after="0" w:line="158" w:lineRule="exact"/>
        <w:rPr>
          <w:sz w:val="20"/>
          <w:szCs w:val="20"/>
          <w:color w:val="auto"/>
        </w:rPr>
      </w:pPr>
    </w:p>
    <w:p>
      <w:pPr>
        <w:ind w:left="1020" w:right="220" w:hanging="53"/>
        <w:spacing w:after="0" w:line="237" w:lineRule="auto"/>
        <w:rPr>
          <w:sz w:val="20"/>
          <w:szCs w:val="20"/>
          <w:color w:val="auto"/>
        </w:rPr>
      </w:pPr>
      <w:r>
        <w:rPr>
          <w:rFonts w:ascii="Times New Roman" w:cs="Times New Roman" w:eastAsia="Times New Roman" w:hAnsi="Times New Roman"/>
          <w:sz w:val="18"/>
          <w:szCs w:val="18"/>
          <w:color w:val="auto"/>
        </w:rPr>
        <w:t>·approximately $2.3 million in increase in professional fees including external legal and audit fees, insurance premiums, corporate communications, public relations and recruiting costs.</w:t>
      </w:r>
    </w:p>
    <w:p>
      <w:pPr>
        <w:spacing w:after="0" w:line="158" w:lineRule="exact"/>
        <w:rPr>
          <w:sz w:val="20"/>
          <w:szCs w:val="20"/>
          <w:color w:val="auto"/>
        </w:rPr>
      </w:pPr>
    </w:p>
    <w:p>
      <w:pPr>
        <w:ind w:right="680" w:firstLine="648"/>
        <w:spacing w:after="0" w:line="239" w:lineRule="auto"/>
        <w:rPr>
          <w:sz w:val="20"/>
          <w:szCs w:val="20"/>
          <w:color w:val="auto"/>
        </w:rPr>
      </w:pPr>
      <w:r>
        <w:rPr>
          <w:rFonts w:ascii="Times New Roman" w:cs="Times New Roman" w:eastAsia="Times New Roman" w:hAnsi="Times New Roman"/>
          <w:sz w:val="17"/>
          <w:szCs w:val="17"/>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jc w:val="both"/>
        <w:ind w:right="120" w:firstLine="648"/>
        <w:spacing w:after="0" w:line="202" w:lineRule="exact"/>
        <w:rPr>
          <w:sz w:val="20"/>
          <w:szCs w:val="20"/>
          <w:color w:val="auto"/>
        </w:rPr>
      </w:pPr>
      <w:r>
        <w:rPr>
          <w:rFonts w:ascii="Times New Roman" w:cs="Times New Roman" w:eastAsia="Times New Roman" w:hAnsi="Times New Roman"/>
          <w:sz w:val="18"/>
          <w:szCs w:val="18"/>
          <w:color w:val="auto"/>
        </w:rPr>
        <w:t>Other expense increased by $0.3 million from $0.1 million for the nine months ended September 30, 2014 to $0.4 million for the nine months ended September 30, 2015. The increase in other expense was primarily related to the impact of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associated with the change in the fair value of the convertible preferred stock warrant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20" w:firstLine="648"/>
        <w:spacing w:after="0" w:line="226" w:lineRule="auto"/>
        <w:rPr>
          <w:sz w:val="20"/>
          <w:szCs w:val="20"/>
          <w:color w:val="auto"/>
        </w:rPr>
      </w:pPr>
      <w:r>
        <w:rPr>
          <w:rFonts w:ascii="Times New Roman" w:cs="Times New Roman" w:eastAsia="Times New Roman" w:hAnsi="Times New Roman"/>
          <w:sz w:val="18"/>
          <w:szCs w:val="18"/>
          <w:color w:val="auto"/>
        </w:rPr>
        <w:t>Interest expense increased by $0.2 million from $0.3 million for the nine months ended September 30, 2014 to $0.5 million for the nine months ended September 30, 2015. The increase in interest expense was primarily related to a higher outstanding principal balance under the Loan and Security Agreement for the nine months ended September 30, 2015.</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To date, we have financed our operations primarily through our IPO, private placements of our convertible preferred stock and, to a lesser extent, the Alexion agreement and a debt financing. Through September 30, 2015, we have received an aggregate of $310.5 million from such transactions, including $168.6 million in gross proceeds from our IPO, $115.1 million in gross proceeds from the issuance of convertible preferred stock, $16.8 million of upfront and milestone payments from Alexion and $10.0 million in gross proceeds from the debt financing.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2015, we had cash and cash equivalents of $179.8 million.</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87"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2015 and 2014:</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5"/>
                <w:szCs w:val="15"/>
                <w:color w:val="auto"/>
              </w:rPr>
            </w:pPr>
          </w:p>
        </w:tc>
        <w:tc>
          <w:tcPr>
            <w:tcW w:w="17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4240" w:type="dxa"/>
            <w:vAlign w:val="bottom"/>
            <w:tcBorders>
              <w:bottom w:val="single" w:sz="8" w:color="CCEEFF"/>
            </w:tcBorders>
            <w:vMerge w:val="continue"/>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41"/>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(18,630)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$ 132,540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Net cash used in operating activities was $18.6 million during the nine months ended September 30, 2015 compared to net cash used in operating activities of $23.8 million during the nine months ended September 30, 2014. The decrease in cash used in operating activities was primarily due to the receipt of $16.8 million of upfront and milestone payments from Alexion, partially offset by an increase in net loss of $11.4 million for the nine months ended September 30, 2015 as compared to the nine months ended September 30, 2014.</w:t>
      </w:r>
    </w:p>
    <w:p>
      <w:pPr>
        <w:spacing w:after="0" w:line="158"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Net cash used in investing activities was $2.4 million during the nine months ended September 30, 2015 compared to net cash used in investing activities of $0.3 million during the nine months ended September 30, 2014. Net cash used in investing activities for the nine months ended September 30, 2015 consisted of a security deposit payment for our new office lease agreement as well as purchases of property and equipment. Net cash used in investing activities for the nine months ended September 30, 2014 consisted of purchases of property and equipment.</w:t>
      </w:r>
    </w:p>
    <w:p>
      <w:pPr>
        <w:spacing w:after="0" w:line="158"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Net cash provided by financing activities was $153.6 million during the nine months ended September 30, 2015 compared to net cash provided by financing activities of $26.8 million during the nine months ended September 30, 2014. Net cash provided by financing activities for the nine months ended September 30, 2015 was primarily due to $154.8 million in net proceeds from our IPO after deducting underwriting discounts, commissions and offering costs payable by us, partially offset by $1.3 million of principal payments on term loan payable. The cash provided by financing activities for the nine months ended September 30, 2014 was primarily due to $24.9 million of net proceeds received from the private placement of our Series B convertible preferred stock and $2.0 million of proceeds from term loan, partially offset by $0.5 million of principal payments on term loan payable.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87"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18"/>
          <w:szCs w:val="18"/>
          <w:color w:val="auto"/>
        </w:rPr>
        <w:t>In May 2013, we entered into the Loan and Security Agreement with Silicon Valley Bank.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During 2014, we paid principal payments of $0.7 million on the first $3.0 million of advances. During the nine months ended September 30, 2015 we paid principal payments of $1.2 million on the first $5.0 million of advances. Principal payments on the remaining $5.0 million of advances will begin in December of 2015. We are required to pay a fee of 4.0% of the total loan advances at the end of the term of the loan. There are no outstanding financial covenants associated with the Loan and Security Agreement. As of September 30, 2015, we had $8.0 million in outstanding principal under the Loan and Security Agreement.</w:t>
      </w:r>
    </w:p>
    <w:p>
      <w:pPr>
        <w:spacing w:after="0" w:line="15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17"/>
          <w:szCs w:val="17"/>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has classified the outstanding principal in current and long term liabilities based on scheduled principal payments.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5, “Term Loan,” in the accompanying notes to condensed financial statements for additional information.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87"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58"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As of September 30, 2015, we had cash and cash equivalents of $179.8 million. We expect that our existing cash and cash equivalents will be sufficient to enable us to fund our operating expenses and capital expenditure requirements through at least early 2017. Our future capital requirements will depend on many factors, including:</w:t>
      </w:r>
    </w:p>
    <w:p>
      <w:pPr>
        <w:spacing w:after="0" w:line="129" w:lineRule="exact"/>
        <w:rPr>
          <w:sz w:val="20"/>
          <w:szCs w:val="20"/>
          <w:color w:val="auto"/>
        </w:rPr>
      </w:pPr>
    </w:p>
    <w:p>
      <w:pPr>
        <w:ind w:left="1020" w:right="540" w:hanging="53"/>
        <w:spacing w:after="0" w:line="220" w:lineRule="exact"/>
        <w:rPr>
          <w:sz w:val="20"/>
          <w:szCs w:val="20"/>
          <w:color w:val="auto"/>
        </w:rPr>
      </w:pPr>
      <w:r>
        <w:rPr>
          <w:rFonts w:ascii="Times New Roman" w:cs="Times New Roman" w:eastAsia="Times New Roman" w:hAnsi="Times New Roman"/>
          <w:sz w:val="18"/>
          <w:szCs w:val="18"/>
          <w:color w:val="auto"/>
        </w:rPr>
        <w:t>·the scope, progress, results and costs of drug discovery,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laboratory testing and clinical trials for our drug candidates;</w:t>
      </w:r>
    </w:p>
    <w:p>
      <w:pPr>
        <w:spacing w:after="0" w:line="158" w:lineRule="exact"/>
        <w:rPr>
          <w:sz w:val="20"/>
          <w:szCs w:val="20"/>
          <w:color w:val="auto"/>
        </w:rPr>
      </w:pPr>
    </w:p>
    <w:p>
      <w:pPr>
        <w:ind w:left="980" w:right="2240"/>
        <w:spacing w:after="0" w:line="480" w:lineRule="auto"/>
        <w:rPr>
          <w:sz w:val="20"/>
          <w:szCs w:val="20"/>
          <w:color w:val="auto"/>
        </w:rPr>
      </w:pPr>
      <w:r>
        <w:rPr>
          <w:rFonts w:ascii="Times New Roman" w:cs="Times New Roman" w:eastAsia="Times New Roman" w:hAnsi="Times New Roman"/>
          <w:sz w:val="17"/>
          <w:szCs w:val="17"/>
          <w:color w:val="auto"/>
        </w:rPr>
        <w:t>·the scope, prioritization and number of our research and development programs; ·the costs, timing and outcome of regulatory review of our drug candidates; ·our ability to establish and maintain collaborations on favorable terms, if at all;</w:t>
      </w:r>
    </w:p>
    <w:p>
      <w:pPr>
        <w:spacing w:after="0" w:line="2" w:lineRule="exact"/>
        <w:rPr>
          <w:sz w:val="20"/>
          <w:szCs w:val="20"/>
          <w:color w:val="auto"/>
        </w:rPr>
      </w:pPr>
    </w:p>
    <w:p>
      <w:pPr>
        <w:ind w:left="1020" w:right="820" w:hanging="53"/>
        <w:spacing w:after="0" w:line="237"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obtain;</w:t>
      </w:r>
    </w:p>
    <w:p>
      <w:pPr>
        <w:spacing w:after="0" w:line="158" w:lineRule="exact"/>
        <w:rPr>
          <w:sz w:val="20"/>
          <w:szCs w:val="20"/>
          <w:color w:val="auto"/>
        </w:rPr>
      </w:pPr>
    </w:p>
    <w:p>
      <w:pPr>
        <w:ind w:left="1020" w:right="320" w:hanging="53"/>
        <w:spacing w:after="0" w:line="237" w:lineRule="auto"/>
        <w:rPr>
          <w:sz w:val="20"/>
          <w:szCs w:val="20"/>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158" w:lineRule="exact"/>
        <w:rPr>
          <w:sz w:val="20"/>
          <w:szCs w:val="20"/>
          <w:color w:val="auto"/>
        </w:rPr>
      </w:pPr>
    </w:p>
    <w:p>
      <w:pPr>
        <w:ind w:left="1020" w:right="280" w:hanging="53"/>
        <w:spacing w:after="0" w:line="215" w:lineRule="exact"/>
        <w:rPr>
          <w:sz w:val="20"/>
          <w:szCs w:val="20"/>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09" w:lineRule="exact"/>
        <w:rPr>
          <w:sz w:val="20"/>
          <w:szCs w:val="20"/>
          <w:color w:val="auto"/>
        </w:rPr>
      </w:pPr>
    </w:p>
    <w:p>
      <w:pPr>
        <w:ind w:left="980" w:right="1960"/>
        <w:spacing w:after="0" w:line="327" w:lineRule="exact"/>
        <w:rPr>
          <w:sz w:val="20"/>
          <w:szCs w:val="20"/>
          <w:color w:val="auto"/>
        </w:rPr>
      </w:pPr>
      <w:r>
        <w:rPr>
          <w:rFonts w:ascii="Times New Roman" w:cs="Times New Roman" w:eastAsia="Times New Roman" w:hAnsi="Times New Roman"/>
          <w:sz w:val="18"/>
          <w:szCs w:val="18"/>
          <w:color w:val="auto"/>
        </w:rPr>
        <w:t>·the extent to which we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drug candidates and technologies; ·the costs of securing manufacturing arrangements for commercial production; and</w:t>
      </w:r>
    </w:p>
    <w:p>
      <w:pPr>
        <w:spacing w:after="0" w:line="158" w:lineRule="exact"/>
        <w:rPr>
          <w:sz w:val="20"/>
          <w:szCs w:val="20"/>
          <w:color w:val="auto"/>
        </w:rPr>
      </w:pPr>
    </w:p>
    <w:p>
      <w:pPr>
        <w:ind w:left="1020" w:right="40" w:hanging="53"/>
        <w:spacing w:after="0" w:line="237" w:lineRule="auto"/>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drug candidates.</w:t>
      </w:r>
    </w:p>
    <w:p>
      <w:pPr>
        <w:spacing w:after="0" w:line="130" w:lineRule="exact"/>
        <w:rPr>
          <w:sz w:val="20"/>
          <w:szCs w:val="20"/>
          <w:color w:val="auto"/>
        </w:rPr>
      </w:pPr>
    </w:p>
    <w:p>
      <w:pPr>
        <w:ind w:right="100" w:firstLine="648"/>
        <w:spacing w:after="0" w:line="190" w:lineRule="exact"/>
        <w:rPr>
          <w:sz w:val="20"/>
          <w:szCs w:val="20"/>
          <w:color w:val="auto"/>
        </w:rPr>
      </w:pPr>
      <w:r>
        <w:rPr>
          <w:rFonts w:ascii="Times New Roman" w:cs="Times New Roman" w:eastAsia="Times New Roman" w:hAnsi="Times New Roman"/>
          <w:sz w:val="18"/>
          <w:szCs w:val="18"/>
          <w:color w:val="auto"/>
        </w:rPr>
        <w:t>Identifying potential drug candidates and conducting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and clinical trials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0"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agreement with Alexion. To the extent that we raise additional capital through the sale of equity or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8"/>
          <w:szCs w:val="18"/>
          <w:color w:val="auto"/>
        </w:rPr>
        <w:t>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59"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right="240" w:firstLine="648"/>
        <w:spacing w:after="0" w:line="263" w:lineRule="auto"/>
        <w:rPr>
          <w:sz w:val="20"/>
          <w:szCs w:val="20"/>
          <w:color w:val="auto"/>
        </w:rPr>
      </w:pPr>
      <w:r>
        <w:rPr>
          <w:rFonts w:ascii="Times New Roman" w:cs="Times New Roman" w:eastAsia="Times New Roman" w:hAnsi="Times New Roman"/>
          <w:sz w:val="17"/>
          <w:szCs w:val="17"/>
          <w:color w:val="auto"/>
        </w:rPr>
        <w:t>There have been no material changes to our contractual obligations and commitments from those described under “Management’s Discussion and Analysis of Financial Condition and Results of Operations” included in the Prospectus.</w:t>
      </w:r>
    </w:p>
    <w:p>
      <w:pPr>
        <w:spacing w:after="0" w:line="110"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185"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under applicable SEC rules.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320" w:firstLine="648"/>
        <w:spacing w:after="0" w:line="263" w:lineRule="auto"/>
        <w:rPr>
          <w:sz w:val="20"/>
          <w:szCs w:val="20"/>
          <w:color w:val="auto"/>
        </w:rPr>
      </w:pPr>
      <w:r>
        <w:rPr>
          <w:rFonts w:ascii="Times New Roman" w:cs="Times New Roman" w:eastAsia="Times New Roman" w:hAnsi="Times New Roman"/>
          <w:sz w:val="17"/>
          <w:szCs w:val="17"/>
          <w:color w:val="auto"/>
        </w:rPr>
        <w:t>We are exposed to market risk related to changes in interest rates. Based on the composition of our investment portfolio which includes money market funds that invest in U.S. Treasury obligations, the current exposure is immaterial.</w:t>
      </w:r>
    </w:p>
    <w:p>
      <w:pPr>
        <w:spacing w:after="0" w:line="139"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September 30, 2015 and 2014, we had minimal or no liabilities denominated in foreign currencies.</w:t>
      </w:r>
    </w:p>
    <w:p>
      <w:pPr>
        <w:spacing w:after="0" w:line="15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had a material effect on our business, financial condition or results of operations during the nine months ended September 30, 2015 and 2014.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79" w:lineRule="exact"/>
        <w:rPr>
          <w:sz w:val="20"/>
          <w:szCs w:val="20"/>
          <w:color w:val="auto"/>
        </w:rPr>
      </w:pPr>
    </w:p>
    <w:p>
      <w:pPr>
        <w:ind w:right="60" w:firstLine="648"/>
        <w:spacing w:after="0" w:line="223"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1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Senior Director of Finance (our principal executive officer and principal financial officer, respectively), evaluated the effectiveness of our disclosure controls and procedures as of September 30, 2015. Based upon such evaluation, our Chief Executive Officer and Senior Director of Finance have concluded that, as of September 30, 2015, our disclosure controls and procedures were effective at the reasonable assurance level.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79" w:lineRule="exact"/>
        <w:rPr>
          <w:sz w:val="20"/>
          <w:szCs w:val="20"/>
          <w:color w:val="auto"/>
        </w:rPr>
      </w:pPr>
    </w:p>
    <w:p>
      <w:pPr>
        <w:jc w:val="both"/>
        <w:ind w:right="279" w:firstLine="648"/>
        <w:spacing w:after="0" w:line="22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September 30, 2015 that has materially affected, or is reasonably likely to materially affect, our internal control over financial reporting.</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85"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59"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7"/>
          <w:szCs w:val="17"/>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clinical studies of our most advanced drug candidates, BLU-285 and BLU-554. In July 2015, the U.S. Food and Drug Administration, or FDA, accepted our Investigational New Drug, or IND, application for BLU-285 for the treatment of unresectable, treatment-resistant gastrointestinal stromal tumor, or GIST. We have initiated a dose-escalation Phase 1 clinical trial for this indication and are currently enrolling patients in this clinical trial. In September 2015, the FDA accepted our IND application to begin a Phase 1 clinical trial for BLU-285 for the treatment of advanced systemic mastocytosis, or SM, and we are in the process of initiating clinical sites. In June 2015, the FDA accepted our IND application for BLU-554 for the treatment of advanced hepatocellular carcinoma, or HCC, and cholangiocarcinoma. We have initiated a dose-escalation Phase 1 clinical trial for these indications and are currently enrolling patients in this clinical trial. In addition, in September 2015, the FDA granted orphan drug designation to BLU-554 for the treatment of HCC. We have never generated any revenue from drug sales. We have not obtained regulatory approvals for any of our drug candidates.</w:t>
      </w:r>
    </w:p>
    <w:p>
      <w:pPr>
        <w:spacing w:after="0" w:line="137"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We have not yet demonstrated our ability to successfully complete any clinical trials, including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59"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Since inception, we have focused substantially all of our efforts and financial resources on developing our proprietary compound library, novel target discovery engine and initial drug candidates. In May 2015, we completed an initial public offering, or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resulting in gross proceeds of $168.6 million before deducting underwriting discounts and commissions and offering costs payable by us. To date, we have financed our operations primarily through our IPO, private placements of our convertible preferred stock and, to a lesser extent,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18"/>
          <w:szCs w:val="18"/>
          <w:color w:val="auto"/>
        </w:rPr>
        <w:t>the research, development and commercialization agreement that we entered into in March 2015 with Alexion Pharma Holding, or Alexion, and a debt financing. Through September 30, 2015, we have received an aggregate of $310.5 million in gross proceeds from such transactions, including $168.6 million in gross proceeds from our IPO, $115.1 million in gross proceeds from the issuance of convertible preferred stock, $16.8 million of upfront and milestone payments from Alexion and $10.0 million in gross proceeds from the debt financing. As of September 30, 2015, our cash and cash equivalents and investments were $179.8 million.</w:t>
      </w:r>
    </w:p>
    <w:p>
      <w:pPr>
        <w:spacing w:after="0" w:line="162"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We have incurred net losses in each year since our inception, and we had an accumulated deficit of $119.4 million as of September 30, 2015. Our net loss was $37.2 million for the nine months ended September 30, 2015, $40.3 million for the year ended December 31, 2014 and $20.9 million for the year ended December 31, 2013.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beginning clinical trials of our drug candidates. In addition, if we obtain marketing approval for our drug candidates, we will incur significant sales, marketing and outsourced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manufacturing expenses. As a public company, we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30" w:lineRule="exact"/>
        <w:rPr>
          <w:sz w:val="20"/>
          <w:szCs w:val="20"/>
          <w:color w:val="auto"/>
        </w:rPr>
      </w:pPr>
    </w:p>
    <w:p>
      <w:pPr>
        <w:ind w:right="100" w:firstLine="648"/>
        <w:spacing w:after="0" w:line="193" w:lineRule="exact"/>
        <w:rPr>
          <w:sz w:val="20"/>
          <w:szCs w:val="20"/>
          <w:color w:val="auto"/>
        </w:rPr>
      </w:pPr>
      <w:r>
        <w:rPr>
          <w:rFonts w:ascii="Times New Roman" w:cs="Times New Roman" w:eastAsia="Times New Roman" w:hAnsi="Times New Roman"/>
          <w:sz w:val="18"/>
          <w:szCs w:val="18"/>
          <w:color w:val="auto"/>
        </w:rPr>
        <w:t>To date, we have not generated any revenue from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we do not know and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or one of our other drug candidates. Our ability to generate revenue depends on a number of factors, including, but not limited to, our ability to:</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185" w:lineRule="exact"/>
        <w:rPr>
          <w:sz w:val="20"/>
          <w:szCs w:val="20"/>
          <w:color w:val="auto"/>
        </w:rPr>
      </w:pPr>
    </w:p>
    <w:p>
      <w:pPr>
        <w:ind w:left="1020" w:right="80" w:hanging="53"/>
        <w:spacing w:after="0" w:line="237" w:lineRule="auto"/>
        <w:rPr>
          <w:sz w:val="20"/>
          <w:szCs w:val="20"/>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w:t>
      </w:r>
    </w:p>
    <w:p>
      <w:pPr>
        <w:spacing w:after="0" w:line="158" w:lineRule="exact"/>
        <w:rPr>
          <w:sz w:val="20"/>
          <w:szCs w:val="20"/>
          <w:color w:val="auto"/>
        </w:rPr>
      </w:pPr>
    </w:p>
    <w:p>
      <w:pPr>
        <w:ind w:left="1020" w:right="620" w:hanging="53"/>
        <w:spacing w:after="0" w:line="237" w:lineRule="auto"/>
        <w:rPr>
          <w:sz w:val="20"/>
          <w:szCs w:val="20"/>
          <w:color w:val="auto"/>
        </w:rPr>
      </w:pPr>
      <w:r>
        <w:rPr>
          <w:rFonts w:ascii="Times New Roman" w:cs="Times New Roman" w:eastAsia="Times New Roman" w:hAnsi="Times New Roman"/>
          <w:sz w:val="18"/>
          <w:szCs w:val="18"/>
          <w:color w:val="auto"/>
        </w:rPr>
        <w:t>·commercialize our drug candidates, if approved, by developing a sales force or entering into additional collaborations with third parties; and</w:t>
      </w:r>
    </w:p>
    <w:p>
      <w:pPr>
        <w:spacing w:after="0" w:line="130" w:lineRule="exact"/>
        <w:rPr>
          <w:sz w:val="20"/>
          <w:szCs w:val="20"/>
          <w:color w:val="auto"/>
        </w:rPr>
      </w:pPr>
    </w:p>
    <w:p>
      <w:pPr>
        <w:jc w:val="center"/>
        <w:ind w:right="-519"/>
        <w:spacing w:after="0" w:line="207" w:lineRule="exact"/>
        <w:rPr>
          <w:sz w:val="20"/>
          <w:szCs w:val="20"/>
          <w:color w:val="auto"/>
        </w:rPr>
      </w:pPr>
      <w:r>
        <w:rPr>
          <w:rFonts w:ascii="Times New Roman" w:cs="Times New Roman" w:eastAsia="Times New Roman" w:hAnsi="Times New Roman"/>
          <w:sz w:val="18"/>
          <w:szCs w:val="18"/>
          <w:color w:val="auto"/>
        </w:rPr>
        <w:t>·achieve market acceptance of our drug candidates in the medical community and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13"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5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29" w:lineRule="exact"/>
        <w:rPr>
          <w:sz w:val="20"/>
          <w:szCs w:val="20"/>
          <w:color w:val="auto"/>
        </w:rPr>
      </w:pPr>
    </w:p>
    <w:p>
      <w:pPr>
        <w:ind w:right="160" w:firstLine="648"/>
        <w:spacing w:after="0" w:line="193" w:lineRule="exact"/>
        <w:rPr>
          <w:sz w:val="20"/>
          <w:szCs w:val="20"/>
          <w:color w:val="auto"/>
        </w:rPr>
      </w:pPr>
      <w:r>
        <w:rPr>
          <w:rFonts w:ascii="Times New Roman" w:cs="Times New Roman" w:eastAsia="Times New Roman" w:hAnsi="Times New Roman"/>
          <w:sz w:val="18"/>
          <w:szCs w:val="18"/>
          <w:color w:val="auto"/>
        </w:rPr>
        <w:t>The development of pharmaceuticals is capital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We are currently advancing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3" w:lineRule="auto"/>
        <w:rPr>
          <w:sz w:val="20"/>
          <w:szCs w:val="20"/>
          <w:color w:val="auto"/>
        </w:rPr>
      </w:pPr>
      <w:r>
        <w:rPr>
          <w:rFonts w:ascii="Times New Roman" w:cs="Times New Roman" w:eastAsia="Times New Roman" w:hAnsi="Times New Roman"/>
          <w:sz w:val="18"/>
          <w:szCs w:val="18"/>
          <w:color w:val="auto"/>
        </w:rPr>
        <w:t>related to drug sales, marketing, manufacturing and distribution to the extent that such sales, marketing and distribution are not the responsibility of Alexion or other collaborators. We may also need to raise additional funds sooner if we choose to pursue additional indications and/or geographies for our drug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5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As of September 30, 2015, we had cash and cash equivalents of $179.8 million. We expect that our existing cash and cash equivalents will be sufficient to enable us to fund our operating expenses and capital expenditure requirements through at least early 2017. Our future capital requirements will depend on and could increase significantly as a result of many factors, including:</w:t>
      </w:r>
    </w:p>
    <w:p>
      <w:pPr>
        <w:spacing w:after="0" w:line="131" w:lineRule="exact"/>
        <w:rPr>
          <w:sz w:val="20"/>
          <w:szCs w:val="20"/>
          <w:color w:val="auto"/>
        </w:rPr>
      </w:pPr>
    </w:p>
    <w:p>
      <w:pPr>
        <w:ind w:left="1020" w:right="540" w:hanging="53"/>
        <w:spacing w:after="0" w:line="220" w:lineRule="exact"/>
        <w:rPr>
          <w:sz w:val="20"/>
          <w:szCs w:val="20"/>
          <w:color w:val="auto"/>
        </w:rPr>
      </w:pPr>
      <w:r>
        <w:rPr>
          <w:rFonts w:ascii="Times New Roman" w:cs="Times New Roman" w:eastAsia="Times New Roman" w:hAnsi="Times New Roman"/>
          <w:sz w:val="18"/>
          <w:szCs w:val="18"/>
          <w:color w:val="auto"/>
        </w:rPr>
        <w:t>·the scope, progress, results and costs of drug discovery,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laboratory testing and clinical trials for our drug candidates;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the success of our collaboration with Alexion;</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85" w:lineRule="exact"/>
        <w:rPr>
          <w:sz w:val="20"/>
          <w:szCs w:val="20"/>
          <w:color w:val="auto"/>
        </w:rPr>
      </w:pPr>
    </w:p>
    <w:p>
      <w:pPr>
        <w:ind w:left="1020" w:right="60" w:hanging="53"/>
        <w:spacing w:after="0" w:line="237"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any additional collaboration agreements we obtain;</w:t>
      </w:r>
    </w:p>
    <w:p>
      <w:pPr>
        <w:spacing w:after="0" w:line="158" w:lineRule="exact"/>
        <w:rPr>
          <w:sz w:val="20"/>
          <w:szCs w:val="20"/>
          <w:color w:val="auto"/>
        </w:rPr>
      </w:pPr>
    </w:p>
    <w:p>
      <w:pPr>
        <w:ind w:left="1020" w:right="320" w:hanging="53"/>
        <w:spacing w:after="0" w:line="237" w:lineRule="auto"/>
        <w:rPr>
          <w:sz w:val="20"/>
          <w:szCs w:val="20"/>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158" w:lineRule="exact"/>
        <w:rPr>
          <w:sz w:val="20"/>
          <w:szCs w:val="20"/>
          <w:color w:val="auto"/>
        </w:rPr>
      </w:pPr>
    </w:p>
    <w:p>
      <w:pPr>
        <w:ind w:left="1020" w:right="280" w:hanging="53"/>
        <w:spacing w:after="0" w:line="215" w:lineRule="exact"/>
        <w:rPr>
          <w:sz w:val="20"/>
          <w:szCs w:val="20"/>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09" w:lineRule="exact"/>
        <w:rPr>
          <w:sz w:val="20"/>
          <w:szCs w:val="20"/>
          <w:color w:val="auto"/>
        </w:rPr>
      </w:pPr>
    </w:p>
    <w:p>
      <w:pPr>
        <w:ind w:left="980" w:right="1960"/>
        <w:spacing w:after="0" w:line="327" w:lineRule="exact"/>
        <w:rPr>
          <w:sz w:val="20"/>
          <w:szCs w:val="20"/>
          <w:color w:val="auto"/>
        </w:rPr>
      </w:pPr>
      <w:r>
        <w:rPr>
          <w:rFonts w:ascii="Times New Roman" w:cs="Times New Roman" w:eastAsia="Times New Roman" w:hAnsi="Times New Roman"/>
          <w:sz w:val="18"/>
          <w:szCs w:val="18"/>
          <w:color w:val="auto"/>
        </w:rPr>
        <w:t>·the extent to which we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drug candidates and technologies; ·the costs of securing manufacturing arrangements for commercial production; and</w:t>
      </w:r>
    </w:p>
    <w:p>
      <w:pPr>
        <w:spacing w:after="0" w:line="158" w:lineRule="exact"/>
        <w:rPr>
          <w:sz w:val="20"/>
          <w:szCs w:val="20"/>
          <w:color w:val="auto"/>
        </w:rPr>
      </w:pPr>
    </w:p>
    <w:p>
      <w:pPr>
        <w:ind w:left="1020" w:right="180" w:hanging="53"/>
        <w:spacing w:after="0" w:line="237" w:lineRule="auto"/>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drug candidates.</w:t>
      </w:r>
    </w:p>
    <w:p>
      <w:pPr>
        <w:spacing w:after="0" w:line="130" w:lineRule="exact"/>
        <w:rPr>
          <w:sz w:val="20"/>
          <w:szCs w:val="20"/>
          <w:color w:val="auto"/>
        </w:rPr>
      </w:pPr>
    </w:p>
    <w:p>
      <w:pPr>
        <w:ind w:firstLine="648"/>
        <w:spacing w:after="0" w:line="190" w:lineRule="exact"/>
        <w:rPr>
          <w:sz w:val="20"/>
          <w:szCs w:val="20"/>
          <w:color w:val="auto"/>
        </w:rPr>
      </w:pPr>
      <w:r>
        <w:rPr>
          <w:rFonts w:ascii="Times New Roman" w:cs="Times New Roman" w:eastAsia="Times New Roman" w:hAnsi="Times New Roman"/>
          <w:sz w:val="18"/>
          <w:szCs w:val="18"/>
          <w:color w:val="auto"/>
        </w:rPr>
        <w:t>Identifying potential drug candidates and conducting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and testing and clinical trials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31" w:lineRule="exact"/>
        <w:rPr>
          <w:sz w:val="20"/>
          <w:szCs w:val="20"/>
          <w:color w:val="auto"/>
        </w:rPr>
      </w:pPr>
    </w:p>
    <w:p>
      <w:pPr>
        <w:ind w:right="300" w:firstLine="648"/>
        <w:spacing w:after="0" w:line="190" w:lineRule="exact"/>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18"/>
          <w:szCs w:val="18"/>
          <w:color w:val="auto"/>
        </w:rPr>
        <w:t>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5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5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drug candidates.</w:t>
      </w:r>
    </w:p>
    <w:p>
      <w:pPr>
        <w:spacing w:after="0" w:line="157"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 with Alexion, which is limited in scope and duration, and funds already borrowed under the loan and security agreement, or Loan and Security Agreement, that we entered into with Silicon Valley Bank in May 2013.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1" w:lineRule="exact"/>
        <w:rPr>
          <w:sz w:val="20"/>
          <w:szCs w:val="20"/>
          <w:color w:val="auto"/>
        </w:rPr>
      </w:pPr>
    </w:p>
    <w:p>
      <w:pPr>
        <w:ind w:right="180" w:firstLine="648"/>
        <w:spacing w:after="0" w:line="214"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117"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with only two drug candidates, BLU-285 and BLU-554, in clinical development.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We are very early in our development efforts with only two drug candidates, BLU-285 and BLU-554, in clinical development. All of our other drug candidates are currently in pre-clinical or earlier stages of development. We have invested substantially all of our efforts and financial resources in the identification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of kinase inhibitors, including the development of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or clinical development, management of clinical,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20" w:lineRule="auto"/>
        <w:rPr>
          <w:sz w:val="20"/>
          <w:szCs w:val="20"/>
          <w:color w:val="auto"/>
        </w:rPr>
      </w:pPr>
      <w:r>
        <w:rPr>
          <w:rFonts w:ascii="Times New Roman" w:cs="Times New Roman" w:eastAsia="Times New Roman" w:hAnsi="Times New Roman"/>
          <w:sz w:val="18"/>
          <w:szCs w:val="18"/>
          <w:color w:val="auto"/>
        </w:rPr>
        <w:t>are assays or tests to identify an appropriate patient population. Companion diagnostics are subject to regulation as medical devices and must themselves be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159" w:lineRule="exact"/>
        <w:rPr>
          <w:sz w:val="20"/>
          <w:szCs w:val="20"/>
          <w:color w:val="auto"/>
        </w:rPr>
      </w:pPr>
    </w:p>
    <w:p>
      <w:pPr>
        <w:ind w:left="1020" w:right="420" w:hanging="53"/>
        <w:spacing w:after="0" w:line="237" w:lineRule="auto"/>
        <w:rPr>
          <w:sz w:val="20"/>
          <w:szCs w:val="20"/>
          <w:color w:val="auto"/>
        </w:rPr>
      </w:pPr>
      <w:r>
        <w:rPr>
          <w:rFonts w:ascii="Times New Roman" w:cs="Times New Roman" w:eastAsia="Times New Roman" w:hAnsi="Times New Roman"/>
          <w:sz w:val="18"/>
          <w:szCs w:val="18"/>
          <w:color w:val="auto"/>
        </w:rPr>
        <w:t>·successful enrollment in, and completion of, clinical trials, including our current Phase 1 clinical trials for BLU-285 and BLU-554;</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·successful completion of pre-clinical studies for our other drug candidates;</w:t>
      </w:r>
    </w:p>
    <w:p>
      <w:pPr>
        <w:spacing w:after="0" w:line="185" w:lineRule="exact"/>
        <w:rPr>
          <w:sz w:val="20"/>
          <w:szCs w:val="20"/>
          <w:color w:val="auto"/>
        </w:rPr>
      </w:pPr>
    </w:p>
    <w:p>
      <w:pPr>
        <w:ind w:left="980" w:right="1980" w:hanging="5"/>
        <w:spacing w:after="0" w:line="454" w:lineRule="auto"/>
        <w:tabs>
          <w:tab w:leader="none" w:pos="10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INDs for future clinical trials for our other drug candidates; ·successful development of companion diagnostics for use with our drug candidates;</w:t>
      </w:r>
    </w:p>
    <w:p>
      <w:pPr>
        <w:ind w:left="1060" w:hanging="85"/>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w:t>
      </w:r>
    </w:p>
    <w:p>
      <w:pPr>
        <w:spacing w:after="0" w:line="156" w:lineRule="exact"/>
        <w:rPr>
          <w:sz w:val="20"/>
          <w:szCs w:val="20"/>
          <w:color w:val="auto"/>
        </w:rPr>
      </w:pPr>
    </w:p>
    <w:p>
      <w:pPr>
        <w:ind w:left="1020" w:hanging="53"/>
        <w:spacing w:after="0" w:line="220" w:lineRule="exact"/>
        <w:rPr>
          <w:sz w:val="20"/>
          <w:szCs w:val="20"/>
          <w:color w:val="auto"/>
        </w:rPr>
      </w:pPr>
      <w:r>
        <w:rPr>
          <w:rFonts w:ascii="Times New Roman" w:cs="Times New Roman" w:eastAsia="Times New Roman" w:hAnsi="Times New Roman"/>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clinical supply and commercial manufacturing;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·obtaining and maintaining patent and trade secret protection or regulatory exclusivity for our drug candidates;</w:t>
      </w:r>
    </w:p>
    <w:p>
      <w:pPr>
        <w:spacing w:after="0" w:line="185" w:lineRule="exact"/>
        <w:rPr>
          <w:sz w:val="20"/>
          <w:szCs w:val="20"/>
          <w:color w:val="auto"/>
        </w:rPr>
      </w:pPr>
    </w:p>
    <w:p>
      <w:pPr>
        <w:ind w:left="1020" w:right="240" w:hanging="53"/>
        <w:spacing w:after="0" w:line="237" w:lineRule="auto"/>
        <w:rPr>
          <w:sz w:val="20"/>
          <w:szCs w:val="20"/>
          <w:color w:val="auto"/>
        </w:rPr>
      </w:pPr>
      <w:r>
        <w:rPr>
          <w:rFonts w:ascii="Times New Roman" w:cs="Times New Roman" w:eastAsia="Times New Roman" w:hAnsi="Times New Roman"/>
          <w:sz w:val="18"/>
          <w:szCs w:val="18"/>
          <w:color w:val="auto"/>
        </w:rPr>
        <w:t>·launching commercial sales of our drug candidates, if and when approved, whether alone or in collaboration with others;</w:t>
      </w:r>
    </w:p>
    <w:p>
      <w:pPr>
        <w:spacing w:after="0" w:line="158" w:lineRule="exact"/>
        <w:rPr>
          <w:sz w:val="20"/>
          <w:szCs w:val="20"/>
          <w:color w:val="auto"/>
        </w:rPr>
      </w:pPr>
    </w:p>
    <w:p>
      <w:pPr>
        <w:ind w:left="1020" w:right="180" w:hanging="53"/>
        <w:spacing w:after="0" w:line="237" w:lineRule="auto"/>
        <w:rPr>
          <w:sz w:val="20"/>
          <w:szCs w:val="20"/>
          <w:color w:val="auto"/>
        </w:rPr>
      </w:pPr>
      <w:r>
        <w:rPr>
          <w:rFonts w:ascii="Times New Roman" w:cs="Times New Roman" w:eastAsia="Times New Roman" w:hAnsi="Times New Roman"/>
          <w:sz w:val="18"/>
          <w:szCs w:val="18"/>
          <w:color w:val="auto"/>
        </w:rPr>
        <w:t>·acceptance of the drug candidates, if and when approved, by patients, the medical community and third party payors;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effectively competing with other therapies;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enforcing and defending intellectual property rights and claims; and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54"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57" w:lineRule="exact"/>
        <w:rPr>
          <w:sz w:val="20"/>
          <w:szCs w:val="20"/>
          <w:color w:val="auto"/>
        </w:rPr>
      </w:pPr>
    </w:p>
    <w:p>
      <w:pPr>
        <w:jc w:val="both"/>
        <w:ind w:right="80" w:firstLine="648"/>
        <w:spacing w:after="0" w:line="185" w:lineRule="exact"/>
        <w:rPr>
          <w:sz w:val="20"/>
          <w:szCs w:val="20"/>
          <w:color w:val="auto"/>
        </w:rPr>
      </w:pPr>
      <w:r>
        <w:rPr>
          <w:rFonts w:ascii="Times New Roman" w:cs="Times New Roman" w:eastAsia="Times New Roman" w:hAnsi="Times New Roman"/>
          <w:sz w:val="18"/>
          <w:szCs w:val="18"/>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we may not succeed in demonstrating safety and efficacy of the drug candidate in clinical trials.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59" w:lineRule="exact"/>
        <w:rPr>
          <w:sz w:val="20"/>
          <w:szCs w:val="20"/>
          <w:color w:val="auto"/>
        </w:rPr>
      </w:pPr>
    </w:p>
    <w:p>
      <w:pPr>
        <w:ind w:right="60" w:firstLine="648"/>
        <w:spacing w:after="0" w:line="181" w:lineRule="exact"/>
        <w:rPr>
          <w:sz w:val="20"/>
          <w:szCs w:val="20"/>
          <w:color w:val="auto"/>
        </w:rPr>
      </w:pPr>
      <w:r>
        <w:rPr>
          <w:rFonts w:ascii="Times New Roman" w:cs="Times New Roman" w:eastAsia="Times New Roman" w:hAnsi="Times New Roman"/>
          <w:sz w:val="18"/>
          <w:szCs w:val="18"/>
          <w:color w:val="auto"/>
        </w:rPr>
        <w:t>Each of our lead drug candidates, BLU-285 and BLU-554, is in clinical development, and all of our other drug candidates are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The risk of failure for our lead drug candidates and other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and clinical data are often susceptible to varying interpretations and analyses, and many companies that have believed their drug candidates performed satisfactorily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and clinical trials have nonetheless failed to obtain marketing approval of their product candidates. Our pre-clinical studies, current Phase 1 clinical trials and future clinical trials may not be successful.</w:t>
      </w:r>
    </w:p>
    <w:p>
      <w:pPr>
        <w:spacing w:after="0" w:line="160" w:lineRule="exact"/>
        <w:rPr>
          <w:sz w:val="20"/>
          <w:szCs w:val="20"/>
          <w:color w:val="auto"/>
        </w:rPr>
      </w:pPr>
    </w:p>
    <w:p>
      <w:pPr>
        <w:ind w:right="140" w:firstLine="648"/>
        <w:spacing w:after="0" w:line="183" w:lineRule="exact"/>
        <w:rPr>
          <w:sz w:val="20"/>
          <w:szCs w:val="20"/>
          <w:color w:val="auto"/>
        </w:rPr>
      </w:pPr>
      <w:r>
        <w:rPr>
          <w:rFonts w:ascii="Times New Roman" w:cs="Times New Roman" w:eastAsia="Times New Roman" w:hAnsi="Times New Roman"/>
          <w:sz w:val="18"/>
          <w:szCs w:val="18"/>
          <w:color w:val="auto"/>
        </w:rPr>
        <w:t>We have initiated dose-escalation Phase 1 clinical trials for BLU-285 for the treatment of unresectable, treatment-resistant GIST and BLU-554 for the treatment of advanced HCC and cholangiocarcinoma. In addition, in September 2015, the FDA accepted our IND application to begin a Phase 1 clinical trial for BLU-285 for the treatment of advanced SM, and we are in the process of initiating clinical sites. Successful completion of our clinical trials is a prerequisite to submitting a new drug application, or NDA, to the FDA and a Marketing Authorization Application, or MAA, in Europe for each drug candidate and, consequently, the ultimate approval and commercial marketing of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our other drug candidates. We do not know whether any of our clinical trials for our lead drug candidates will be completed on schedule, if at all.</w:t>
      </w:r>
    </w:p>
    <w:p>
      <w:pPr>
        <w:spacing w:after="0" w:line="158"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58" w:lineRule="exact"/>
        <w:rPr>
          <w:sz w:val="20"/>
          <w:szCs w:val="20"/>
          <w:color w:val="auto"/>
        </w:rPr>
      </w:pPr>
    </w:p>
    <w:p>
      <w:pPr>
        <w:ind w:left="1020" w:right="880" w:hanging="53"/>
        <w:spacing w:after="0" w:line="237" w:lineRule="auto"/>
        <w:rPr>
          <w:sz w:val="20"/>
          <w:szCs w:val="20"/>
          <w:color w:val="auto"/>
        </w:rPr>
      </w:pPr>
      <w:r>
        <w:rPr>
          <w:rFonts w:ascii="Times New Roman" w:cs="Times New Roman" w:eastAsia="Times New Roman" w:hAnsi="Times New Roman"/>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58" w:lineRule="exact"/>
        <w:rPr>
          <w:sz w:val="20"/>
          <w:szCs w:val="20"/>
          <w:color w:val="auto"/>
        </w:rPr>
      </w:pPr>
    </w:p>
    <w:p>
      <w:pPr>
        <w:ind w:left="1020" w:right="120" w:hanging="53"/>
        <w:spacing w:after="0" w:line="226"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58" w:lineRule="exact"/>
        <w:rPr>
          <w:sz w:val="20"/>
          <w:szCs w:val="20"/>
          <w:color w:val="auto"/>
        </w:rPr>
      </w:pPr>
    </w:p>
    <w:p>
      <w:pPr>
        <w:jc w:val="both"/>
        <w:ind w:left="1020" w:right="420" w:hanging="53"/>
        <w:spacing w:after="0" w:line="195" w:lineRule="exact"/>
        <w:rPr>
          <w:sz w:val="20"/>
          <w:szCs w:val="20"/>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or clinical trials or we may decide to abandon drug development programs;</w:t>
      </w:r>
    </w:p>
    <w:p>
      <w:pPr>
        <w:spacing w:after="0" w:line="158" w:lineRule="exact"/>
        <w:rPr>
          <w:sz w:val="20"/>
          <w:szCs w:val="20"/>
          <w:color w:val="auto"/>
        </w:rPr>
      </w:pPr>
    </w:p>
    <w:p>
      <w:pPr>
        <w:jc w:val="both"/>
        <w:ind w:left="1020" w:right="440" w:hanging="53"/>
        <w:spacing w:after="0" w:line="202" w:lineRule="exact"/>
        <w:rPr>
          <w:sz w:val="20"/>
          <w:szCs w:val="20"/>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treatment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at a higher rate than we anticipate;</w:t>
      </w:r>
    </w:p>
    <w:p>
      <w:pPr>
        <w:spacing w:after="0" w:line="137" w:lineRule="exact"/>
        <w:rPr>
          <w:sz w:val="20"/>
          <w:szCs w:val="20"/>
          <w:color w:val="auto"/>
        </w:rPr>
      </w:pPr>
    </w:p>
    <w:p>
      <w:pPr>
        <w:ind w:left="1020" w:right="140" w:hanging="53"/>
        <w:spacing w:after="0" w:line="226" w:lineRule="auto"/>
        <w:rPr>
          <w:sz w:val="20"/>
          <w:szCs w:val="20"/>
          <w:color w:val="auto"/>
        </w:rPr>
      </w:pPr>
      <w:r>
        <w:rPr>
          <w:rFonts w:ascii="Times New Roman" w:cs="Times New Roman" w:eastAsia="Times New Roman" w:hAnsi="Times New Roman"/>
          <w:sz w:val="18"/>
          <w:szCs w:val="18"/>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58" w:lineRule="exact"/>
        <w:rPr>
          <w:sz w:val="20"/>
          <w:szCs w:val="20"/>
          <w:color w:val="auto"/>
        </w:rPr>
      </w:pPr>
    </w:p>
    <w:p>
      <w:pPr>
        <w:ind w:left="1020" w:hanging="53"/>
        <w:spacing w:after="0" w:line="226" w:lineRule="auto"/>
        <w:rPr>
          <w:sz w:val="20"/>
          <w:szCs w:val="20"/>
          <w:color w:val="auto"/>
        </w:rPr>
      </w:pPr>
      <w:r>
        <w:rPr>
          <w:rFonts w:ascii="Times New Roman" w:cs="Times New Roman" w:eastAsia="Times New Roman" w:hAnsi="Times New Roman"/>
          <w:sz w:val="18"/>
          <w:szCs w:val="18"/>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85" w:lineRule="exact"/>
        <w:rPr>
          <w:sz w:val="20"/>
          <w:szCs w:val="20"/>
          <w:color w:val="auto"/>
        </w:rPr>
      </w:pPr>
    </w:p>
    <w:p>
      <w:pPr>
        <w:ind w:left="1020" w:right="179" w:hanging="53"/>
        <w:spacing w:after="0" w:line="237" w:lineRule="auto"/>
        <w:rPr>
          <w:sz w:val="20"/>
          <w:szCs w:val="20"/>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158" w:lineRule="exact"/>
        <w:rPr>
          <w:sz w:val="20"/>
          <w:szCs w:val="20"/>
          <w:color w:val="auto"/>
        </w:rPr>
      </w:pPr>
    </w:p>
    <w:p>
      <w:pPr>
        <w:jc w:val="both"/>
        <w:ind w:left="1020" w:right="219" w:hanging="53"/>
        <w:spacing w:after="0" w:line="190" w:lineRule="exact"/>
        <w:rPr>
          <w:sz w:val="20"/>
          <w:szCs w:val="20"/>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or ethics committees to suspend or terminate the trials, or reports may arise from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or clinical testing of other cancer therapies that raise safety or efficacy concerns about our drug candidates; and</w:t>
      </w:r>
    </w:p>
    <w:p>
      <w:pPr>
        <w:spacing w:after="0" w:line="159" w:lineRule="exact"/>
        <w:rPr>
          <w:sz w:val="20"/>
          <w:szCs w:val="20"/>
          <w:color w:val="auto"/>
        </w:rPr>
      </w:pPr>
    </w:p>
    <w:p>
      <w:pPr>
        <w:ind w:left="1020" w:right="79" w:hanging="53"/>
        <w:spacing w:after="0" w:line="237" w:lineRule="auto"/>
        <w:rPr>
          <w:sz w:val="20"/>
          <w:szCs w:val="20"/>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spacing w:after="0" w:line="158" w:lineRule="exact"/>
        <w:rPr>
          <w:sz w:val="20"/>
          <w:szCs w:val="20"/>
          <w:color w:val="auto"/>
        </w:rPr>
      </w:pPr>
    </w:p>
    <w:p>
      <w:pPr>
        <w:ind w:right="39" w:firstLine="648"/>
        <w:spacing w:after="0" w:line="209"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65" w:lineRule="exact"/>
        <w:rPr>
          <w:sz w:val="20"/>
          <w:szCs w:val="20"/>
          <w:color w:val="auto"/>
        </w:rPr>
      </w:pPr>
    </w:p>
    <w:p>
      <w:pPr>
        <w:jc w:val="both"/>
        <w:ind w:right="159" w:firstLine="648"/>
        <w:spacing w:after="0" w:line="22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58" w:lineRule="exact"/>
        <w:rPr>
          <w:sz w:val="20"/>
          <w:szCs w:val="20"/>
          <w:color w:val="auto"/>
        </w:rPr>
      </w:pPr>
    </w:p>
    <w:p>
      <w:pPr>
        <w:ind w:left="1060" w:hanging="85"/>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84"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56" w:lineRule="exact"/>
        <w:rPr>
          <w:sz w:val="20"/>
          <w:szCs w:val="20"/>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be subject to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requirements; or</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185" w:lineRule="exact"/>
        <w:rPr>
          <w:sz w:val="20"/>
          <w:szCs w:val="20"/>
          <w:color w:val="auto"/>
        </w:rPr>
      </w:pPr>
    </w:p>
    <w:p>
      <w:pPr>
        <w:ind w:right="59" w:firstLine="648"/>
        <w:spacing w:after="0" w:line="184" w:lineRule="exact"/>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55" w:lineRule="exact"/>
        <w:rPr>
          <w:sz w:val="20"/>
          <w:szCs w:val="20"/>
          <w:color w:val="auto"/>
        </w:rPr>
      </w:pPr>
    </w:p>
    <w:p>
      <w:pPr>
        <w:ind w:right="239"/>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7" w:lineRule="exact"/>
        <w:rPr>
          <w:sz w:val="20"/>
          <w:szCs w:val="20"/>
          <w:color w:val="auto"/>
        </w:rPr>
      </w:pPr>
    </w:p>
    <w:p>
      <w:pPr>
        <w:ind w:right="39" w:firstLine="648"/>
        <w:spacing w:after="0" w:line="22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patients with genomically defined</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8"/>
          <w:szCs w:val="18"/>
          <w:color w:val="auto"/>
        </w:rPr>
        <w:t>diseases,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85" w:lineRule="exact"/>
        <w:rPr>
          <w:sz w:val="20"/>
          <w:szCs w:val="20"/>
          <w:color w:val="auto"/>
        </w:rPr>
      </w:pPr>
    </w:p>
    <w:p>
      <w:pPr>
        <w:ind w:left="1100" w:hanging="125"/>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 in question;</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84" w:lineRule="exact"/>
        <w:rPr>
          <w:rFonts w:ascii="Times New Roman" w:cs="Times New Roman" w:eastAsia="Times New Roman" w:hAnsi="Times New Roman"/>
          <w:sz w:val="18"/>
          <w:szCs w:val="18"/>
          <w:color w:val="auto"/>
        </w:rPr>
      </w:pPr>
    </w:p>
    <w:p>
      <w:pPr>
        <w:ind w:left="980" w:right="2640" w:hanging="5"/>
        <w:spacing w:after="0" w:line="478" w:lineRule="auto"/>
        <w:tabs>
          <w:tab w:leader="none" w:pos="106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 and ·the proximity and availability of clinical trial sites for prospective patients.</w:t>
      </w:r>
    </w:p>
    <w:p>
      <w:pPr>
        <w:spacing w:after="0" w:line="1" w:lineRule="exact"/>
        <w:rPr>
          <w:sz w:val="20"/>
          <w:szCs w:val="20"/>
          <w:color w:val="auto"/>
        </w:rPr>
      </w:pPr>
    </w:p>
    <w:p>
      <w:pPr>
        <w:ind w:right="520"/>
        <w:spacing w:after="0"/>
        <w:rPr>
          <w:sz w:val="20"/>
          <w:szCs w:val="20"/>
          <w:color w:val="auto"/>
        </w:rPr>
      </w:pPr>
      <w:r>
        <w:rPr>
          <w:rFonts w:ascii="Times New Roman" w:cs="Times New Roman" w:eastAsia="Times New Roman" w:hAnsi="Times New Roman"/>
          <w:sz w:val="18"/>
          <w:szCs w:val="18"/>
          <w:b w:val="1"/>
          <w:bCs w:val="1"/>
          <w:i w:val="1"/>
          <w:iCs w:val="1"/>
          <w:color w:val="auto"/>
        </w:rPr>
        <w:t>Genomically defined diseases may have relatively low prevalence and it may be difficult to identify patients with the genomic driver of the disease, which may lead to delays in enrollment for our trials.</w:t>
      </w:r>
    </w:p>
    <w:p>
      <w:pPr>
        <w:spacing w:after="0" w:line="129"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Following our general drug development strategy, we designed our Phase 1 clinical trials of each of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expect to design future trials, to include some patients with the applicable genomic alteration that causes the disease with a view to assessing possible early evidence of potential therapeutic effect. Genomically defined diseases, however, may have relatively low prevalence and it may be difficult to identify patients with the applicable genomic alteration. We intend to engage third parties to develop companion diagnostics for use in our clinical trials, but such third parties may not be successful in developing such companion diagnostics, furthering the difficulty in identifying patients with the applicable genomic alteration for our clinical trials. Our inability to enroll a sufficient number of patients with the applicable genomic alteration for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Further, if we are unable to include patients with the applicable genomic alteration, this could compromise our ability to seek participation in FDA’s expedited review and approval programs, including Breakthrough Therapy Designation and Fast Track Designation, or otherwise to seek to accelerate clinical development and regulatory timelines.</w:t>
      </w:r>
    </w:p>
    <w:p>
      <w:pPr>
        <w:spacing w:after="0" w:line="157"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92"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18"/>
          <w:szCs w:val="18"/>
          <w:color w:val="auto"/>
        </w:rPr>
        <w:t>Our drug candidates and the related companion diagnostics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184" w:lineRule="exact"/>
        <w:rPr>
          <w:sz w:val="20"/>
          <w:szCs w:val="20"/>
          <w:color w:val="auto"/>
        </w:rPr>
      </w:pPr>
      <w:r>
        <w:rPr>
          <w:rFonts w:ascii="Times New Roman" w:cs="Times New Roman" w:eastAsia="Times New Roman" w:hAnsi="Times New Roman"/>
          <w:sz w:val="18"/>
          <w:szCs w:val="18"/>
          <w:color w:val="auto"/>
        </w:rPr>
        <w:t>approvals and expect to rely on third-party CROs and/or regulatory consultants to assist us in this process. Securing regulatory approval requires the submission of extensive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92"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or PMA, application for a companion diagnostic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clinical or other studies. Our drug candidates could be delayed in receiving, or fail to receive, regulatory approval for many reasons, including the following:</w:t>
      </w:r>
    </w:p>
    <w:p>
      <w:pPr>
        <w:spacing w:after="0" w:line="77" w:lineRule="exact"/>
        <w:rPr>
          <w:sz w:val="20"/>
          <w:szCs w:val="20"/>
          <w:color w:val="auto"/>
        </w:rPr>
      </w:pPr>
    </w:p>
    <w:p>
      <w:pPr>
        <w:ind w:left="1020" w:right="180" w:hanging="53"/>
        <w:spacing w:after="0" w:line="237" w:lineRule="auto"/>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58" w:lineRule="exact"/>
        <w:rPr>
          <w:sz w:val="20"/>
          <w:szCs w:val="20"/>
          <w:color w:val="auto"/>
        </w:rPr>
      </w:pPr>
    </w:p>
    <w:p>
      <w:pPr>
        <w:ind w:left="1020" w:right="200" w:hanging="53"/>
        <w:spacing w:after="0" w:line="226" w:lineRule="auto"/>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58" w:lineRule="exact"/>
        <w:rPr>
          <w:sz w:val="20"/>
          <w:szCs w:val="20"/>
          <w:color w:val="auto"/>
        </w:rPr>
      </w:pPr>
    </w:p>
    <w:p>
      <w:pPr>
        <w:ind w:left="1020" w:right="860" w:hanging="53"/>
        <w:spacing w:after="0" w:line="237"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85" w:lineRule="exact"/>
        <w:rPr>
          <w:sz w:val="20"/>
          <w:szCs w:val="20"/>
          <w:color w:val="auto"/>
        </w:rPr>
      </w:pPr>
    </w:p>
    <w:p>
      <w:pPr>
        <w:ind w:left="1020" w:right="580" w:hanging="53"/>
        <w:spacing w:after="0" w:line="215" w:lineRule="exact"/>
        <w:rPr>
          <w:sz w:val="20"/>
          <w:szCs w:val="20"/>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or clinical trials;</w:t>
      </w:r>
    </w:p>
    <w:p>
      <w:pPr>
        <w:spacing w:after="0" w:line="138" w:lineRule="exact"/>
        <w:rPr>
          <w:sz w:val="20"/>
          <w:szCs w:val="20"/>
          <w:color w:val="auto"/>
        </w:rPr>
      </w:pPr>
    </w:p>
    <w:p>
      <w:pPr>
        <w:ind w:left="1020" w:right="80" w:hanging="53"/>
        <w:spacing w:after="0" w:line="237" w:lineRule="auto"/>
        <w:rPr>
          <w:sz w:val="20"/>
          <w:szCs w:val="20"/>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158" w:lineRule="exact"/>
        <w:rPr>
          <w:sz w:val="20"/>
          <w:szCs w:val="20"/>
          <w:color w:val="auto"/>
        </w:rPr>
      </w:pPr>
    </w:p>
    <w:p>
      <w:pPr>
        <w:ind w:left="1020" w:right="440" w:hanging="53"/>
        <w:spacing w:after="0" w:line="215" w:lineRule="exact"/>
        <w:rPr>
          <w:sz w:val="20"/>
          <w:szCs w:val="20"/>
          <w:color w:val="auto"/>
        </w:rPr>
      </w:pPr>
      <w:r>
        <w:rPr>
          <w:rFonts w:ascii="Times New Roman" w:cs="Times New Roman" w:eastAsia="Times New Roman" w:hAnsi="Times New Roman"/>
          <w:sz w:val="17"/>
          <w:szCs w:val="17"/>
          <w:color w:val="auto"/>
        </w:rPr>
        <w:t>·the FDA or comparable foreign regulatory authorities may fail to approve the manufacturing processes or facilities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with which we contract for clinical and commercial supplies; and</w:t>
      </w:r>
    </w:p>
    <w:p>
      <w:pPr>
        <w:spacing w:after="0" w:line="139" w:lineRule="exact"/>
        <w:rPr>
          <w:sz w:val="20"/>
          <w:szCs w:val="20"/>
          <w:color w:val="auto"/>
        </w:rPr>
      </w:pPr>
    </w:p>
    <w:p>
      <w:pPr>
        <w:ind w:left="1020" w:right="100" w:hanging="53"/>
        <w:spacing w:after="0" w:line="237"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58"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80" w:firstLine="648"/>
        <w:spacing w:after="0" w:line="22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54"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31" w:lineRule="exact"/>
        <w:rPr>
          <w:sz w:val="20"/>
          <w:szCs w:val="20"/>
          <w:color w:val="auto"/>
        </w:rPr>
      </w:pPr>
    </w:p>
    <w:p>
      <w:pPr>
        <w:ind w:right="100" w:firstLine="648"/>
        <w:spacing w:after="0" w:line="185" w:lineRule="exact"/>
        <w:rPr>
          <w:sz w:val="20"/>
          <w:szCs w:val="20"/>
          <w:color w:val="auto"/>
        </w:rPr>
      </w:pPr>
      <w:r>
        <w:rPr>
          <w:rFonts w:ascii="Times New Roman" w:cs="Times New Roman" w:eastAsia="Times New Roman" w:hAnsi="Times New Roman"/>
          <w:sz w:val="18"/>
          <w:szCs w:val="18"/>
          <w:color w:val="auto"/>
        </w:rPr>
        <w:t>Undesirable side effects caused by our drug candidates could cause us to interrupt, delay or halt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35" w:lineRule="exact"/>
        <w:rPr>
          <w:sz w:val="20"/>
          <w:szCs w:val="20"/>
          <w:color w:val="auto"/>
        </w:rPr>
      </w:pPr>
    </w:p>
    <w:p>
      <w:pPr>
        <w:ind w:right="20" w:firstLine="648"/>
        <w:spacing w:after="0" w:line="187" w:lineRule="exact"/>
        <w:rPr>
          <w:sz w:val="20"/>
          <w:szCs w:val="20"/>
          <w:color w:val="auto"/>
        </w:rPr>
      </w:pPr>
      <w:r>
        <w:rPr>
          <w:rFonts w:ascii="Times New Roman" w:cs="Times New Roman" w:eastAsia="Times New Roman" w:hAnsi="Times New Roman"/>
          <w:sz w:val="18"/>
          <w:szCs w:val="18"/>
          <w:color w:val="auto"/>
        </w:rPr>
        <w:t>Further, our drug candidates could cause undesirable side effects in clinical trials related to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Many compounds that initially showed promise in early stage testing for treating cancer have later been found to cause side effects that prevented further development of the compound.</w:t>
      </w:r>
    </w:p>
    <w:p>
      <w:pPr>
        <w:spacing w:after="0" w:line="159"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·regulatory authorities may withdraw or limit their approval of such drug candidates;</w:t>
      </w:r>
    </w:p>
    <w:p>
      <w:pPr>
        <w:spacing w:after="0" w:line="185" w:lineRule="exact"/>
        <w:rPr>
          <w:sz w:val="20"/>
          <w:szCs w:val="20"/>
          <w:color w:val="auto"/>
        </w:rPr>
      </w:pPr>
    </w:p>
    <w:p>
      <w:pPr>
        <w:ind w:left="1020" w:right="720" w:hanging="53"/>
        <w:spacing w:after="0" w:line="237" w:lineRule="auto"/>
        <w:rPr>
          <w:sz w:val="20"/>
          <w:szCs w:val="20"/>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58" w:lineRule="exact"/>
        <w:rPr>
          <w:sz w:val="20"/>
          <w:szCs w:val="20"/>
          <w:color w:val="auto"/>
        </w:rPr>
      </w:pPr>
    </w:p>
    <w:p>
      <w:pPr>
        <w:ind w:left="1020" w:right="440" w:hanging="53"/>
        <w:spacing w:after="0" w:line="237" w:lineRule="auto"/>
        <w:rPr>
          <w:sz w:val="20"/>
          <w:szCs w:val="20"/>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58" w:lineRule="exact"/>
        <w:rPr>
          <w:sz w:val="20"/>
          <w:szCs w:val="20"/>
          <w:color w:val="auto"/>
        </w:rPr>
      </w:pPr>
    </w:p>
    <w:p>
      <w:pPr>
        <w:ind w:left="1020" w:right="20" w:hanging="53"/>
        <w:spacing w:after="0" w:line="237" w:lineRule="auto"/>
        <w:rPr>
          <w:sz w:val="20"/>
          <w:szCs w:val="20"/>
          <w:color w:val="auto"/>
        </w:rPr>
      </w:pPr>
      <w:r>
        <w:rPr>
          <w:rFonts w:ascii="Times New Roman" w:cs="Times New Roman" w:eastAsia="Times New Roman" w:hAnsi="Times New Roman"/>
          <w:sz w:val="18"/>
          <w:szCs w:val="18"/>
          <w:color w:val="auto"/>
        </w:rPr>
        <w:t>·we may be required to change the way such drug candidates are distributed or administered, conduct additional clinical trials or change the labeling of the drug candidates;</w:t>
      </w:r>
    </w:p>
    <w:p>
      <w:pPr>
        <w:spacing w:after="0" w:line="158" w:lineRule="exact"/>
        <w:rPr>
          <w:sz w:val="20"/>
          <w:szCs w:val="20"/>
          <w:color w:val="auto"/>
        </w:rPr>
      </w:pPr>
    </w:p>
    <w:p>
      <w:pPr>
        <w:jc w:val="both"/>
        <w:ind w:left="1020" w:hanging="53"/>
        <w:spacing w:after="0" w:line="226" w:lineRule="auto"/>
        <w:rPr>
          <w:sz w:val="20"/>
          <w:szCs w:val="20"/>
          <w:color w:val="auto"/>
        </w:rPr>
      </w:pPr>
      <w:r>
        <w:rPr>
          <w:rFonts w:ascii="Times New Roman" w:cs="Times New Roman" w:eastAsia="Times New Roman" w:hAnsi="Times New Roman"/>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we may decide to remove such drug candidates from the marketplace;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could be sued and held liable for injury caused to individuals exposed to or taking our drug candidates; and</w:t>
      </w:r>
    </w:p>
    <w:p>
      <w:pPr>
        <w:spacing w:after="0" w:line="185" w:lineRule="exact"/>
        <w:rPr>
          <w:sz w:val="20"/>
          <w:szCs w:val="20"/>
          <w:color w:val="auto"/>
        </w:rPr>
      </w:pPr>
    </w:p>
    <w:p>
      <w:pPr>
        <w:ind w:left="980"/>
        <w:spacing w:after="0"/>
        <w:tabs>
          <w:tab w:leader="none" w:pos="1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our reputation may suffer.</w:t>
      </w:r>
    </w:p>
    <w:p>
      <w:pPr>
        <w:spacing w:after="0" w:line="185"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54" w:lineRule="exact"/>
        <w:rPr>
          <w:sz w:val="20"/>
          <w:szCs w:val="20"/>
          <w:color w:val="auto"/>
        </w:rPr>
      </w:pPr>
    </w:p>
    <w:p>
      <w:pPr>
        <w:jc w:val="both"/>
        <w:ind w:right="5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59"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We may seek a Breakthrough Therapy Designation for some of our drug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58"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55" w:lineRule="exact"/>
        <w:rPr>
          <w:sz w:val="20"/>
          <w:szCs w:val="20"/>
          <w:color w:val="auto"/>
        </w:rPr>
      </w:pPr>
    </w:p>
    <w:p>
      <w:pPr>
        <w:ind w:right="40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157" w:lineRule="exact"/>
        <w:rPr>
          <w:sz w:val="20"/>
          <w:szCs w:val="20"/>
          <w:color w:val="auto"/>
        </w:rPr>
      </w:pPr>
    </w:p>
    <w:p>
      <w:pPr>
        <w:ind w:right="40" w:firstLine="648"/>
        <w:spacing w:after="0" w:line="184" w:lineRule="exact"/>
        <w:rPr>
          <w:sz w:val="20"/>
          <w:szCs w:val="20"/>
          <w:color w:val="auto"/>
        </w:rPr>
      </w:pPr>
      <w:r>
        <w:rPr>
          <w:rFonts w:ascii="Times New Roman" w:cs="Times New Roman" w:eastAsia="Times New Roman" w:hAnsi="Times New Roman"/>
          <w:sz w:val="18"/>
          <w:szCs w:val="18"/>
          <w:color w:val="auto"/>
        </w:rPr>
        <w:t>We may seek Fast Track Designation for some of our drug candidates. If a drug is intended for the treatment of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55" w:lineRule="exact"/>
        <w:rPr>
          <w:sz w:val="20"/>
          <w:szCs w:val="20"/>
          <w:color w:val="auto"/>
        </w:rPr>
      </w:pPr>
    </w:p>
    <w:p>
      <w:pPr>
        <w:ind w:right="2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orphan drug designation for one of our lead drug candidates,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In September 2015, the FDA granted orphan drug designation to BLU-554 for the treatment of HCC. As part of our business strategy, we may seek orphan drug designation for some of our other drug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02" w:lineRule="exact"/>
        <w:rPr>
          <w:sz w:val="20"/>
          <w:szCs w:val="20"/>
          <w:color w:val="auto"/>
        </w:rPr>
      </w:pPr>
      <w:r>
        <w:rPr>
          <w:rFonts w:ascii="Times New Roman" w:cs="Times New Roman" w:eastAsia="Times New Roman" w:hAnsi="Times New Roman"/>
          <w:sz w:val="18"/>
          <w:szCs w:val="18"/>
          <w:color w:val="auto"/>
        </w:rPr>
        <w:t>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waivers.</w:t>
      </w:r>
    </w:p>
    <w:p>
      <w:pPr>
        <w:spacing w:after="0" w:line="137"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Similarly, in Europe,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58"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162"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18"/>
          <w:szCs w:val="18"/>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BLU-554 for the treatment of HCC, we may never receive such designations. Even if we receive orphan drug designation for any of our drug candidates, there is no guarantee that we will enjoy the benefits of those designations.</w:t>
      </w:r>
    </w:p>
    <w:p>
      <w:pPr>
        <w:spacing w:after="0" w:line="156"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drug candidates, we will be subject to ongoing obligations and continued regulatory review, which may result in significant additional expense. Additionally,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drug candidates, the manufacturing</w:t>
      </w:r>
    </w:p>
    <w:p>
      <w:pPr>
        <w:spacing w:after="0" w:line="203" w:lineRule="auto"/>
        <w:rPr>
          <w:sz w:val="20"/>
          <w:szCs w:val="20"/>
          <w:color w:val="auto"/>
        </w:rPr>
      </w:pPr>
      <w:r>
        <w:rPr>
          <w:rFonts w:ascii="Times New Roman" w:cs="Times New Roman" w:eastAsia="Times New Roman" w:hAnsi="Times New Roman"/>
          <w:sz w:val="18"/>
          <w:szCs w:val="18"/>
          <w:color w:val="auto"/>
        </w:rPr>
        <w:t>processes, labeling, packaging, distribution, adverse event reporting, storage, advertising, promotion and recordkeeping for</w:t>
      </w:r>
    </w:p>
    <w:p>
      <w:pPr>
        <w:spacing w:after="0" w:line="204" w:lineRule="auto"/>
        <w:rPr>
          <w:sz w:val="20"/>
          <w:szCs w:val="20"/>
          <w:color w:val="auto"/>
        </w:rPr>
      </w:pPr>
      <w:r>
        <w:rPr>
          <w:rFonts w:ascii="Times New Roman" w:cs="Times New Roman" w:eastAsia="Times New Roman" w:hAnsi="Times New Roman"/>
          <w:sz w:val="18"/>
          <w:szCs w:val="18"/>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Times New Roman" w:cs="Times New Roman" w:eastAsia="Times New Roman" w:hAnsi="Times New Roman"/>
          <w:sz w:val="18"/>
          <w:szCs w:val="18"/>
          <w:color w:val="auto"/>
        </w:rPr>
        <w:t>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and reports, registration, as well as continued compliance with current Good</w:t>
      </w:r>
    </w:p>
    <w:p>
      <w:pPr>
        <w:spacing w:after="0" w:line="204" w:lineRule="auto"/>
        <w:rPr>
          <w:sz w:val="20"/>
          <w:szCs w:val="20"/>
          <w:color w:val="auto"/>
        </w:rPr>
      </w:pPr>
      <w:r>
        <w:rPr>
          <w:rFonts w:ascii="Times New Roman" w:cs="Times New Roman" w:eastAsia="Times New Roman" w:hAnsi="Times New Roman"/>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Times New Roman" w:cs="Times New Roman" w:eastAsia="Times New Roman" w:hAnsi="Times New Roman"/>
          <w:sz w:val="18"/>
          <w:szCs w:val="18"/>
          <w:color w:val="auto"/>
        </w:rPr>
        <w:t>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Any regulatory approvals that we receive for our drug candidates may also be subject to limitations on the</w:t>
      </w:r>
    </w:p>
    <w:p>
      <w:pPr>
        <w:spacing w:after="0" w:line="204" w:lineRule="auto"/>
        <w:rPr>
          <w:sz w:val="20"/>
          <w:szCs w:val="20"/>
          <w:color w:val="auto"/>
        </w:rPr>
      </w:pPr>
      <w:r>
        <w:rPr>
          <w:rFonts w:ascii="Times New Roman" w:cs="Times New Roman" w:eastAsia="Times New Roman" w:hAnsi="Times New Roman"/>
          <w:sz w:val="18"/>
          <w:szCs w:val="18"/>
          <w:color w:val="auto"/>
        </w:rPr>
        <w:t>approved indicated uses for which the drug may be marketed or to the conditions of approval, or contain requirements for</w:t>
      </w:r>
    </w:p>
    <w:p>
      <w:pPr>
        <w:spacing w:after="0" w:line="176" w:lineRule="exact"/>
        <w:rPr>
          <w:sz w:val="20"/>
          <w:szCs w:val="20"/>
          <w:color w:val="auto"/>
        </w:rPr>
      </w:pPr>
      <w:r>
        <w:rPr>
          <w:rFonts w:ascii="Times New Roman" w:cs="Times New Roman" w:eastAsia="Times New Roman" w:hAnsi="Times New Roman"/>
          <w:sz w:val="18"/>
          <w:szCs w:val="18"/>
          <w:color w:val="auto"/>
        </w:rPr>
        <w:t>potentially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including Phase 4 clinical trials, and surveillance to monitor the safety and efficacy</w:t>
      </w:r>
    </w:p>
    <w:p>
      <w:pPr>
        <w:spacing w:after="0" w:line="203" w:lineRule="auto"/>
        <w:rPr>
          <w:sz w:val="20"/>
          <w:szCs w:val="20"/>
          <w:color w:val="auto"/>
        </w:rPr>
      </w:pPr>
      <w:r>
        <w:rPr>
          <w:rFonts w:ascii="Times New Roman" w:cs="Times New Roman" w:eastAsia="Times New Roman" w:hAnsi="Times New Roman"/>
          <w:sz w:val="18"/>
          <w:szCs w:val="18"/>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Times New Roman" w:cs="Times New Roman" w:eastAsia="Times New Roman" w:hAnsi="Times New Roman"/>
          <w:sz w:val="18"/>
          <w:szCs w:val="18"/>
          <w:color w:val="auto"/>
        </w:rPr>
        <w:t>or frequency, or with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manufacturing processes, or failure to comply with regulatory</w:t>
      </w:r>
    </w:p>
    <w:p>
      <w:pPr>
        <w:spacing w:after="0"/>
        <w:rPr>
          <w:sz w:val="20"/>
          <w:szCs w:val="20"/>
          <w:color w:val="auto"/>
        </w:rPr>
      </w:pPr>
      <w:r>
        <w:rPr>
          <w:rFonts w:ascii="Times New Roman" w:cs="Times New Roman" w:eastAsia="Times New Roman" w:hAnsi="Times New Roman"/>
          <w:sz w:val="18"/>
          <w:szCs w:val="18"/>
          <w:color w:val="auto"/>
        </w:rPr>
        <w:t>requirements, may result in, among other things: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640" w:hanging="53"/>
        <w:spacing w:after="0" w:line="237" w:lineRule="auto"/>
        <w:rPr>
          <w:sz w:val="20"/>
          <w:szCs w:val="20"/>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fines, warning letters or holds on clinical trials;</w:t>
      </w:r>
    </w:p>
    <w:p>
      <w:pPr>
        <w:spacing w:after="0" w:line="185" w:lineRule="exact"/>
        <w:rPr>
          <w:sz w:val="20"/>
          <w:szCs w:val="20"/>
          <w:color w:val="auto"/>
        </w:rPr>
      </w:pPr>
    </w:p>
    <w:p>
      <w:pPr>
        <w:ind w:left="1020" w:right="280" w:hanging="53"/>
        <w:spacing w:after="0" w:line="237"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drug license approvals;</w:t>
      </w:r>
    </w:p>
    <w:p>
      <w:pPr>
        <w:spacing w:after="0" w:line="158" w:lineRule="exact"/>
        <w:rPr>
          <w:sz w:val="20"/>
          <w:szCs w:val="20"/>
          <w:color w:val="auto"/>
        </w:rPr>
      </w:pPr>
    </w:p>
    <w:p>
      <w:pPr>
        <w:ind w:left="980" w:right="2240"/>
        <w:spacing w:after="0" w:line="454" w:lineRule="auto"/>
        <w:rPr>
          <w:sz w:val="20"/>
          <w:szCs w:val="20"/>
          <w:color w:val="auto"/>
        </w:rPr>
      </w:pPr>
      <w:r>
        <w:rPr>
          <w:rFonts w:ascii="Times New Roman" w:cs="Times New Roman" w:eastAsia="Times New Roman" w:hAnsi="Times New Roman"/>
          <w:sz w:val="18"/>
          <w:szCs w:val="18"/>
          <w:color w:val="auto"/>
        </w:rPr>
        <w:t>·drug seizure or detention, or refusal to permit the import or export of drugs; and · injunctions or the imposition of civil or criminal penalties.</w:t>
      </w: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54" w:lineRule="exact"/>
        <w:rPr>
          <w:sz w:val="20"/>
          <w:szCs w:val="20"/>
          <w:color w:val="auto"/>
        </w:rPr>
      </w:pPr>
    </w:p>
    <w:p>
      <w:pPr>
        <w:ind w:right="8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drug candidates.</w:t>
      </w:r>
    </w:p>
    <w:p>
      <w:pPr>
        <w:spacing w:after="0" w:line="90" w:lineRule="exact"/>
        <w:rPr>
          <w:sz w:val="20"/>
          <w:szCs w:val="20"/>
          <w:color w:val="auto"/>
        </w:rPr>
      </w:pPr>
    </w:p>
    <w:p>
      <w:pPr>
        <w:ind w:right="140" w:firstLine="648"/>
        <w:spacing w:after="0" w:line="211" w:lineRule="auto"/>
        <w:rPr>
          <w:sz w:val="20"/>
          <w:szCs w:val="20"/>
          <w:color w:val="auto"/>
        </w:rPr>
      </w:pPr>
      <w:r>
        <w:rPr>
          <w:rFonts w:ascii="Times New Roman" w:cs="Times New Roman" w:eastAsia="Times New Roman" w:hAnsi="Times New Roman"/>
          <w:sz w:val="18"/>
          <w:szCs w:val="18"/>
          <w:color w:val="auto"/>
        </w:rPr>
        <w:t>A key element of our strategy is to use our novel target discovery engine to identify kinases that are drivers in genomically defined diseases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73"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90"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04" w:lineRule="exact"/>
        <w:rPr>
          <w:sz w:val="20"/>
          <w:szCs w:val="20"/>
          <w:color w:val="auto"/>
        </w:rPr>
      </w:pPr>
    </w:p>
    <w:p>
      <w:pPr>
        <w:ind w:right="14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92"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18"/>
          <w:szCs w:val="18"/>
          <w:color w:val="auto"/>
        </w:rPr>
        <w:t>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4,500 addressable patients with advanced forms of SM and approximately 16,000 addressable patients with indolent SM in the United States, France, Germany, Italy, Spain, the United Kingdom and Japan, or the Major Markets; (ii) 500 addressable</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40"/>
        <w:spacing w:after="0" w:line="205" w:lineRule="exact"/>
        <w:rPr>
          <w:sz w:val="20"/>
          <w:szCs w:val="20"/>
          <w:color w:val="auto"/>
        </w:rPr>
      </w:pPr>
      <w:r>
        <w:rPr>
          <w:rFonts w:ascii="Times New Roman" w:cs="Times New Roman" w:eastAsia="Times New Roman" w:hAnsi="Times New Roman"/>
          <w:sz w:val="18"/>
          <w:szCs w:val="18"/>
          <w:color w:val="auto"/>
        </w:rPr>
        <w:t>patients with PDGFRα D842V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unresectable or metastatic GIST in the Major Markets and approximately 20,000 addressable patients in the Major Markets with unresectable or metastatic frontline GIST; and (iii) 18,000 first line and 6,000 second line addressable HCC patients with aberrantly active FGFR4, signaling in the Major Markets.</w:t>
      </w:r>
    </w:p>
    <w:p>
      <w:pPr>
        <w:spacing w:after="0" w:line="62" w:lineRule="exact"/>
        <w:rPr>
          <w:sz w:val="20"/>
          <w:szCs w:val="20"/>
          <w:color w:val="auto"/>
        </w:rPr>
      </w:pPr>
    </w:p>
    <w:p>
      <w:pPr>
        <w:ind w:right="60" w:firstLine="648"/>
        <w:spacing w:after="0" w:line="189" w:lineRule="exact"/>
        <w:rPr>
          <w:sz w:val="20"/>
          <w:szCs w:val="20"/>
          <w:color w:val="auto"/>
        </w:rPr>
      </w:pPr>
      <w:r>
        <w:rPr>
          <w:rFonts w:ascii="Times New Roman" w:cs="Times New Roman" w:eastAsia="Times New Roman" w:hAnsi="Times New Roman"/>
          <w:sz w:val="18"/>
          <w:szCs w:val="18"/>
          <w:color w:val="auto"/>
        </w:rPr>
        <w:t>The total addressable market opportunity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for the treatment of patients with SM and GIST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for the treatment of HCC patients with aberrantly active FGFR4 signaling will ultimately depend upon, among other things, the diagnosis criteria included in the final label for each of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if our drug candidates 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73"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90"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1" w:lineRule="exact"/>
        <w:rPr>
          <w:sz w:val="20"/>
          <w:szCs w:val="20"/>
          <w:color w:val="auto"/>
        </w:rPr>
      </w:pPr>
    </w:p>
    <w:p>
      <w:pPr>
        <w:ind w:right="120" w:firstLine="648"/>
        <w:spacing w:after="0" w:line="182" w:lineRule="exact"/>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treatments for cancer, including many major pharmaceutical and biotechnology companies. If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receives marketing approval for advanced SM, GIST and/or for patients with GIST with the PDGFRα D842V mutation, it may face competition from other drug candidates in development for these indications, including drug candidates in development from AB Science S.A., Plexxikon Inc.,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of Daiichi Sankyo Company, Limited, Deciphera Pharmaceuticals, LLC, Novartis AG, AROG Pharmaceuticals, Inc. and ARIAD Pharmaceuticals, Inc. Further, if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receives marketing approval for patients with HCC with FGF19 overexpression, it will face competition from sorafenib, the only approved systemic medical therapy for HCC. In addition, we are aware of potentially competitive drug candidates in development by AstraZeneca plc, Bayer AG, Celgene Corporation, Eisai Inc., H3 Biomedicine Inc., Johnson &amp; Johnson, Novartis AG, Sanofi S.A., Taiho Pharmaceutical Co., Ltd. and Xoma Ltd.</w:t>
      </w:r>
    </w:p>
    <w:p>
      <w:pPr>
        <w:spacing w:after="0" w:line="161"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40" w:firstLine="648"/>
        <w:spacing w:after="0" w:line="185" w:lineRule="exact"/>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7" w:lineRule="exact"/>
        <w:rPr>
          <w:sz w:val="20"/>
          <w:szCs w:val="20"/>
          <w:color w:val="auto"/>
        </w:rPr>
      </w:pPr>
    </w:p>
    <w:p>
      <w:pPr>
        <w:ind w:right="339" w:firstLine="648"/>
        <w:spacing w:after="0" w:line="220"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59" w:lineRule="exact"/>
        <w:rPr>
          <w:sz w:val="20"/>
          <w:szCs w:val="20"/>
          <w:color w:val="auto"/>
        </w:rPr>
      </w:pPr>
    </w:p>
    <w:p>
      <w:pPr>
        <w:ind w:left="1060" w:hanging="85"/>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that we may develop;</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84" w:lineRule="exact"/>
        <w:rPr>
          <w:rFonts w:ascii="Times New Roman" w:cs="Times New Roman" w:eastAsia="Times New Roman" w:hAnsi="Times New Roman"/>
          <w:sz w:val="18"/>
          <w:szCs w:val="18"/>
          <w:color w:val="auto"/>
        </w:rPr>
      </w:pPr>
    </w:p>
    <w:p>
      <w:pPr>
        <w:ind w:left="1260" w:hanging="285"/>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candidates that we may develop.</w:t>
      </w:r>
    </w:p>
    <w:p>
      <w:pPr>
        <w:spacing w:after="0" w:line="185" w:lineRule="exact"/>
        <w:rPr>
          <w:sz w:val="20"/>
          <w:szCs w:val="20"/>
          <w:color w:val="auto"/>
        </w:rPr>
      </w:pPr>
    </w:p>
    <w:p>
      <w:pPr>
        <w:ind w:right="299" w:firstLine="648"/>
        <w:spacing w:after="0" w:line="22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when we begin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jc w:val="both"/>
        <w:ind w:right="39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successfully develop and commercialize companion diagnostics for our drug candidates, or experience significant delays in doing so we may not realize the full commercial potential of our drug candidates.</w:t>
      </w:r>
    </w:p>
    <w:p>
      <w:pPr>
        <w:spacing w:after="0" w:line="159" w:lineRule="exact"/>
        <w:rPr>
          <w:sz w:val="20"/>
          <w:szCs w:val="20"/>
          <w:color w:val="auto"/>
        </w:rPr>
      </w:pPr>
    </w:p>
    <w:p>
      <w:pPr>
        <w:ind w:right="19" w:firstLine="648"/>
        <w:spacing w:after="0" w:line="207"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drug candidates, we believe that our success may depend, in part, on the development and commercialization of companion diagnostics. There has been limited success to date industrywide in developing and commercializing these types of companion diagnostics. To be successful, we need to address a number of scientific, technical and logistical challenges. We have not yet initiated development and commercialization of companion diagnostics. We have little experience in the development and commercialization of diagnostics and may not be successful in developing and commercializing appropriate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diagnostics, we expect to rely in part or in whole on third parties for their design, manufacture and commercialization. We and our collaborators may encounter difficulties in developing and obtaining approval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drug candidates. If we, or any third parties that we engage to assist us, are unable to successfully develop and commercialize companion diagnostics for our drug candidates, or experience delays in doing so:</w:t>
      </w:r>
    </w:p>
    <w:p>
      <w:pPr>
        <w:spacing w:after="0" w:line="169" w:lineRule="exact"/>
        <w:rPr>
          <w:sz w:val="20"/>
          <w:szCs w:val="20"/>
          <w:color w:val="auto"/>
        </w:rPr>
      </w:pPr>
    </w:p>
    <w:p>
      <w:pPr>
        <w:ind w:left="1020" w:right="379" w:hanging="53"/>
        <w:spacing w:after="0" w:line="237" w:lineRule="auto"/>
        <w:rPr>
          <w:sz w:val="20"/>
          <w:szCs w:val="20"/>
          <w:color w:val="auto"/>
        </w:rPr>
      </w:pPr>
      <w:r>
        <w:rPr>
          <w:rFonts w:ascii="Times New Roman" w:cs="Times New Roman" w:eastAsia="Times New Roman" w:hAnsi="Times New Roman"/>
          <w:sz w:val="18"/>
          <w:szCs w:val="18"/>
          <w:color w:val="auto"/>
        </w:rPr>
        <w:t>·the development of our drug candidates may be adversely affected if we are unable to appropriately select patients for enrollment in our clinical trials;</w:t>
      </w:r>
    </w:p>
    <w:p>
      <w:pPr>
        <w:spacing w:after="0" w:line="158" w:lineRule="exact"/>
        <w:rPr>
          <w:sz w:val="20"/>
          <w:szCs w:val="20"/>
          <w:color w:val="auto"/>
        </w:rPr>
      </w:pPr>
    </w:p>
    <w:p>
      <w:pPr>
        <w:ind w:left="1020" w:right="659" w:hanging="53"/>
        <w:spacing w:after="0" w:line="237" w:lineRule="auto"/>
        <w:rPr>
          <w:sz w:val="20"/>
          <w:szCs w:val="20"/>
          <w:color w:val="auto"/>
        </w:rPr>
      </w:pPr>
      <w:r>
        <w:rPr>
          <w:rFonts w:ascii="Times New Roman" w:cs="Times New Roman" w:eastAsia="Times New Roman" w:hAnsi="Times New Roman"/>
          <w:sz w:val="18"/>
          <w:szCs w:val="18"/>
          <w:color w:val="auto"/>
        </w:rPr>
        <w:t>·our drug candidates may not receive marketing approval if safe and effective use of a therapeutic drug candidate depends on an in vitro diagnostic; and</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60" w:hanging="53"/>
        <w:spacing w:after="0" w:line="226" w:lineRule="auto"/>
        <w:rPr>
          <w:sz w:val="20"/>
          <w:szCs w:val="20"/>
          <w:color w:val="auto"/>
        </w:rPr>
      </w:pPr>
      <w:r>
        <w:rPr>
          <w:rFonts w:ascii="Times New Roman" w:cs="Times New Roman" w:eastAsia="Times New Roman" w:hAnsi="Times New Roman"/>
          <w:sz w:val="18"/>
          <w:szCs w:val="18"/>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our business would be harmed, possibly materially.</w:t>
      </w:r>
    </w:p>
    <w:p>
      <w:pPr>
        <w:spacing w:after="0" w:line="185"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In addition, third party collaborators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57" w:lineRule="exact"/>
        <w:rPr>
          <w:sz w:val="20"/>
          <w:szCs w:val="20"/>
          <w:color w:val="auto"/>
        </w:rPr>
      </w:pPr>
    </w:p>
    <w:p>
      <w:pPr>
        <w:ind w:right="660"/>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drugs may become subject to unfavorable pricing regulations or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coverage and reimbursement policies,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-99060</wp:posOffset>
            </wp:positionV>
            <wp:extent cx="64135"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8"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58"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private health insurers and health maintenance organizations, decide which medications they will pay for and establish reimbursement levels. A primary trend in the U.S. healthcare industry and elsewhere is cost containment.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have attempted to control costs by limiting coverage and the amount of reimbursement for particular drugs. Increasingly,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19"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payors often rely upon Medicare coverage policy and payment limitations in setting their own reimbursement policies. Our inability to promptly obtain coverage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40"/>
        <w:spacing w:after="0" w:line="205" w:lineRule="exact"/>
        <w:rPr>
          <w:sz w:val="20"/>
          <w:szCs w:val="20"/>
          <w:color w:val="auto"/>
        </w:rPr>
      </w:pPr>
      <w:r>
        <w:rPr>
          <w:rFonts w:ascii="Times New Roman" w:cs="Times New Roman" w:eastAsia="Times New Roman" w:hAnsi="Times New Roman"/>
          <w:sz w:val="18"/>
          <w:szCs w:val="18"/>
          <w:color w:val="auto"/>
        </w:rPr>
        <w:t>and profitable payment rates from both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and private payors for any approved drugs that we develop could have a material adverse effect on our operating results, our ability to raise capital needed to commercialize drugs and our overall financial condition.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62" w:lineRule="exact"/>
        <w:rPr>
          <w:sz w:val="20"/>
          <w:szCs w:val="20"/>
          <w:color w:val="auto"/>
        </w:rPr>
      </w:pPr>
    </w:p>
    <w:p>
      <w:pPr>
        <w:ind w:right="100" w:firstLine="648"/>
        <w:spacing w:after="0" w:line="181" w:lineRule="exact"/>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discounts off negotiated prices of applicable brand drugs to eligible beneficiaries during their coverage gap period, as a condition for the manufacturer’s outpatient drugs to be covered under Medicare Part D.</w:t>
      </w:r>
    </w:p>
    <w:p>
      <w:pPr>
        <w:spacing w:after="0" w:line="119"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118"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diagnostics or additional pricing pressures.</w:t>
      </w:r>
    </w:p>
    <w:p>
      <w:pPr>
        <w:spacing w:after="0" w:line="127" w:lineRule="exact"/>
        <w:rPr>
          <w:sz w:val="20"/>
          <w:szCs w:val="20"/>
          <w:color w:val="auto"/>
        </w:rPr>
      </w:pPr>
    </w:p>
    <w:p>
      <w:pPr>
        <w:jc w:val="both"/>
        <w:ind w:right="1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59" w:lineRule="exact"/>
        <w:rPr>
          <w:sz w:val="20"/>
          <w:szCs w:val="20"/>
          <w:color w:val="auto"/>
        </w:rPr>
      </w:pPr>
    </w:p>
    <w:p>
      <w:pPr>
        <w:ind w:right="40" w:firstLine="648"/>
        <w:spacing w:after="0" w:line="185" w:lineRule="exact"/>
        <w:rPr>
          <w:sz w:val="20"/>
          <w:szCs w:val="20"/>
          <w:color w:val="auto"/>
        </w:rPr>
      </w:pPr>
      <w:r>
        <w:rPr>
          <w:rFonts w:ascii="Times New Roman" w:cs="Times New Roman" w:eastAsia="Times New Roman" w:hAnsi="Times New Roman"/>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retain or reposition our sales and marketing personnel.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 candidates on our own include: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85" w:lineRule="exact"/>
        <w:rPr>
          <w:sz w:val="20"/>
          <w:szCs w:val="20"/>
          <w:color w:val="auto"/>
        </w:rPr>
      </w:pPr>
    </w:p>
    <w:p>
      <w:pPr>
        <w:ind w:left="1020" w:right="219" w:hanging="53"/>
        <w:spacing w:after="0" w:line="237" w:lineRule="auto"/>
        <w:rPr>
          <w:sz w:val="20"/>
          <w:szCs w:val="20"/>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58" w:lineRule="exact"/>
        <w:rPr>
          <w:sz w:val="20"/>
          <w:szCs w:val="20"/>
          <w:color w:val="auto"/>
        </w:rPr>
      </w:pPr>
    </w:p>
    <w:p>
      <w:pPr>
        <w:ind w:left="1020" w:right="759" w:hanging="53"/>
        <w:spacing w:after="0" w:line="237" w:lineRule="auto"/>
        <w:rPr>
          <w:sz w:val="20"/>
          <w:szCs w:val="20"/>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85" w:lineRule="exact"/>
        <w:rPr>
          <w:sz w:val="20"/>
          <w:szCs w:val="20"/>
          <w:color w:val="auto"/>
        </w:rPr>
      </w:pPr>
    </w:p>
    <w:p>
      <w:pPr>
        <w:ind w:right="119" w:firstLine="648"/>
        <w:spacing w:after="0" w:line="212"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29" w:lineRule="exact"/>
        <w:rPr>
          <w:sz w:val="20"/>
          <w:szCs w:val="20"/>
          <w:color w:val="auto"/>
        </w:rPr>
      </w:pPr>
    </w:p>
    <w:p>
      <w:pPr>
        <w:ind w:right="79"/>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will be subject to applicable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-309245</wp:posOffset>
            </wp:positionV>
            <wp:extent cx="6413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-309245</wp:posOffset>
            </wp:positionV>
            <wp:extent cx="64135"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19" w:firstLine="648"/>
        <w:spacing w:after="0" w:line="183" w:lineRule="exact"/>
        <w:rPr>
          <w:sz w:val="20"/>
          <w:szCs w:val="20"/>
          <w:color w:val="auto"/>
        </w:rPr>
      </w:pPr>
      <w:r>
        <w:rPr>
          <w:rFonts w:ascii="Times New Roman" w:cs="Times New Roman" w:eastAsia="Times New Roman" w:hAnsi="Times New Roman"/>
          <w:sz w:val="18"/>
          <w:szCs w:val="18"/>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play a primary role in the recommendation and prescription of any drug candidates for which we obtain marketing approval. Our future arrangements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29" w:lineRule="exact"/>
        <w:rPr>
          <w:sz w:val="20"/>
          <w:szCs w:val="20"/>
          <w:color w:val="auto"/>
        </w:rPr>
      </w:pPr>
    </w:p>
    <w:p>
      <w:pPr>
        <w:ind w:left="1020" w:right="79" w:hanging="53"/>
        <w:spacing w:after="0" w:line="190" w:lineRule="exact"/>
        <w:rPr>
          <w:sz w:val="20"/>
          <w:szCs w:val="20"/>
          <w:color w:val="auto"/>
        </w:rPr>
      </w:pPr>
      <w:r>
        <w:rPr>
          <w:rFonts w:ascii="Times New Roman" w:cs="Times New Roman" w:eastAsia="Times New Roman" w:hAnsi="Times New Roman"/>
          <w:sz w:val="18"/>
          <w:szCs w:val="18"/>
          <w:color w:val="auto"/>
        </w:rPr>
        <w:t>·the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0" w:lineRule="exact"/>
        <w:rPr>
          <w:sz w:val="20"/>
          <w:szCs w:val="20"/>
          <w:color w:val="auto"/>
        </w:rPr>
      </w:pPr>
    </w:p>
    <w:p>
      <w:pPr>
        <w:ind w:left="1020" w:right="39" w:hanging="53"/>
        <w:spacing w:after="0" w:line="185" w:lineRule="exact"/>
        <w:rPr>
          <w:sz w:val="20"/>
          <w:szCs w:val="20"/>
          <w:color w:val="auto"/>
        </w:rPr>
      </w:pPr>
      <w:r>
        <w:rPr>
          <w:rFonts w:ascii="Times New Roman" w:cs="Times New Roman" w:eastAsia="Times New Roman" w:hAnsi="Times New Roman"/>
          <w:sz w:val="18"/>
          <w:szCs w:val="18"/>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constitutes a false or fraudulent claim for purposes of the False Claims Act;</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40" w:hanging="53"/>
        <w:spacing w:after="0" w:line="185" w:lineRule="exact"/>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a person or entity does not need to have actual knowledge of the statute or specific intent to violate it in order to have committed a violation;</w:t>
      </w:r>
    </w:p>
    <w:p>
      <w:pPr>
        <w:spacing w:after="0" w:line="162" w:lineRule="exact"/>
        <w:rPr>
          <w:sz w:val="20"/>
          <w:szCs w:val="20"/>
          <w:color w:val="auto"/>
        </w:rPr>
      </w:pPr>
    </w:p>
    <w:p>
      <w:pPr>
        <w:ind w:left="1020" w:right="160" w:hanging="53"/>
        <w:spacing w:after="0" w:line="217" w:lineRule="auto"/>
        <w:rPr>
          <w:sz w:val="20"/>
          <w:szCs w:val="20"/>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58" w:lineRule="exact"/>
        <w:rPr>
          <w:sz w:val="20"/>
          <w:szCs w:val="20"/>
          <w:color w:val="auto"/>
        </w:rPr>
      </w:pPr>
    </w:p>
    <w:p>
      <w:pPr>
        <w:ind w:left="1020" w:right="20" w:hanging="53"/>
        <w:spacing w:after="0" w:line="214"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33" w:lineRule="exact"/>
        <w:rPr>
          <w:sz w:val="20"/>
          <w:szCs w:val="20"/>
          <w:color w:val="auto"/>
        </w:rPr>
      </w:pPr>
    </w:p>
    <w:p>
      <w:pPr>
        <w:ind w:left="1020" w:right="20" w:hanging="53"/>
        <w:spacing w:after="0" w:line="185" w:lineRule="exact"/>
        <w:rPr>
          <w:sz w:val="20"/>
          <w:szCs w:val="20"/>
          <w:color w:val="auto"/>
        </w:rPr>
      </w:pPr>
      <w:r>
        <w:rPr>
          <w:rFonts w:ascii="Times New Roman" w:cs="Times New Roman" w:eastAsia="Times New Roman" w:hAnsi="Times New Roman"/>
          <w:sz w:val="18"/>
          <w:szCs w:val="18"/>
          <w:color w:val="auto"/>
        </w:rPr>
        <w:t>·analogous state laws and regulations, such as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that may apply to sales or marketing arrangements and claims involving healthcare items or services reimbursed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4"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9" w:lineRule="exact"/>
        <w:rPr>
          <w:sz w:val="20"/>
          <w:szCs w:val="20"/>
          <w:color w:val="auto"/>
        </w:rPr>
      </w:pPr>
    </w:p>
    <w:p>
      <w:pPr>
        <w:ind w:right="680"/>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76"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and uncertainties, including:</w:t>
      </w:r>
    </w:p>
    <w:p>
      <w:pPr>
        <w:spacing w:after="0" w:line="117" w:lineRule="exact"/>
        <w:rPr>
          <w:sz w:val="20"/>
          <w:szCs w:val="20"/>
          <w:color w:val="auto"/>
        </w:rPr>
      </w:pPr>
    </w:p>
    <w:p>
      <w:pPr>
        <w:ind w:left="980" w:right="1320"/>
        <w:spacing w:after="0" w:line="480" w:lineRule="auto"/>
        <w:rPr>
          <w:sz w:val="20"/>
          <w:szCs w:val="20"/>
          <w:color w:val="auto"/>
        </w:rPr>
      </w:pPr>
      <w:r>
        <w:rPr>
          <w:rFonts w:ascii="Times New Roman" w:cs="Times New Roman" w:eastAsia="Times New Roman" w:hAnsi="Times New Roman"/>
          <w:sz w:val="17"/>
          <w:szCs w:val="17"/>
          <w:color w:val="auto"/>
        </w:rPr>
        <w:t>·our customers’ ability to obtain reimbursement for our drug candidates in foreign markets; ·our inability to directly control commercial activities because we are relying on third parties;</w:t>
      </w:r>
    </w:p>
    <w:p>
      <w:pPr>
        <w:spacing w:after="0" w:line="1" w:lineRule="exact"/>
        <w:rPr>
          <w:sz w:val="20"/>
          <w:szCs w:val="20"/>
          <w:color w:val="auto"/>
        </w:rPr>
      </w:pPr>
    </w:p>
    <w:p>
      <w:pPr>
        <w:ind w:left="1020" w:right="960" w:hanging="53"/>
        <w:spacing w:after="0" w:line="237" w:lineRule="auto"/>
        <w:rPr>
          <w:sz w:val="20"/>
          <w:szCs w:val="20"/>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85" w:lineRule="exact"/>
        <w:rPr>
          <w:sz w:val="20"/>
          <w:szCs w:val="20"/>
          <w:color w:val="auto"/>
        </w:rPr>
      </w:pPr>
    </w:p>
    <w:p>
      <w:pPr>
        <w:ind w:left="1120" w:hanging="145"/>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84"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156" w:lineRule="exact"/>
        <w:rPr>
          <w:sz w:val="20"/>
          <w:szCs w:val="20"/>
          <w:color w:val="auto"/>
        </w:rPr>
      </w:pPr>
    </w:p>
    <w:p>
      <w:pPr>
        <w:ind w:left="980" w:right="1840"/>
        <w:spacing w:after="0" w:line="327" w:lineRule="exact"/>
        <w:rPr>
          <w:sz w:val="20"/>
          <w:szCs w:val="20"/>
          <w:color w:val="auto"/>
        </w:rPr>
      </w:pPr>
      <w:r>
        <w:rPr>
          <w:rFonts w:ascii="Times New Roman" w:cs="Times New Roman" w:eastAsia="Times New Roman" w:hAnsi="Times New Roman"/>
          <w:sz w:val="18"/>
          <w:szCs w:val="18"/>
          <w:color w:val="auto"/>
        </w:rPr>
        <w:t>·the existence of additional potentially relevant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 foreign currency exchange rate fluctuations; and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85"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54"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57" w:lineRule="exact"/>
        <w:rPr>
          <w:sz w:val="20"/>
          <w:szCs w:val="20"/>
          <w:color w:val="auto"/>
        </w:rPr>
      </w:pPr>
    </w:p>
    <w:p>
      <w:pPr>
        <w:ind w:right="80" w:firstLine="648"/>
        <w:spacing w:after="0" w:line="185" w:lineRule="exact"/>
        <w:rPr>
          <w:sz w:val="20"/>
          <w:szCs w:val="20"/>
          <w:color w:val="auto"/>
        </w:rPr>
      </w:pPr>
      <w:r>
        <w:rPr>
          <w:rFonts w:ascii="Times New Roman" w:cs="Times New Roman" w:eastAsia="Times New Roman" w:hAnsi="Times New Roman"/>
          <w:sz w:val="18"/>
          <w:szCs w:val="18"/>
          <w:color w:val="auto"/>
        </w:rPr>
        <w:t>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drug candidate to other available therapies. If reimbursement of our drugs is unavailable or limited in scope or amount, or if pricing is set at unsatisfactory levels, our business could be harmed, possibly materially.</w:t>
      </w:r>
    </w:p>
    <w:p>
      <w:pPr>
        <w:spacing w:after="0" w:line="158"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7"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5"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7"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58"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5" w:lineRule="exact"/>
        <w:rPr>
          <w:sz w:val="20"/>
          <w:szCs w:val="20"/>
          <w:color w:val="auto"/>
        </w:rPr>
      </w:pPr>
    </w:p>
    <w:p>
      <w:pPr>
        <w:ind w:right="140" w:firstLine="648"/>
        <w:spacing w:after="0" w:line="190" w:lineRule="exact"/>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to negotiate and document. In addition, there have been a significant number of recent business combinations among large pharmaceutical companies that have resulted in a reduced number of potential future collaborators.</w:t>
      </w:r>
    </w:p>
    <w:p>
      <w:pPr>
        <w:spacing w:after="0" w:line="159"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58"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In addition, our collaboration with Alexion and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9"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drug candidates. We expect to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58"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We and our CROs will be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sponsored database, ClinicalTrials.gov, within certain timeframes. Failure to do so can result in fines, adverse publicity and civil and criminal sanctions.</w:t>
      </w:r>
    </w:p>
    <w:p>
      <w:pPr>
        <w:spacing w:after="0" w:line="91"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1" w:lineRule="exact"/>
        <w:rPr>
          <w:sz w:val="20"/>
          <w:szCs w:val="20"/>
          <w:color w:val="auto"/>
        </w:rPr>
      </w:pPr>
    </w:p>
    <w:p>
      <w:pPr>
        <w:ind w:left="900" w:hanging="249"/>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84"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84"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84" w:lineRule="exact"/>
        <w:rPr>
          <w:rFonts w:ascii="Times New Roman" w:cs="Times New Roman" w:eastAsia="Times New Roman" w:hAnsi="Times New Roman"/>
          <w:sz w:val="18"/>
          <w:szCs w:val="18"/>
          <w:color w:val="auto"/>
        </w:rPr>
      </w:pPr>
    </w:p>
    <w:p>
      <w:pPr>
        <w:ind w:left="740" w:hanging="89"/>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85" w:lineRule="exact"/>
        <w:rPr>
          <w:sz w:val="20"/>
          <w:szCs w:val="20"/>
          <w:color w:val="auto"/>
        </w:rPr>
      </w:pPr>
    </w:p>
    <w:p>
      <w:pPr>
        <w:ind w:right="100" w:firstLine="648"/>
        <w:spacing w:after="0" w:line="213"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commercialization and require significantly greater expenditures.</w:t>
      </w:r>
    </w:p>
    <w:p>
      <w:pPr>
        <w:spacing w:after="0" w:line="88" w:lineRule="exact"/>
        <w:rPr>
          <w:sz w:val="20"/>
          <w:szCs w:val="20"/>
          <w:color w:val="auto"/>
        </w:rPr>
      </w:pPr>
    </w:p>
    <w:p>
      <w:pPr>
        <w:ind w:right="180" w:firstLine="648"/>
        <w:spacing w:after="0" w:line="187" w:lineRule="exact"/>
        <w:rPr>
          <w:sz w:val="20"/>
          <w:szCs w:val="20"/>
          <w:color w:val="auto"/>
        </w:rPr>
      </w:pPr>
      <w:r>
        <w:rPr>
          <w:rFonts w:ascii="Times New Roman" w:cs="Times New Roman" w:eastAsia="Times New Roman" w:hAnsi="Times New Roman"/>
          <w:sz w:val="18"/>
          <w:szCs w:val="18"/>
          <w:color w:val="auto"/>
        </w:rPr>
        <w:t>If any of our relationships with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49" w:lineRule="exact"/>
        <w:rPr>
          <w:sz w:val="20"/>
          <w:szCs w:val="20"/>
          <w:color w:val="auto"/>
        </w:rPr>
      </w:pPr>
    </w:p>
    <w:p>
      <w:pPr>
        <w:ind w:right="80"/>
        <w:spacing w:after="0" w:line="197" w:lineRule="exact"/>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drug candidates for pre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clinical development and expect to continue to do so for clinical testing and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-419735</wp:posOffset>
            </wp:positionV>
            <wp:extent cx="6413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3" w:lineRule="exact"/>
        <w:rPr>
          <w:sz w:val="20"/>
          <w:szCs w:val="20"/>
          <w:color w:val="auto"/>
        </w:rPr>
      </w:pPr>
    </w:p>
    <w:p>
      <w:pPr>
        <w:ind w:right="40" w:firstLine="648"/>
        <w:spacing w:after="0" w:line="185" w:lineRule="exact"/>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95"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53" w:lineRule="exact"/>
        <w:rPr>
          <w:sz w:val="20"/>
          <w:szCs w:val="20"/>
          <w:color w:val="auto"/>
        </w:rPr>
      </w:pPr>
    </w:p>
    <w:p>
      <w:pPr>
        <w:jc w:val="both"/>
        <w:ind w:right="40" w:firstLine="648"/>
        <w:spacing w:after="0" w:line="205" w:lineRule="exact"/>
        <w:rPr>
          <w:sz w:val="20"/>
          <w:szCs w:val="20"/>
          <w:color w:val="auto"/>
        </w:rPr>
      </w:pPr>
      <w:r>
        <w:rPr>
          <w:rFonts w:ascii="Times New Roman" w:cs="Times New Roman" w:eastAsia="Times New Roman" w:hAnsi="Times New Roman"/>
          <w:sz w:val="18"/>
          <w:szCs w:val="18"/>
          <w:color w:val="auto"/>
        </w:rPr>
        <w:t>We may be unable to establish any agreements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to do so on acceptable terms. Even if we are able to establish agreements with third party manufacturers, reliance on third party manufacturers entails additional risks, including:</w:t>
      </w:r>
    </w:p>
    <w:p>
      <w:pPr>
        <w:spacing w:after="0" w:line="91" w:lineRule="exact"/>
        <w:rPr>
          <w:sz w:val="20"/>
          <w:szCs w:val="20"/>
          <w:color w:val="auto"/>
        </w:rPr>
      </w:pPr>
    </w:p>
    <w:p>
      <w:pPr>
        <w:ind w:left="740" w:hanging="8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84" w:lineRule="exact"/>
        <w:rPr>
          <w:rFonts w:ascii="Times New Roman" w:cs="Times New Roman" w:eastAsia="Times New Roman" w:hAnsi="Times New Roman"/>
          <w:sz w:val="18"/>
          <w:szCs w:val="18"/>
          <w:color w:val="auto"/>
        </w:rPr>
      </w:pPr>
    </w:p>
    <w:p>
      <w:pPr>
        <w:ind w:left="740" w:hanging="89"/>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56"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·the possible misappropriation of our proprietary information, including our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w:t>
      </w:r>
    </w:p>
    <w:p>
      <w:pPr>
        <w:spacing w:after="0" w:line="213" w:lineRule="exact"/>
        <w:rPr>
          <w:sz w:val="20"/>
          <w:szCs w:val="20"/>
          <w:color w:val="auto"/>
        </w:rPr>
      </w:pPr>
    </w:p>
    <w:p>
      <w:pPr>
        <w:ind w:left="700" w:right="220" w:hanging="53"/>
        <w:spacing w:after="0" w:line="237" w:lineRule="auto"/>
        <w:rPr>
          <w:sz w:val="20"/>
          <w:szCs w:val="20"/>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58" w:lineRule="exact"/>
        <w:rPr>
          <w:sz w:val="20"/>
          <w:szCs w:val="20"/>
          <w:color w:val="auto"/>
        </w:rPr>
      </w:pPr>
    </w:p>
    <w:p>
      <w:pPr>
        <w:ind w:right="360" w:firstLine="648"/>
        <w:spacing w:after="0" w:line="226"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320" w:firstLine="648"/>
        <w:spacing w:after="0" w:line="220"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92"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73" w:lineRule="exact"/>
        <w:rPr>
          <w:sz w:val="20"/>
          <w:szCs w:val="20"/>
          <w:color w:val="auto"/>
        </w:rPr>
      </w:pPr>
    </w:p>
    <w:p>
      <w:pPr>
        <w:ind w:right="4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92"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The active pharmaceutical ingredients, or API, drug product and drug substance used in our lead drug candidates are supplied to us from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supply of any such API, drug product or drug substance in the event any of our current suppliers of such API, drug product and drug substance cease their operations for any reason.</w:t>
      </w:r>
    </w:p>
    <w:p>
      <w:pPr>
        <w:spacing w:after="0" w:line="92" w:lineRule="exact"/>
        <w:rPr>
          <w:sz w:val="20"/>
          <w:szCs w:val="20"/>
          <w:color w:val="auto"/>
        </w:rPr>
      </w:pPr>
    </w:p>
    <w:p>
      <w:pPr>
        <w:ind w:right="80" w:firstLine="648"/>
        <w:spacing w:after="0" w:line="184" w:lineRule="exact"/>
        <w:rPr>
          <w:sz w:val="20"/>
          <w:szCs w:val="20"/>
          <w:color w:val="auto"/>
        </w:rPr>
      </w:pPr>
      <w:r>
        <w:rPr>
          <w:rFonts w:ascii="Times New Roman" w:cs="Times New Roman" w:eastAsia="Times New Roman" w:hAnsi="Times New Roman"/>
          <w:sz w:val="18"/>
          <w:szCs w:val="18"/>
          <w:color w:val="auto"/>
        </w:rPr>
        <w:t>For all of our drug candidates, we intend to identify and qualify additional manufacturers to provide such API, drug product and drug substance prior to submission of an NDA to the FDA and/or an MAA to the EMA. We are not certain, however, that our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78" w:lineRule="exact"/>
        <w:rPr>
          <w:sz w:val="20"/>
          <w:szCs w:val="20"/>
          <w:color w:val="auto"/>
        </w:rPr>
      </w:pPr>
    </w:p>
    <w:p>
      <w:pPr>
        <w:jc w:val="both"/>
        <w:ind w:right="340" w:firstLine="648"/>
        <w:spacing w:after="0" w:line="223" w:lineRule="auto"/>
        <w:rPr>
          <w:sz w:val="20"/>
          <w:szCs w:val="20"/>
          <w:color w:val="auto"/>
        </w:rPr>
      </w:pPr>
      <w:r>
        <w:rPr>
          <w:rFonts w:ascii="Times New Roman" w:cs="Times New Roman" w:eastAsia="Times New Roman" w:hAnsi="Times New Roman"/>
          <w:sz w:val="17"/>
          <w:szCs w:val="17"/>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100"/>
        <w:spacing w:after="0" w:line="214" w:lineRule="auto"/>
        <w:rPr>
          <w:sz w:val="20"/>
          <w:szCs w:val="20"/>
          <w:color w:val="auto"/>
        </w:rPr>
      </w:pPr>
      <w:r>
        <w:rPr>
          <w:rFonts w:ascii="Times New Roman" w:cs="Times New Roman" w:eastAsia="Times New Roman" w:hAnsi="Times New Roman"/>
          <w:sz w:val="18"/>
          <w:szCs w:val="18"/>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79" w:lineRule="exact"/>
        <w:rPr>
          <w:sz w:val="20"/>
          <w:szCs w:val="20"/>
          <w:color w:val="auto"/>
        </w:rPr>
      </w:pPr>
    </w:p>
    <w:p>
      <w:pPr>
        <w:ind w:right="180" w:firstLine="648"/>
        <w:spacing w:after="0" w:line="184" w:lineRule="exact"/>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our drug candidates, including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and our core technologies, including our novel target discovery engine and our proprietary compound library and other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continuing technological innovation to develop and maintain our proprietary and intellectual property position.</w:t>
      </w:r>
    </w:p>
    <w:p>
      <w:pPr>
        <w:spacing w:after="0" w:line="63" w:lineRule="exact"/>
        <w:rPr>
          <w:sz w:val="20"/>
          <w:szCs w:val="20"/>
          <w:color w:val="auto"/>
        </w:rPr>
      </w:pPr>
    </w:p>
    <w:p>
      <w:pPr>
        <w:ind w:firstLine="648"/>
        <w:spacing w:after="0" w:line="193" w:lineRule="exact"/>
        <w:rPr>
          <w:sz w:val="20"/>
          <w:szCs w:val="20"/>
          <w:color w:val="auto"/>
        </w:rPr>
      </w:pPr>
      <w:r>
        <w:rPr>
          <w:rFonts w:ascii="Times New Roman" w:cs="Times New Roman" w:eastAsia="Times New Roman" w:hAnsi="Times New Roman"/>
          <w:sz w:val="18"/>
          <w:szCs w:val="18"/>
          <w:color w:val="auto"/>
        </w:rPr>
        <w:t>We own a patent and patent applications that relate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as composition of matter. We also own applications relating to composition of matter for KIT Exon 17 inhibitors with different compound families, composition of matter for FGFR4 inhibitors with multiple compound families, and composition of matter for inhibitors of the predicted RET resistant mutants, as well as methods of use for these novel compounds. The issued patent directed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composition of matter is expected to expire in 2033, and any patents issuing from our pending patent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are projected to expire between 2034 and 2036.</w:t>
      </w:r>
    </w:p>
    <w:p>
      <w:pPr>
        <w:spacing w:after="0" w:line="117"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18"/>
          <w:szCs w:val="18"/>
          <w:color w:val="auto"/>
        </w:rPr>
        <w:t>As of September 30, 2015, we owned four pending U.S. patent applications, eight pending foreign patent applications in a number of jurisdictions, including Argentina, Bolivia, Pakistan, Taiwan and Venezuela, and three pending Patent Cooperation Treaty, or PCT, patent applications directed to our KIT program, including BLU-285. Any U.S. or ex-U.S. patents issuing from the pending applications covering BLU-285 will have a statutory expiration date of October 2034. Patent term adjustments or patent term extensions could result in later expiration dates.</w:t>
      </w:r>
    </w:p>
    <w:p>
      <w:pPr>
        <w:spacing w:after="0" w:line="77"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As of September 30, 2015, we owned two issued U.S. patents, three pending U.S. patent applications, 23 foreign patent applications in a number of jurisdictions, including Australia, Brazil, Canada, China, Europe, Israel, India, Japan, South Korea, Mexico New Zealand, Russia, South Africa, and two pending PCT patent applications directed to our FGFR4 program, including BLU-554. Any U.S. or ex-U.S. patent issuing from the pending applications covering BLU-554 will have a statutory expiration date of July 2033, December 2033, or October 2034. Patent term adjustments or patent term extensions could result in later expiration dates.</w:t>
      </w:r>
    </w:p>
    <w:p>
      <w:pPr>
        <w:spacing w:after="0" w:line="95" w:lineRule="exact"/>
        <w:rPr>
          <w:sz w:val="20"/>
          <w:szCs w:val="20"/>
          <w:color w:val="auto"/>
        </w:rPr>
      </w:pPr>
    </w:p>
    <w:p>
      <w:pPr>
        <w:ind w:right="140" w:firstLine="648"/>
        <w:spacing w:after="0" w:line="226" w:lineRule="auto"/>
        <w:rPr>
          <w:sz w:val="20"/>
          <w:szCs w:val="20"/>
          <w:color w:val="auto"/>
        </w:rPr>
      </w:pPr>
      <w:r>
        <w:rPr>
          <w:rFonts w:ascii="Times New Roman" w:cs="Times New Roman" w:eastAsia="Times New Roman" w:hAnsi="Times New Roman"/>
          <w:sz w:val="18"/>
          <w:szCs w:val="18"/>
          <w:color w:val="auto"/>
        </w:rPr>
        <w:t>As of September 30, 2015, we owned one provisional U.S. patent application directed to our RET program, which, if issued, will have a statutory expiration date of 2036. As of September 30, 2015, we owned one provisional U.S. patent application directed to NTRK, which, if issued, will have a statutory expiration date of 2036.</w:t>
      </w:r>
    </w:p>
    <w:p>
      <w:pPr>
        <w:spacing w:after="0" w:line="91"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The intellectual property portfolio directed to our platform includes patent applications directed to novel gene fusions and the uses of these fusions for detecting and treating conditions implicated with these fusions. As of September 30, 2015, we owned one pending U.S. patent application and nine pending PCT patent applications directed to this technology, which, if issued, will have statutory expiration dates ranging from 2034 to 2035.</w:t>
      </w:r>
    </w:p>
    <w:p>
      <w:pPr>
        <w:spacing w:after="0" w:line="78"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91"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97"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 For example, we are aware of a U.S. patent application filed by a third party that has pending generic composition of matter claims, which if issued as pending, could cover BLU-554. While we may decide to initiate proceedings to challenge the validity of any resulting patent in the future, we may be unsuccessful, and courts or patent offices in the United States and abroad could uphold the validity of any such patent.</w:t>
      </w:r>
    </w:p>
    <w:p>
      <w:pPr>
        <w:spacing w:after="0" w:line="166" w:lineRule="exact"/>
        <w:rPr>
          <w:sz w:val="20"/>
          <w:szCs w:val="20"/>
          <w:color w:val="auto"/>
        </w:rPr>
      </w:pPr>
    </w:p>
    <w:p>
      <w:pPr>
        <w:ind w:right="340" w:firstLine="648"/>
        <w:spacing w:after="0" w:line="237"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59"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grant review or interference proceedings challenging our patent rights or the patent rights of others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59" w:lineRule="exact"/>
        <w:rPr>
          <w:sz w:val="20"/>
          <w:szCs w:val="20"/>
          <w:color w:val="auto"/>
        </w:rPr>
      </w:pPr>
    </w:p>
    <w:p>
      <w:pPr>
        <w:ind w:right="280" w:firstLine="648"/>
        <w:spacing w:after="0" w:line="213"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59"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7"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a U.S. patent application filed by a third party that has pending generic composition of matter claims, which if issued as pending, could cover BLU-554.</w:t>
      </w:r>
    </w:p>
    <w:p>
      <w:pPr>
        <w:spacing w:after="0" w:line="160"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practicing entities that have no relevant drug revenue and against whom our own patent portfolio may thus have no deterrent effect.</w:t>
      </w:r>
    </w:p>
    <w:p>
      <w:pPr>
        <w:spacing w:after="0" w:line="158"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A finding of infringement could prevent us from commercializing our drug candidates or force us to cease some of our business operations, which could materially harm our business.</w:t>
      </w:r>
    </w:p>
    <w:p>
      <w:pPr>
        <w:spacing w:after="0" w:line="154"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57"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5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7"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58"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58" w:lineRule="exact"/>
        <w:rPr>
          <w:sz w:val="20"/>
          <w:szCs w:val="20"/>
          <w:color w:val="auto"/>
        </w:rPr>
      </w:pPr>
    </w:p>
    <w:p>
      <w:pPr>
        <w:ind w:right="4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compliance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-99060</wp:posOffset>
            </wp:positionV>
            <wp:extent cx="64135"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9" w:lineRule="exact"/>
        <w:rPr>
          <w:sz w:val="20"/>
          <w:szCs w:val="20"/>
          <w:color w:val="auto"/>
        </w:rPr>
      </w:pPr>
    </w:p>
    <w:p>
      <w:pPr>
        <w:ind w:right="40" w:firstLine="648"/>
        <w:spacing w:after="0" w:line="181"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18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19"/>
        <w:spacing w:after="0" w:line="213" w:lineRule="auto"/>
        <w:rPr>
          <w:sz w:val="20"/>
          <w:szCs w:val="20"/>
          <w:color w:val="auto"/>
        </w:rPr>
      </w:pPr>
      <w:r>
        <w:rPr>
          <w:rFonts w:ascii="Times New Roman" w:cs="Times New Roman" w:eastAsia="Times New Roman" w:hAnsi="Times New Roman"/>
          <w:sz w:val="18"/>
          <w:szCs w:val="18"/>
          <w:color w:val="auto"/>
        </w:rPr>
        <w:t>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59" w:lineRule="exact"/>
        <w:rPr>
          <w:sz w:val="20"/>
          <w:szCs w:val="20"/>
          <w:color w:val="auto"/>
        </w:rPr>
      </w:pPr>
    </w:p>
    <w:p>
      <w:pPr>
        <w:ind w:right="79" w:firstLine="648"/>
        <w:spacing w:after="0" w:line="217"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54" w:lineRule="exact"/>
        <w:rPr>
          <w:sz w:val="20"/>
          <w:szCs w:val="20"/>
          <w:color w:val="auto"/>
        </w:rPr>
      </w:pPr>
    </w:p>
    <w:p>
      <w:pPr>
        <w:ind w:right="399"/>
        <w:spacing w:after="0"/>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57" w:lineRule="exact"/>
        <w:rPr>
          <w:sz w:val="20"/>
          <w:szCs w:val="20"/>
          <w:color w:val="auto"/>
        </w:rPr>
      </w:pPr>
    </w:p>
    <w:p>
      <w:pPr>
        <w:ind w:right="19" w:firstLine="648"/>
        <w:spacing w:after="0" w:line="180" w:lineRule="exact"/>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America Invents Act, or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signed into law on September 16, 2011, could increase those uncertainties and costs.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includes a number of significant changes to U.S. patent law. These include provisions that affect the way patent applications are prosecuted, redefine prior art and provide more efficient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avenues for competitors to challenge the validity of patents. In addition,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has transformed the U.S. patent system into a “first to file” system. The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file provisions, however, only became effective on March 16, 2013. Accordingly, it is not yet clear what, if any, impact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6" w:lineRule="exact"/>
        <w:rPr>
          <w:sz w:val="20"/>
          <w:szCs w:val="20"/>
          <w:color w:val="auto"/>
        </w:rPr>
      </w:pPr>
    </w:p>
    <w:p>
      <w:pPr>
        <w:ind w:right="239" w:firstLine="648"/>
        <w:spacing w:after="0" w:line="183" w:lineRule="exact"/>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89" w:lineRule="exact"/>
        <w:rPr>
          <w:sz w:val="20"/>
          <w:szCs w:val="20"/>
          <w:color w:val="auto"/>
        </w:rPr>
      </w:pPr>
    </w:p>
    <w:p>
      <w:pPr>
        <w:ind w:right="39" w:firstLine="648"/>
        <w:spacing w:after="0" w:line="181" w:lineRule="exact"/>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continuing technological innovation to develop and maintain our competitive position. With respect to the building of our proprietary compound library, we consider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w:t>
      </w:r>
    </w:p>
    <w:p>
      <w:pPr>
        <w:spacing w:after="0" w:line="3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79"/>
        <w:spacing w:after="0" w:line="226" w:lineRule="auto"/>
        <w:rPr>
          <w:sz w:val="20"/>
          <w:szCs w:val="20"/>
          <w:color w:val="auto"/>
        </w:rPr>
      </w:pPr>
      <w:r>
        <w:rPr>
          <w:rFonts w:ascii="Times New Roman" w:cs="Times New Roman" w:eastAsia="Times New Roman" w:hAnsi="Times New Roman"/>
          <w:sz w:val="18"/>
          <w:szCs w:val="18"/>
          <w:color w:val="auto"/>
        </w:rPr>
        <w:t>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58" w:lineRule="exact"/>
        <w:rPr>
          <w:sz w:val="20"/>
          <w:szCs w:val="20"/>
          <w:color w:val="auto"/>
        </w:rPr>
      </w:pPr>
    </w:p>
    <w:p>
      <w:pPr>
        <w:ind w:right="159" w:firstLine="648"/>
        <w:spacing w:after="0" w:line="212"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54" w:lineRule="exact"/>
        <w:rPr>
          <w:sz w:val="20"/>
          <w:szCs w:val="20"/>
          <w:color w:val="auto"/>
        </w:rPr>
      </w:pPr>
    </w:p>
    <w:p>
      <w:pPr>
        <w:ind w:right="59"/>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competition or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solicitation agreements with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2604135</wp:posOffset>
            </wp:positionH>
            <wp:positionV relativeFrom="paragraph">
              <wp:posOffset>-99060</wp:posOffset>
            </wp:positionV>
            <wp:extent cx="64135"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-99060</wp:posOffset>
            </wp:positionV>
            <wp:extent cx="6413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8" w:lineRule="exact"/>
        <w:rPr>
          <w:sz w:val="20"/>
          <w:szCs w:val="20"/>
          <w:color w:val="auto"/>
        </w:rPr>
      </w:pPr>
    </w:p>
    <w:p>
      <w:pPr>
        <w:ind w:right="39" w:firstLine="648"/>
        <w:spacing w:after="0" w:line="179" w:lineRule="exact"/>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how or trade secrets of others in their work for us, we may in the future be subject to claims that we caused an employee to breach the terms of his or 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ind w:right="79" w:firstLine="648"/>
        <w:spacing w:after="0" w:line="253"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and business development expertise of Jeffrey W. Albers, our President and Chief Executive Officer, Anthony L. Boral, our Senior Vice President, Clinical Development, and Christoph Lengauer, our Chief Scientific Officer, as well as the other principal members of our management, scientific and clinical team. Although we have entered into employment letter agreements with our executive officers, each of them may terminate their employment with us at any time. For example, as previously announced, Kyle D. Kuvalanka resigned from his position as our Chief Business Officer in September 2015.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24"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99"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29"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As of September 30, 2015 we had 71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and in connection with operating as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8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7" w:lineRule="exact"/>
        <w:rPr>
          <w:sz w:val="20"/>
          <w:szCs w:val="20"/>
          <w:color w:val="auto"/>
        </w:rPr>
      </w:pPr>
    </w:p>
    <w:p>
      <w:pPr>
        <w:ind w:right="160" w:firstLine="648"/>
        <w:spacing w:after="0" w:line="183" w:lineRule="exact"/>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24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CROs or other contractors or consultants, may fail or suffer security breaches, which could result in a material disruption of our drug candidates’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-198120</wp:posOffset>
            </wp:positionV>
            <wp:extent cx="64135"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09" w:lineRule="exact"/>
        <w:rPr>
          <w:sz w:val="20"/>
          <w:szCs w:val="20"/>
          <w:color w:val="auto"/>
        </w:rPr>
      </w:pPr>
    </w:p>
    <w:p>
      <w:pPr>
        <w:ind w:right="20" w:firstLine="648"/>
        <w:spacing w:after="0" w:line="185"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0" w:lineRule="exact"/>
        <w:rPr>
          <w:sz w:val="20"/>
          <w:szCs w:val="20"/>
          <w:color w:val="auto"/>
        </w:rPr>
      </w:pPr>
    </w:p>
    <w:p>
      <w:pPr>
        <w:ind w:right="340"/>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compliance with regulatory standards and requirements and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-99060</wp:posOffset>
            </wp:positionV>
            <wp:extent cx="6413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8" w:lineRule="exact"/>
        <w:rPr>
          <w:sz w:val="20"/>
          <w:szCs w:val="20"/>
          <w:color w:val="auto"/>
        </w:rPr>
      </w:pPr>
    </w:p>
    <w:p>
      <w:pPr>
        <w:ind w:firstLine="648"/>
        <w:spacing w:after="0" w:line="178" w:lineRule="exact"/>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or clinical trials, which could result in regulatory sanctions and cause serious harm to our reputation. We intend to adopt, prior to the completion of this offering,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157"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is required to devote substantial time to new compliance initiatives.</w:t>
      </w:r>
    </w:p>
    <w:p>
      <w:pPr>
        <w:spacing w:after="0" w:line="157"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have incurred and will continue to incur significant legal, accounting and other expenses that we did not incur as a private company. In addition,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costly. For example, we expect that these rules and regulations may make it more difficult and more expensive for us to obtain director and officer liability insurance.</w:t>
      </w:r>
    </w:p>
    <w:p>
      <w:pPr>
        <w:spacing w:after="0" w:line="130"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Pursuant to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189" w:lineRule="exact"/>
        <w:rPr>
          <w:sz w:val="20"/>
          <w:szCs w:val="20"/>
          <w:color w:val="auto"/>
        </w:rPr>
      </w:pPr>
    </w:p>
    <w:p>
      <w:pPr>
        <w:ind w:right="260" w:firstLine="648"/>
        <w:spacing w:after="0" w:line="213"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$37.17 and a low price of $18.00 per share for the period April 30, 2015, our first day of trading on The NASDAQ Global Select Market, through November 6, 2015. As a result of this volatility, our stockholders could incur substantial losses. In addition, the market price for our common stock may be influenced by many factors, including:</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the success of competitive drugs or technologies;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regulatory or legal developments in the United States and other countries;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the recruitment or departure of key personnel;</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hanging="53"/>
        <w:spacing w:after="0" w:line="237"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85" w:lineRule="exact"/>
        <w:rPr>
          <w:sz w:val="20"/>
          <w:szCs w:val="20"/>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84"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85" w:lineRule="exact"/>
        <w:rPr>
          <w:sz w:val="20"/>
          <w:szCs w:val="20"/>
          <w:color w:val="auto"/>
        </w:rPr>
      </w:pPr>
    </w:p>
    <w:p>
      <w:pPr>
        <w:ind w:right="100" w:firstLine="648"/>
        <w:spacing w:after="0" w:line="214"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5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90"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73"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90"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The trading market for our common stock will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88" w:lineRule="exact"/>
        <w:rPr>
          <w:sz w:val="20"/>
          <w:szCs w:val="20"/>
          <w:color w:val="auto"/>
        </w:rPr>
      </w:pPr>
    </w:p>
    <w:p>
      <w:pPr>
        <w:ind w:right="380"/>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7" w:lineRule="exact"/>
        <w:rPr>
          <w:sz w:val="20"/>
          <w:szCs w:val="20"/>
          <w:color w:val="auto"/>
        </w:rPr>
      </w:pPr>
    </w:p>
    <w:p>
      <w:pPr>
        <w:ind w:right="120" w:firstLine="648"/>
        <w:spacing w:after="0" w:line="213" w:lineRule="auto"/>
        <w:rPr>
          <w:sz w:val="20"/>
          <w:szCs w:val="20"/>
          <w:color w:val="auto"/>
        </w:rPr>
      </w:pPr>
      <w:r>
        <w:rPr>
          <w:rFonts w:ascii="Times New Roman" w:cs="Times New Roman" w:eastAsia="Times New Roman" w:hAnsi="Times New Roman"/>
          <w:sz w:val="18"/>
          <w:szCs w:val="18"/>
          <w:color w:val="auto"/>
        </w:rPr>
        <w:t>The holdings of our executive officers, directors and stockholders who own more than 5% of our outstanding common stock, together with their affiliates and related persons, represent beneficial ownership, in the aggregate, of greater than 50% of our common stock, based on the number of shares of our common stock outstanding as of September 30, 2015. As a result, these stockholders, if they choose to act together, will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this concentration of ownership might adversely affect the market price of our common stock by:</w:t>
      </w:r>
    </w:p>
    <w:p>
      <w:pPr>
        <w:spacing w:after="0" w:line="185" w:lineRule="exact"/>
        <w:rPr>
          <w:sz w:val="20"/>
          <w:szCs w:val="20"/>
          <w:color w:val="auto"/>
        </w:rPr>
      </w:pPr>
    </w:p>
    <w:p>
      <w:pPr>
        <w:ind w:left="1060" w:hanging="85"/>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4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56" w:lineRule="exact"/>
        <w:rPr>
          <w:sz w:val="20"/>
          <w:szCs w:val="20"/>
          <w:color w:val="auto"/>
        </w:rPr>
      </w:pPr>
    </w:p>
    <w:p>
      <w:pPr>
        <w:ind w:right="10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-309245</wp:posOffset>
            </wp:positionV>
            <wp:extent cx="64135" cy="393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0" w:lineRule="exact"/>
        <w:rPr>
          <w:sz w:val="20"/>
          <w:szCs w:val="20"/>
          <w:color w:val="auto"/>
        </w:rPr>
      </w:pPr>
    </w:p>
    <w:p>
      <w:pPr>
        <w:ind w:right="40" w:firstLine="648"/>
        <w:spacing w:after="0" w:line="183" w:lineRule="exact"/>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1" w:lineRule="exact"/>
        <w:rPr>
          <w:sz w:val="20"/>
          <w:szCs w:val="20"/>
          <w:color w:val="auto"/>
        </w:rPr>
      </w:pPr>
    </w:p>
    <w:p>
      <w:pPr>
        <w:ind w:righ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7"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size of future issuances or the effect, if any, that any future issuances may have on the market price for our common stock.</w:t>
      </w:r>
    </w:p>
    <w:p>
      <w:pPr>
        <w:spacing w:after="0" w:line="157" w:lineRule="exact"/>
        <w:rPr>
          <w:sz w:val="20"/>
          <w:szCs w:val="20"/>
          <w:color w:val="auto"/>
        </w:rPr>
      </w:pPr>
    </w:p>
    <w:p>
      <w:pPr>
        <w:ind w:right="70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are an “emerging growth company,” as defined in the Jumpstart Our Business Startups Act of 2012, or the JOBS</w:t>
      </w:r>
    </w:p>
    <w:p>
      <w:pPr>
        <w:spacing w:after="0" w:line="203" w:lineRule="auto"/>
        <w:rPr>
          <w:sz w:val="20"/>
          <w:szCs w:val="20"/>
          <w:color w:val="auto"/>
        </w:rPr>
      </w:pPr>
      <w:r>
        <w:rPr>
          <w:rFonts w:ascii="Times New Roman" w:cs="Times New Roman" w:eastAsia="Times New Roman" w:hAnsi="Times New Roman"/>
          <w:sz w:val="18"/>
          <w:szCs w:val="18"/>
          <w:color w:val="auto"/>
        </w:rPr>
        <w:t>Act. We will remain an emerging growth company until the earlier of (i) the last day of the fiscal year in which we have total</w:t>
      </w:r>
    </w:p>
    <w:p>
      <w:pPr>
        <w:spacing w:after="0" w:line="204" w:lineRule="auto"/>
        <w:rPr>
          <w:sz w:val="20"/>
          <w:szCs w:val="20"/>
          <w:color w:val="auto"/>
        </w:rPr>
      </w:pPr>
      <w:r>
        <w:rPr>
          <w:rFonts w:ascii="Times New Roman" w:cs="Times New Roman" w:eastAsia="Times New Roman" w:hAnsi="Times New Roman"/>
          <w:sz w:val="18"/>
          <w:szCs w:val="18"/>
          <w:color w:val="auto"/>
        </w:rPr>
        <w:t>annual gross revenues of $1 billion or more; (ii) the last day of the fiscal year following the fifth anniversary of the date of</w:t>
      </w:r>
    </w:p>
    <w:p>
      <w:pPr>
        <w:spacing w:after="0" w:line="203" w:lineRule="auto"/>
        <w:rPr>
          <w:sz w:val="20"/>
          <w:szCs w:val="20"/>
          <w:color w:val="auto"/>
        </w:rPr>
      </w:pPr>
      <w:r>
        <w:rPr>
          <w:rFonts w:ascii="Times New Roman" w:cs="Times New Roman" w:eastAsia="Times New Roman" w:hAnsi="Times New Roman"/>
          <w:sz w:val="18"/>
          <w:szCs w:val="18"/>
          <w:color w:val="auto"/>
        </w:rPr>
        <w:t>the completion of our IPO; (iii) the date on which we have issued more than $1 billion in nonconvertible debt during the</w:t>
      </w:r>
    </w:p>
    <w:p>
      <w:pPr>
        <w:spacing w:after="0" w:line="204" w:lineRule="auto"/>
        <w:rPr>
          <w:sz w:val="20"/>
          <w:szCs w:val="20"/>
          <w:color w:val="auto"/>
        </w:rPr>
      </w:pPr>
      <w:r>
        <w:rPr>
          <w:rFonts w:ascii="Times New Roman" w:cs="Times New Roman" w:eastAsia="Times New Roman" w:hAnsi="Times New Roman"/>
          <w:sz w:val="18"/>
          <w:szCs w:val="18"/>
          <w:color w:val="auto"/>
        </w:rPr>
        <w:t>previous three years; or (iv) the date on which we are deemed to be a large accelerated filer under the rules of the Securities</w:t>
      </w:r>
    </w:p>
    <w:p>
      <w:pPr>
        <w:spacing w:after="0" w:line="176" w:lineRule="exact"/>
        <w:rPr>
          <w:sz w:val="20"/>
          <w:szCs w:val="20"/>
          <w:color w:val="auto"/>
        </w:rPr>
      </w:pPr>
      <w:r>
        <w:rPr>
          <w:rFonts w:ascii="Times New Roman" w:cs="Times New Roman" w:eastAsia="Times New Roman" w:hAnsi="Times New Roman"/>
          <w:sz w:val="18"/>
          <w:szCs w:val="18"/>
          <w:color w:val="auto"/>
        </w:rPr>
        <w:t>and Exchange Commission, which means the market value of our common stock that is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affiliates exceeds</w:t>
      </w:r>
    </w:p>
    <w:p>
      <w:pPr>
        <w:spacing w:after="0" w:line="204" w:lineRule="auto"/>
        <w:rPr>
          <w:sz w:val="20"/>
          <w:szCs w:val="20"/>
          <w:color w:val="auto"/>
        </w:rPr>
      </w:pPr>
      <w:r>
        <w:rPr>
          <w:rFonts w:ascii="Times New Roman" w:cs="Times New Roman" w:eastAsia="Times New Roman" w:hAnsi="Times New Roman"/>
          <w:sz w:val="18"/>
          <w:szCs w:val="18"/>
          <w:color w:val="auto"/>
        </w:rPr>
        <w:t>$700 million as of the prior June 30th. For so long as we remain an emerging growth company, we are permitted and intend</w:t>
      </w:r>
    </w:p>
    <w:p>
      <w:pPr>
        <w:spacing w:after="0" w:line="204" w:lineRule="auto"/>
        <w:rPr>
          <w:sz w:val="20"/>
          <w:szCs w:val="20"/>
          <w:color w:val="auto"/>
        </w:rPr>
      </w:pPr>
      <w:r>
        <w:rPr>
          <w:rFonts w:ascii="Times New Roman" w:cs="Times New Roman" w:eastAsia="Times New Roman" w:hAnsi="Times New Roman"/>
          <w:sz w:val="18"/>
          <w:szCs w:val="18"/>
          <w:color w:val="auto"/>
        </w:rPr>
        <w:t>to rely on exemptions from certain disclosure requirements that are applicable to other public companies that are not</w:t>
      </w:r>
    </w:p>
    <w:p>
      <w:pPr>
        <w:spacing w:after="0"/>
        <w:rPr>
          <w:sz w:val="20"/>
          <w:szCs w:val="20"/>
          <w:color w:val="auto"/>
        </w:rPr>
      </w:pPr>
      <w:r>
        <w:rPr>
          <w:rFonts w:ascii="Times New Roman" w:cs="Times New Roman" w:eastAsia="Times New Roman" w:hAnsi="Times New Roman"/>
          <w:sz w:val="18"/>
          <w:szCs w:val="18"/>
          <w:color w:val="auto"/>
        </w:rPr>
        <w:t>emerging growth companies. These exemptions include:</w:t>
      </w:r>
    </w:p>
    <w:p>
      <w:pPr>
        <w:spacing w:after="0" w:line="136" w:lineRule="exact"/>
        <w:rPr>
          <w:sz w:val="20"/>
          <w:szCs w:val="20"/>
          <w:color w:val="auto"/>
        </w:rPr>
      </w:pPr>
    </w:p>
    <w:p>
      <w:pPr>
        <w:ind w:left="1020" w:right="220" w:hanging="53"/>
        <w:spacing w:after="0" w:line="220" w:lineRule="exact"/>
        <w:rPr>
          <w:sz w:val="20"/>
          <w:szCs w:val="20"/>
          <w:color w:val="auto"/>
        </w:rPr>
      </w:pPr>
      <w:r>
        <w:rPr>
          <w:rFonts w:ascii="Times New Roman" w:cs="Times New Roman" w:eastAsia="Times New Roman" w:hAnsi="Times New Roman"/>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220" w:hanging="53"/>
        <w:spacing w:after="0" w:line="226" w:lineRule="auto"/>
        <w:rPr>
          <w:sz w:val="20"/>
          <w:szCs w:val="20"/>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8" w:lineRule="exact"/>
        <w:rPr>
          <w:sz w:val="20"/>
          <w:szCs w:val="20"/>
          <w:color w:val="auto"/>
        </w:rPr>
      </w:pPr>
    </w:p>
    <w:p>
      <w:pPr>
        <w:jc w:val="both"/>
        <w:ind w:left="1020" w:hanging="53"/>
        <w:spacing w:after="0" w:line="226" w:lineRule="auto"/>
        <w:rPr>
          <w:sz w:val="20"/>
          <w:szCs w:val="20"/>
          <w:color w:val="auto"/>
        </w:rPr>
      </w:pPr>
      <w:r>
        <w:rPr>
          <w:rFonts w:ascii="Times New Roman" w:cs="Times New Roman" w:eastAsia="Times New Roman" w:hAnsi="Times New Roman"/>
          <w:sz w:val="18"/>
          <w:szCs w:val="18"/>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reduced disclosure obligations regarding executive compensation; and</w:t>
      </w:r>
    </w:p>
    <w:p>
      <w:pPr>
        <w:spacing w:after="0" w:line="185" w:lineRule="exact"/>
        <w:rPr>
          <w:sz w:val="20"/>
          <w:szCs w:val="20"/>
          <w:color w:val="auto"/>
        </w:rPr>
      </w:pPr>
    </w:p>
    <w:p>
      <w:pPr>
        <w:ind w:left="1020" w:right="420" w:hanging="53"/>
        <w:spacing w:after="0" w:line="237" w:lineRule="auto"/>
        <w:rPr>
          <w:sz w:val="20"/>
          <w:szCs w:val="20"/>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58" w:lineRule="exact"/>
        <w:rPr>
          <w:sz w:val="20"/>
          <w:szCs w:val="20"/>
          <w:color w:val="auto"/>
        </w:rPr>
      </w:pPr>
    </w:p>
    <w:p>
      <w:pPr>
        <w:jc w:val="both"/>
        <w:ind w:right="200" w:firstLine="648"/>
        <w:spacing w:after="0" w:line="22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58"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58" w:lineRule="exact"/>
        <w:rPr>
          <w:sz w:val="20"/>
          <w:szCs w:val="20"/>
          <w:color w:val="auto"/>
        </w:rPr>
      </w:pPr>
    </w:p>
    <w:p>
      <w:pPr>
        <w:ind w:right="94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Additionally, under the Loan and Security Agreement, we are currently restricted from paying cash dividends, and we expect these restrictions to continue in the future. In addition, the terms of any future debt agreements may preclude us from paying dividends. As a result, capital appreciation, if any, of our common stock will be your sole source of gain for the foreseeable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80" w:lineRule="exact"/>
        <w:rPr>
          <w:sz w:val="20"/>
          <w:szCs w:val="20"/>
          <w:color w:val="auto"/>
        </w:rPr>
      </w:pPr>
    </w:p>
    <w:p>
      <w:pPr>
        <w:ind w:right="40" w:firstLine="648"/>
        <w:spacing w:after="0" w:line="223" w:lineRule="exact"/>
        <w:rPr>
          <w:sz w:val="20"/>
          <w:szCs w:val="20"/>
          <w:color w:val="auto"/>
        </w:rPr>
      </w:pPr>
      <w:r>
        <w:rPr>
          <w:rFonts w:ascii="Times New Roman" w:cs="Times New Roman" w:eastAsia="Times New Roman" w:hAnsi="Times New Roman"/>
          <w:sz w:val="22"/>
          <w:szCs w:val="22"/>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change net operating loss carryforwards and certain other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change tax attributes to offset its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change income may be limited. We may have experienced such ownership changes in the past, and we may experience ownership changes in the future as a result of this offering or subsequent shifts in our stock ownership, some of which are outside our control. As of December 31, 2014, we had federal net operating loss carryforwards of approximately $78.1 million, and our ability to utilize those net operating loss carryforwards could be limited by an “ownership change” as described above, which could result in increased tax liability to 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87"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We presently have no publicly announced share repurchase plan or program. All repurchased shares of common stock described in the following table were initially issued as equity incentive awards to employees, directors or consultants in the form of restricted stock or upon the exercise of early-exercisable but unvested stock options. All repurchases were made upon forfeiture of shares of common stock by the recipient of such equity incentive awards in connection with the termination of employment or other service relationship with us. Pursuant to the award agreements governing such grants, the repurchase price for all shares was equal to the price per share initially paid by the recipient. The following table provides information relating to our repurchase of shares of our common stock in the third quarter of 2015.</w:t>
      </w:r>
    </w:p>
    <w:p>
      <w:pPr>
        <w:sectPr>
          <w:pgSz w:w="11900" w:h="16838" w:orient="portrait"/>
          <w:cols w:equalWidth="0" w:num="1">
            <w:col w:w="9060"/>
          </w:cols>
          <w:pgMar w:left="1420" w:top="108"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0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53"/>
              <w:spacing w:after="0" w:line="202" w:lineRule="exact"/>
              <w:rPr>
                <w:sz w:val="20"/>
                <w:szCs w:val="20"/>
                <w:color w:val="auto"/>
              </w:rPr>
            </w:pPr>
            <w:r>
              <w:rPr>
                <w:rFonts w:ascii="Times New Roman" w:cs="Times New Roman" w:eastAsia="Times New Roman" w:hAnsi="Times New Roman"/>
                <w:sz w:val="18"/>
                <w:szCs w:val="18"/>
                <w:b w:val="1"/>
                <w:bCs w:val="1"/>
                <w:color w:val="auto"/>
              </w:rPr>
              <w:t>per Share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July 1 - July 31</w:t>
            </w:r>
          </w:p>
        </w:tc>
        <w:tc>
          <w:tcPr>
            <w:tcW w:w="280" w:type="dxa"/>
            <w:vAlign w:val="bottom"/>
          </w:tcPr>
          <w:p>
            <w:pPr>
              <w:spacing w:after="0"/>
              <w:rPr>
                <w:sz w:val="12"/>
                <w:szCs w:val="12"/>
                <w:color w:val="auto"/>
              </w:rPr>
            </w:pPr>
          </w:p>
        </w:tc>
        <w:tc>
          <w:tcPr>
            <w:tcW w:w="1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6"/>
        </w:trPr>
        <w:tc>
          <w:tcPr>
            <w:tcW w:w="17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August 1 - August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1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1 -</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3"/>
        </w:trPr>
        <w:tc>
          <w:tcPr>
            <w:tcW w:w="17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1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16,835</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-385445</wp:posOffset>
            </wp:positionV>
            <wp:extent cx="575437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-728345</wp:posOffset>
            </wp:positionV>
            <wp:extent cx="575437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20"/>
        <w:spacing w:after="0" w:line="212" w:lineRule="auto"/>
        <w:rPr>
          <w:sz w:val="20"/>
          <w:szCs w:val="20"/>
          <w:color w:val="auto"/>
        </w:rPr>
      </w:pPr>
      <w:r>
        <w:rPr>
          <w:rFonts w:ascii="Times New Roman" w:cs="Times New Roman" w:eastAsia="Times New Roman" w:hAnsi="Times New Roman"/>
          <w:sz w:val="18"/>
          <w:szCs w:val="18"/>
          <w:b w:val="1"/>
          <w:bCs w:val="1"/>
          <w:color w:val="auto"/>
        </w:rPr>
        <w:t>Total Number of Shares Purchased as Part of Publicly Announced Plans or Programs</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0</wp:posOffset>
            </wp:positionV>
            <wp:extent cx="11061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-1905</wp:posOffset>
            </wp:positionV>
            <wp:extent cx="11061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061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Maximum Number (or</w:t>
      </w:r>
    </w:p>
    <w:p>
      <w:pPr>
        <w:spacing w:after="0" w:line="4" w:lineRule="exact"/>
        <w:rPr>
          <w:sz w:val="20"/>
          <w:szCs w:val="20"/>
          <w:color w:val="auto"/>
        </w:rPr>
      </w:pPr>
    </w:p>
    <w:p>
      <w:pPr>
        <w:jc w:val="center"/>
        <w:ind w:left="20" w:right="20"/>
        <w:spacing w:after="0" w:line="206" w:lineRule="auto"/>
        <w:rPr>
          <w:sz w:val="20"/>
          <w:szCs w:val="20"/>
          <w:color w:val="auto"/>
        </w:rPr>
      </w:pPr>
      <w:r>
        <w:rPr>
          <w:rFonts w:ascii="Times New Roman" w:cs="Times New Roman" w:eastAsia="Times New Roman" w:hAnsi="Times New Roman"/>
          <w:sz w:val="18"/>
          <w:szCs w:val="18"/>
          <w:b w:val="1"/>
          <w:bCs w:val="1"/>
          <w:color w:val="auto"/>
        </w:rPr>
        <w:t>Approximate Dollar Value) of Shares that May Yet be Purchased Under the Plans or Programs</w:t>
      </w:r>
    </w:p>
    <w:p>
      <w:pPr>
        <w:spacing w:after="0" w:line="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1404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11404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40460" cy="171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5000" w:space="340"/>
            <w:col w:w="1600" w:space="340"/>
            <w:col w:w="1780"/>
          </w:cols>
          <w:pgMar w:left="1420" w:top="108" w:right="141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 from Initial Public Offering of Common Stock</w:t>
      </w:r>
    </w:p>
    <w:p>
      <w:pPr>
        <w:spacing w:after="0" w:line="295"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On May 5, 2015, we completed an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The offer and sale of all of the shares in our IPO was registered under the Securities Act pursuant to a registration statement on Form S-1 (File No. 333-202938), which was declared effective by the SEC on April 29, 2015. Following the sale of the shares in connection with the closing of our IPO, the offering terminated. The offering did not terminate until the sale of all of the shares offered. Goldman, Sachs &amp; Co. and Cowen and Company acted as joint book-running managers for the offering. JMP Securities acted as a co-manager for the offering. Wedbush PacGrow also acted as a co-manager for the offering.</w:t>
      </w:r>
    </w:p>
    <w:p>
      <w:pPr>
        <w:spacing w:after="0" w:line="158" w:lineRule="exact"/>
        <w:rPr>
          <w:sz w:val="20"/>
          <w:szCs w:val="20"/>
          <w:color w:val="auto"/>
        </w:rPr>
      </w:pPr>
    </w:p>
    <w:p>
      <w:pPr>
        <w:ind w:right="80" w:firstLine="648"/>
        <w:spacing w:after="0" w:line="209" w:lineRule="auto"/>
        <w:rPr>
          <w:sz w:val="20"/>
          <w:szCs w:val="20"/>
          <w:color w:val="auto"/>
        </w:rPr>
      </w:pPr>
      <w:r>
        <w:rPr>
          <w:rFonts w:ascii="Times New Roman" w:cs="Times New Roman" w:eastAsia="Times New Roman" w:hAnsi="Times New Roman"/>
          <w:sz w:val="18"/>
          <w:szCs w:val="18"/>
          <w:color w:val="auto"/>
        </w:rPr>
        <w:t>We received approximately $154.8 million in net proceeds after deducting underwriting discounts and commissions and offering costs payable by us. As of September 30, 2015, we estimate that we have used approximately $21.6 million of the net proceeds from the offering as follows: approximately $3.7 million of external costs to fund our Phase 1 clinical trials for BLU-285 and BLU-554; approximately $7.0 million of external costs for new and ongoing research activities; approximately $3.9 million of internal research and development costs and approximately $7.0 million for working capital and other general corporate purposes.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IPO as described in our final prospectus filed with the SEC on April 30, 2015 pursuant to Rule 424(b)(4) under the Securities Act. We have invested the unused proceeds from the offering in cash equivalents in accordance with our investment policy.</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On November 6, 2015, we entered into employment agreements with each of Jeffrey W. Albers, our President and Chief Executive Officer, Christoph Lengauer, our Chief Scientific Officer, and Anthony L. Boral, our Senior Vice President, Clinical Development. These employment agreements provide for “at will” employment and supersede and replace in all respects the terms of the offer letter agreements that we previously entered into with such executive officers in connection with their employment with us.</w:t>
      </w:r>
    </w:p>
    <w:p>
      <w:pPr>
        <w:spacing w:after="0" w:line="154" w:lineRule="exact"/>
        <w:rPr>
          <w:sz w:val="20"/>
          <w:szCs w:val="20"/>
          <w:color w:val="auto"/>
        </w:rPr>
      </w:pPr>
    </w:p>
    <w:p>
      <w:pPr>
        <w:ind w:right="40" w:firstLine="648"/>
        <w:spacing w:after="0" w:line="2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Jeffrey W. Albers. </w:t>
      </w:r>
      <w:r>
        <w:rPr>
          <w:rFonts w:ascii="Times New Roman" w:cs="Times New Roman" w:eastAsia="Times New Roman" w:hAnsi="Times New Roman"/>
          <w:sz w:val="18"/>
          <w:szCs w:val="18"/>
          <w:color w:val="auto"/>
        </w:rPr>
        <w:t>The employment agreement entitles Mr. Albers to an initial base salary of $425,000,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periodic review and adjustment. Mr. Albers is also eligible for an annual performance bonus targeted at 45% of his base salary. Mr. Albers is eligible to participate in the employee benefit plans generally available to full-time employees, subject to the terms of those plans. If Mr. Albers’ employment is terminated by us without cause (as defined in his employment agreement) or by Mr. Albers for good reason (as defined in his employment agreement), and subject to Mr. Albers’ execution of a release of potential claims against us, Mr. Albers will be entitled to receive: (i) a lump sum in cash in an amount equal to 12 months of base salary and (ii) a monthly cash payment for 12 months for medical and dental benefits or Mr. Albers’ COBRA health continuation period, whichever ends earlier. However, in the event that Mr. Albers’ employment is terminated by us without cause, or Mr. Albers terminates his employment with us for good reason, in either case within 12 months following the occurrence of a sale event (as defined in his employment agreement), in lieu of the severance payments and benefits described in the preceding sentence and subject to Mr. Albers’ execution of a release of potential claims against us, Mr. Albers will be entitled to receive: (i) a lump sum in cash in an amount equal to the sum of 18 months of Mr. Albers’ base salary then in effect plus one-and-one half times Mr. Albers’ target annual incentive compensation for the year in which the termination occurs, (ii) a monthly cash payment for 18 months for medical and dental benefits or Mr. Albers’ COBRA health continuation period, whichever ends earlier, and (iii) full and immediate vesting and exercisability of all time-based stock options and other time-based stock-based awards held by Mr. Albers. Mr. Albers has also previously entered into a Non-Competition, Non-Solicitation, Confidentiality and Assignment Agreement that contains, among other things, non-competition and non-solicitation provisions that apply during the term of Mr. Albers’ employment and for 12 months thereafter.</w:t>
      </w:r>
    </w:p>
    <w:p>
      <w:pPr>
        <w:spacing w:after="0" w:line="160"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 Lengauer. </w:t>
      </w:r>
      <w:r>
        <w:rPr>
          <w:rFonts w:ascii="Times New Roman" w:cs="Times New Roman" w:eastAsia="Times New Roman" w:hAnsi="Times New Roman"/>
          <w:sz w:val="18"/>
          <w:szCs w:val="18"/>
          <w:color w:val="auto"/>
        </w:rPr>
        <w:t>The employment agreement entitles Dr. Lengauer to an initial base salary of $415,000,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subject to periodic review and adjustment. Dr. Lengauer is also eligible for an annual performance bonus targeted at 35% of his base salary. Dr. Lengauer is eligible to participate in the employee benefit plans generally available to full-time employees, subject to the terms of those plans. If Dr. Lengauer’s employment is terminated by us without cause (as defined in his employment agreement) or by Dr. Lengauer for good reason (as defined in his employment agreement), and subject to Dr. Lengauer’s execution of a release of potential claims against us, Dr. Lengauer will be entitled to receive: (i) a lump sum in cash in an amount equal to 12 months of base salary and (ii) a monthly cash payment for 12 months for medical and dental benefits or Dr. Lengauer’s COBRA health continuation period, whichever ends earlier. However, in the event that Dr. Lengauer’s employment is terminated by us without cause, or Dr. Lengauer terminates his employment with us for good reason, in either case within 12 months following the occurrence of a sale event (as defined in his employment agreement), in lieu of the severance payments and benefits described in the preceding sentence and subject to Dr. Lengauer’s execution of a release of potential claims against us, Dr. Lengauer will be entitled to receive: (i) a lump sum in cash in an amount equal to the sum of 12 months of Dr. Lengauer’s base salary then in effect plus Dr. Lengauer’s target annual incentive compensation for the year in which the termination occurs, (ii) a monthly cash payment for 12 months for medical and dental benefits or Dr. Lengauer’s COBRA health continuation period, whichever ends earlier, and (iii) full and immediate vesting and exercisability of all time-based stock options and other time-based stock-based awards held by Dr. Lengauer. Dr. Lengauer has also previously entered into a Non-Competition, Non-Solicitation, Confidentiality and Assignment Agreement that contains, among other things, non-competition and non-solicitation provisions that apply during the term of Dr. Lengauer’s employment and for 12 months thereafter.</w:t>
      </w:r>
    </w:p>
    <w:p>
      <w:pPr>
        <w:spacing w:after="0" w:line="160" w:lineRule="exact"/>
        <w:rPr>
          <w:sz w:val="20"/>
          <w:szCs w:val="20"/>
          <w:color w:val="auto"/>
        </w:rPr>
      </w:pPr>
    </w:p>
    <w:p>
      <w:pPr>
        <w:ind w:right="200" w:firstLine="648"/>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L. Boral. </w:t>
      </w:r>
      <w:r>
        <w:rPr>
          <w:rFonts w:ascii="Times New Roman" w:cs="Times New Roman" w:eastAsia="Times New Roman" w:hAnsi="Times New Roman"/>
          <w:sz w:val="18"/>
          <w:szCs w:val="18"/>
          <w:color w:val="auto"/>
        </w:rPr>
        <w:t>The employment agreement entitles Dr. Boral to an initial base salary of $325,000, which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periodic review and adjustment Dr. Boral is also eligible for an annual performance bonus targeted at 30% of his base salary. Dr. Boral is eligible to participate in the employee benefit plans generally available to full-time employees, subject to the terms of those plans. If Dr. Boral’s employment is terminated by us without cause (as defined in his employment agreement) or by Dr. Boral for good reason (as defined in his employment agreement), and subject to</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7"/>
          <w:szCs w:val="17"/>
          <w:color w:val="auto"/>
        </w:rPr>
        <w:t>Dr. Boral’s execution of a release of potential claims against us, Dr. Boral will be entitled to receive: (i) a lump sum in cash in an amount equal to 12 months of base salary and (ii) a monthly cash payment for 12 months for medical and dental benefits or Dr. Boral’s COBRA health continuation period, whichever ends earlier. However, in the event that Dr. Boral’s employment is terminated by us without cause, or Dr. Boral terminates his employment with us for good reason, in either case within 12 months following the occurrence of a sale event (as defined in his employment agreement), in lieu of the severance payments and benefits described in the preceding sentence and subject to Dr. Lengauer’s execution of a release of potential claims against us, Dr. Boral will be entitled to receive: (i) a lump sum in cash in an amount equal to the sum of 12 months of Dr. Boral’s base salary then in effect plus Dr. Boral’s target annual incentive compensation for the year in which the termination occurs, (ii) a monthly cash payment for 12 months for medical and dental benefits or Dr. Boral’s COBRA health continuation period, whichever ends earlier, and (iii) full and immediate vesting and exercisability of all time-based stock options and other time-based stock-based awards held by Dr. Boral. Dr. Boral has also previously entered into a Non-Competition, Non-Solicitation, Confidentiality and Assignment Agreement that contains, among other things, non-competition and non-solicitation provisions that apply during the term of Dr. Boral’s employment and for 12 months thereafter.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right="860" w:firstLine="441"/>
        <w:spacing w:after="0" w:line="237"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ind w:right="339" w:firstLine="441"/>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Times New Roman" w:cs="Times New Roman" w:eastAsia="Times New Roman" w:hAnsi="Times New Roman"/>
          <w:sz w:val="18"/>
          <w:szCs w:val="18"/>
          <w:color w:val="auto"/>
        </w:rPr>
        <w:t>Date: November 9,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8890</wp:posOffset>
            </wp:positionV>
            <wp:extent cx="2718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Jeffrey W. Albers</w:t>
      </w:r>
    </w:p>
    <w:p>
      <w:pPr>
        <w:ind w:left="4780"/>
        <w:spacing w:after="0"/>
        <w:rPr>
          <w:sz w:val="20"/>
          <w:szCs w:val="20"/>
          <w:color w:val="auto"/>
        </w:rPr>
      </w:pPr>
      <w:r>
        <w:rPr>
          <w:rFonts w:ascii="Times New Roman" w:cs="Times New Roman" w:eastAsia="Times New Roman" w:hAnsi="Times New Roman"/>
          <w:sz w:val="17"/>
          <w:szCs w:val="17"/>
          <w:i w:val="1"/>
          <w:iCs w:val="1"/>
          <w:color w:val="auto"/>
        </w:rPr>
        <w:t>President, Chief Executive Officer and Director (Principal</w:t>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192" w:lineRule="exact"/>
        <w:rPr>
          <w:sz w:val="20"/>
          <w:szCs w:val="20"/>
          <w:color w:val="auto"/>
        </w:rPr>
      </w:pPr>
    </w:p>
    <w:p>
      <w:pPr>
        <w:spacing w:after="0"/>
        <w:tabs>
          <w:tab w:leader="none" w:pos="4340" w:val="left"/>
          <w:tab w:leader="none" w:pos="4760" w:val="left"/>
        </w:tabs>
        <w:rPr>
          <w:sz w:val="20"/>
          <w:szCs w:val="20"/>
          <w:color w:val="auto"/>
        </w:rPr>
      </w:pPr>
      <w:r>
        <w:rPr>
          <w:rFonts w:ascii="Times New Roman" w:cs="Times New Roman" w:eastAsia="Times New Roman" w:hAnsi="Times New Roman"/>
          <w:sz w:val="18"/>
          <w:szCs w:val="18"/>
          <w:color w:val="auto"/>
        </w:rPr>
        <w:t>Date: November 9, 2015</w:t>
      </w:r>
      <w:r>
        <w:rPr>
          <w:sz w:val="20"/>
          <w:szCs w:val="20"/>
          <w:color w:val="auto"/>
        </w:rPr>
        <w:tab/>
      </w:r>
      <w:r>
        <w:rPr>
          <w:rFonts w:ascii="Times New Roman" w:cs="Times New Roman" w:eastAsia="Times New Roman" w:hAnsi="Times New Roman"/>
          <w:sz w:val="18"/>
          <w:szCs w:val="18"/>
          <w:color w:val="auto"/>
        </w:rPr>
        <w:t>By:</w:t>
        <w:tab/>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8890</wp:posOffset>
            </wp:positionV>
            <wp:extent cx="2718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Michael Landsittel</w:t>
      </w:r>
    </w:p>
    <w:p>
      <w:pPr>
        <w:ind w:left="4780"/>
        <w:spacing w:after="0" w:line="234" w:lineRule="auto"/>
        <w:rPr>
          <w:sz w:val="20"/>
          <w:szCs w:val="20"/>
          <w:color w:val="auto"/>
        </w:rPr>
      </w:pPr>
      <w:r>
        <w:rPr>
          <w:rFonts w:ascii="Times New Roman" w:cs="Times New Roman" w:eastAsia="Times New Roman" w:hAnsi="Times New Roman"/>
          <w:sz w:val="18"/>
          <w:szCs w:val="18"/>
          <w:i w:val="1"/>
          <w:iCs w:val="1"/>
          <w:color w:val="auto"/>
        </w:rPr>
        <w:t>Senior Director of Finance</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8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788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7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Fifth Amended and Restated Certificate of Incorporation of the Registrant</w:t>
            </w:r>
          </w:p>
        </w:tc>
        <w:tc>
          <w:tcPr>
            <w:tcW w:w="0" w:type="dxa"/>
            <w:vAlign w:val="bottom"/>
          </w:tcPr>
          <w:p>
            <w:pPr>
              <w:spacing w:after="0"/>
              <w:rPr>
                <w:sz w:val="1"/>
                <w:szCs w:val="1"/>
                <w:color w:val="auto"/>
              </w:rPr>
            </w:pPr>
          </w:p>
        </w:tc>
      </w:tr>
      <w:tr>
        <w:trPr>
          <w:trHeight w:val="252"/>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Resignation Agreement, dated August 13, 2015, by and between the Registrant and Kyle D. Kuvalanka</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Employment Agreement, dated November 6, 2015, by and between the Registrant and Jeffrey W. Albers</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Employment Agreement, dated November 6, 2015, by and between the Registrant and Christoph Lengauer</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Employment Agreement, dated November 6, 2015, by and between the Registrant and Anthony L. Boral</w:t>
            </w:r>
          </w:p>
        </w:tc>
        <w:tc>
          <w:tcPr>
            <w:tcW w:w="0" w:type="dxa"/>
            <w:vAlign w:val="bottom"/>
          </w:tcPr>
          <w:p>
            <w:pPr>
              <w:spacing w:after="0"/>
              <w:rPr>
                <w:sz w:val="1"/>
                <w:szCs w:val="1"/>
                <w:color w:val="auto"/>
              </w:rPr>
            </w:pPr>
          </w:p>
        </w:tc>
      </w:tr>
      <w:tr>
        <w:trPr>
          <w:trHeight w:val="230"/>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or Rule 15d-14(a) of the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or Rule 15d-14(a) of the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 pursuant to 18 U.S.C. Section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 2002</w:t>
            </w:r>
          </w:p>
        </w:tc>
        <w:tc>
          <w:tcPr>
            <w:tcW w:w="0" w:type="dxa"/>
            <w:vAlign w:val="bottom"/>
          </w:tcPr>
          <w:p>
            <w:pPr>
              <w:spacing w:after="0"/>
              <w:rPr>
                <w:sz w:val="1"/>
                <w:szCs w:val="1"/>
                <w:color w:val="auto"/>
              </w:rPr>
            </w:pPr>
          </w:p>
        </w:tc>
      </w:tr>
      <w:tr>
        <w:trPr>
          <w:trHeight w:val="27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72" w:lineRule="exact"/>
        <w:rPr>
          <w:sz w:val="20"/>
          <w:szCs w:val="20"/>
          <w:color w:val="auto"/>
        </w:rPr>
      </w:pPr>
    </w:p>
    <w:p>
      <w:pPr>
        <w:ind w:left="200" w:right="99" w:hanging="197"/>
        <w:spacing w:after="0" w:line="237" w:lineRule="auto"/>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the exhibit. Confidential materials omitted and filed separately with the Securities and Exchange Commission.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77" w:lineRule="exact"/>
        <w:rPr>
          <w:sz w:val="20"/>
          <w:szCs w:val="20"/>
          <w:color w:val="auto"/>
        </w:rPr>
      </w:pPr>
    </w:p>
    <w:p>
      <w:pPr>
        <w:ind w:left="200" w:right="139" w:hanging="197"/>
        <w:spacing w:after="0" w:line="220" w:lineRule="auto"/>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5" w:name="page76"/>
    <w:bookmarkEnd w:id="75"/>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FIFTH AMENDED AND RESTATED</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Blueprint Medicines Corporation, a corporation organized and existing under the laws of the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State of Delaware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hereby certifies as follows:</w:t>
      </w:r>
    </w:p>
    <w:p>
      <w:pPr>
        <w:spacing w:after="0" w:line="209" w:lineRule="exact"/>
        <w:rPr>
          <w:sz w:val="20"/>
          <w:szCs w:val="20"/>
          <w:color w:val="auto"/>
        </w:rPr>
      </w:pPr>
    </w:p>
    <w:p>
      <w:pPr>
        <w:ind w:left="160" w:right="159" w:firstLine="639"/>
        <w:spacing w:after="0" w:line="233" w:lineRule="auto"/>
        <w:tabs>
          <w:tab w:leader="none" w:pos="148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Blueprint Medicines Corporation. The date of the filing of its original Certificate of Incorporation with the Secretary of State of the State of Delaware was October 14, 2008, under the name ImmunoCo, Inc. (the “</w:t>
      </w:r>
      <w:r>
        <w:rPr>
          <w:rFonts w:ascii="Times New Roman" w:cs="Times New Roman" w:eastAsia="Times New Roman" w:hAnsi="Times New Roman"/>
          <w:sz w:val="22"/>
          <w:szCs w:val="22"/>
          <w:b w:val="1"/>
          <w:bCs w:val="1"/>
          <w:color w:val="auto"/>
        </w:rPr>
        <w:t>Original Certificate</w:t>
      </w:r>
      <w:r>
        <w:rPr>
          <w:rFonts w:ascii="Times New Roman" w:cs="Times New Roman" w:eastAsia="Times New Roman" w:hAnsi="Times New Roman"/>
          <w:sz w:val="22"/>
          <w:szCs w:val="22"/>
          <w:color w:val="auto"/>
        </w:rPr>
        <w:t>”), as amended by a Certificate of Amendment dated May 21, 2010. An Amended and Restated Certificate of Incorporation of this Corporation was filed with the Delaware Secretary of State on April 4, 2011, as amended by a Certificate of Amendment dated May 24, 2013 and a Certificate of Amendment dated November 14, 2013. A Second Amended and Restated Certificate of Incorporation of this Corporation was filed with the Delaware Secretary of State on January 3, 2014, as amended by a Certificate of Amendment dated August 18, 2014 and a Certificate of Amendment dated November 3, 2014. A Third Amended and Restated Certificate of Incorporation of this corporation was filed with the Delaware Secretary of State on November 10, 2014. A Fourth Amended and Restated Certificate of Incorporation of this corporation was filed with the Delaware Secretary of State on April 29, 2015.</w:t>
      </w:r>
    </w:p>
    <w:p>
      <w:pPr>
        <w:spacing w:after="0" w:line="206" w:lineRule="exact"/>
        <w:rPr>
          <w:rFonts w:ascii="Times New Roman" w:cs="Times New Roman" w:eastAsia="Times New Roman" w:hAnsi="Times New Roman"/>
          <w:sz w:val="22"/>
          <w:szCs w:val="22"/>
          <w:color w:val="auto"/>
        </w:rPr>
      </w:pPr>
    </w:p>
    <w:p>
      <w:pPr>
        <w:ind w:left="160" w:right="139" w:firstLine="639"/>
        <w:spacing w:after="0" w:line="241" w:lineRule="auto"/>
        <w:tabs>
          <w:tab w:leader="none" w:pos="148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Fifth Amended and Restated Certificate of Incorporation (the “</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amends and restates the provisions of the Fourth Amended and Restated Certificate of Incorporation, and was duly adopted in accordance with the provisions of Sections 228, 242 and 245 of the General Corporation Law of the State of Delaware (the “</w:t>
      </w:r>
      <w:r>
        <w:rPr>
          <w:rFonts w:ascii="Times New Roman" w:cs="Times New Roman" w:eastAsia="Times New Roman" w:hAnsi="Times New Roman"/>
          <w:sz w:val="22"/>
          <w:szCs w:val="22"/>
          <w:b w:val="1"/>
          <w:bCs w:val="1"/>
          <w:color w:val="auto"/>
        </w:rPr>
        <w:t>DGCL</w:t>
      </w:r>
      <w:r>
        <w:rPr>
          <w:rFonts w:ascii="Times New Roman" w:cs="Times New Roman" w:eastAsia="Times New Roman" w:hAnsi="Times New Roman"/>
          <w:sz w:val="22"/>
          <w:szCs w:val="22"/>
          <w:color w:val="auto"/>
        </w:rPr>
        <w:t>”).</w:t>
      </w:r>
    </w:p>
    <w:p>
      <w:pPr>
        <w:spacing w:after="0" w:line="203" w:lineRule="exact"/>
        <w:rPr>
          <w:rFonts w:ascii="Times New Roman" w:cs="Times New Roman" w:eastAsia="Times New Roman" w:hAnsi="Times New Roman"/>
          <w:sz w:val="22"/>
          <w:szCs w:val="22"/>
          <w:color w:val="auto"/>
        </w:rPr>
      </w:pPr>
    </w:p>
    <w:p>
      <w:pPr>
        <w:ind w:left="160" w:right="579" w:firstLine="639"/>
        <w:spacing w:after="0" w:line="258" w:lineRule="auto"/>
        <w:tabs>
          <w:tab w:leader="none" w:pos="148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Fourth Amended and Restated Certificate is hereby amended and restated in its entirety to provide as herein set forth in full.</w:t>
      </w:r>
    </w:p>
    <w:p>
      <w:pPr>
        <w:spacing w:after="0" w:line="19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name of the Corporation is Blueprint Medicines Corporation</w:t>
      </w: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20" w:lineRule="exact"/>
        <w:rPr>
          <w:sz w:val="20"/>
          <w:szCs w:val="20"/>
          <w:color w:val="auto"/>
        </w:rPr>
      </w:pPr>
    </w:p>
    <w:p>
      <w:pPr>
        <w:ind w:left="160" w:right="279" w:firstLine="648"/>
        <w:spacing w:after="0" w:line="262" w:lineRule="auto"/>
        <w:rPr>
          <w:sz w:val="20"/>
          <w:szCs w:val="20"/>
          <w:color w:val="auto"/>
        </w:rPr>
      </w:pPr>
      <w:r>
        <w:rPr>
          <w:rFonts w:ascii="Times New Roman" w:cs="Times New Roman" w:eastAsia="Times New Roman" w:hAnsi="Times New Roman"/>
          <w:sz w:val="21"/>
          <w:szCs w:val="21"/>
          <w:color w:val="auto"/>
        </w:rPr>
        <w:t>The address of the Corporation’s registered office in the State of Delaware is c/o The Corporation Trust Company, 1209 Orange Street in the City of Wilmington, County of New Castle, 19801. The name of its registered agent at such address is The Corporation Trust Company.</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80010</wp:posOffset>
            </wp:positionV>
            <wp:extent cx="554863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6" w:name="page77"/>
    <w:bookmarkEnd w:id="76"/>
    <w:p>
      <w:pPr>
        <w:jc w:val="center"/>
        <w:ind w:right="159"/>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20" w:lineRule="exact"/>
        <w:rPr>
          <w:sz w:val="20"/>
          <w:szCs w:val="20"/>
          <w:color w:val="auto"/>
        </w:rPr>
      </w:pPr>
    </w:p>
    <w:p>
      <w:pPr>
        <w:ind w:left="160" w:right="1079" w:firstLine="648"/>
        <w:spacing w:after="0" w:line="258"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DGCL.</w:t>
      </w:r>
    </w:p>
    <w:p>
      <w:pPr>
        <w:spacing w:after="0" w:line="1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-13970</wp:posOffset>
            </wp:positionV>
            <wp:extent cx="400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CAPITAL STOCK</w:t>
      </w:r>
    </w:p>
    <w:p>
      <w:pPr>
        <w:spacing w:after="0" w:line="206" w:lineRule="exact"/>
        <w:rPr>
          <w:sz w:val="20"/>
          <w:szCs w:val="20"/>
          <w:color w:val="auto"/>
        </w:rPr>
      </w:pPr>
    </w:p>
    <w:p>
      <w:pPr>
        <w:ind w:left="160" w:right="319" w:firstLine="648"/>
        <w:spacing w:after="0" w:line="238" w:lineRule="auto"/>
        <w:rPr>
          <w:sz w:val="20"/>
          <w:szCs w:val="20"/>
          <w:color w:val="auto"/>
        </w:rPr>
      </w:pPr>
      <w:r>
        <w:rPr>
          <w:rFonts w:ascii="Times New Roman" w:cs="Times New Roman" w:eastAsia="Times New Roman" w:hAnsi="Times New Roman"/>
          <w:sz w:val="22"/>
          <w:szCs w:val="22"/>
          <w:color w:val="auto"/>
        </w:rPr>
        <w:t>The total number of shares of capital stock which the Corporation shall have authority to issue is 125,000,000, of which (i) 120,000,000 shares shall be a class designated as common stock, par value $0.001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and (ii) 5,000,000 shares shall be a class designated as undesignated preferred stock, par value $0.001 per share (the “</w:t>
      </w:r>
      <w:r>
        <w:rPr>
          <w:rFonts w:ascii="Times New Roman" w:cs="Times New Roman" w:eastAsia="Times New Roman" w:hAnsi="Times New Roman"/>
          <w:sz w:val="22"/>
          <w:szCs w:val="22"/>
          <w:b w:val="1"/>
          <w:bCs w:val="1"/>
          <w:color w:val="auto"/>
        </w:rPr>
        <w:t>Undesignated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Preferred Stock</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160" w:right="179" w:firstLine="648"/>
        <w:spacing w:after="0" w:line="236" w:lineRule="auto"/>
        <w:rPr>
          <w:sz w:val="20"/>
          <w:szCs w:val="20"/>
          <w:color w:val="auto"/>
        </w:rPr>
      </w:pPr>
      <w:r>
        <w:rPr>
          <w:rFonts w:ascii="Times New Roman" w:cs="Times New Roman" w:eastAsia="Times New Roman" w:hAnsi="Times New Roman"/>
          <w:sz w:val="22"/>
          <w:szCs w:val="22"/>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209" w:lineRule="exact"/>
        <w:rPr>
          <w:sz w:val="20"/>
          <w:szCs w:val="20"/>
          <w:color w:val="auto"/>
        </w:rPr>
      </w:pPr>
    </w:p>
    <w:p>
      <w:pPr>
        <w:ind w:left="160" w:right="359" w:firstLine="648"/>
        <w:spacing w:after="0" w:line="244" w:lineRule="auto"/>
        <w:rPr>
          <w:sz w:val="20"/>
          <w:szCs w:val="20"/>
          <w:color w:val="auto"/>
        </w:rPr>
      </w:pPr>
      <w:r>
        <w:rPr>
          <w:rFonts w:ascii="Times New Roman" w:cs="Times New Roman" w:eastAsia="Times New Roman" w:hAnsi="Times New Roman"/>
          <w:sz w:val="22"/>
          <w:szCs w:val="22"/>
          <w:color w:val="auto"/>
        </w:rPr>
        <w:t>The powers, preferences and rights of, and the qualifications, limitations and restrictions upon, each class or series of stock shall be determined in accordance with, or as set forth below in, this Article IV.</w:t>
      </w:r>
    </w:p>
    <w:p>
      <w:pPr>
        <w:spacing w:after="0" w:line="201" w:lineRule="exact"/>
        <w:rPr>
          <w:sz w:val="20"/>
          <w:szCs w:val="20"/>
          <w:color w:val="auto"/>
        </w:rPr>
      </w:pPr>
    </w:p>
    <w:p>
      <w:pPr>
        <w:ind w:left="3800" w:hanging="323"/>
        <w:spacing w:after="0"/>
        <w:tabs>
          <w:tab w:leader="none" w:pos="38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STOCK</w:t>
      </w:r>
    </w:p>
    <w:p>
      <w:pPr>
        <w:spacing w:after="0" w:line="233" w:lineRule="exact"/>
        <w:rPr>
          <w:sz w:val="20"/>
          <w:szCs w:val="20"/>
          <w:color w:val="auto"/>
        </w:rPr>
      </w:pPr>
    </w:p>
    <w:p>
      <w:pPr>
        <w:ind w:left="160" w:right="259" w:firstLine="648"/>
        <w:spacing w:after="0" w:line="244" w:lineRule="auto"/>
        <w:rPr>
          <w:sz w:val="20"/>
          <w:szCs w:val="20"/>
          <w:color w:val="auto"/>
        </w:rPr>
      </w:pPr>
      <w:r>
        <w:rPr>
          <w:rFonts w:ascii="Times New Roman" w:cs="Times New Roman" w:eastAsia="Times New Roman" w:hAnsi="Times New Roman"/>
          <w:sz w:val="22"/>
          <w:szCs w:val="22"/>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201" w:lineRule="exact"/>
        <w:rPr>
          <w:sz w:val="20"/>
          <w:szCs w:val="20"/>
          <w:color w:val="auto"/>
        </w:rPr>
      </w:pPr>
    </w:p>
    <w:p>
      <w:pPr>
        <w:ind w:left="160" w:right="159" w:firstLine="1287"/>
        <w:spacing w:after="0" w:line="233" w:lineRule="auto"/>
        <w:tabs>
          <w:tab w:leader="none" w:pos="210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the Common Stock shall have the exclusive right to vote for the election of directors of the Corporation (the “</w:t>
      </w:r>
      <w:r>
        <w:rPr>
          <w:rFonts w:ascii="Times New Roman" w:cs="Times New Roman" w:eastAsia="Times New Roman" w:hAnsi="Times New Roman"/>
          <w:sz w:val="22"/>
          <w:szCs w:val="22"/>
          <w:b w:val="1"/>
          <w:bCs w:val="1"/>
          <w:color w:val="auto"/>
        </w:rPr>
        <w:t>Directors</w:t>
      </w:r>
      <w:r>
        <w:rPr>
          <w:rFonts w:ascii="Times New Roman" w:cs="Times New Roman" w:eastAsia="Times New Roman" w:hAnsi="Times New Roman"/>
          <w:sz w:val="22"/>
          <w:szCs w:val="22"/>
          <w:color w:val="auto"/>
        </w:rPr>
        <w:t xml:space="preserve">”)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77" w:name="page78"/>
    <w:bookmarkEnd w:id="77"/>
    <w:p>
      <w:pPr>
        <w:ind w:left="160" w:right="479" w:firstLine="1287"/>
        <w:spacing w:after="0"/>
        <w:tabs>
          <w:tab w:leader="none" w:pos="211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204" w:lineRule="exact"/>
        <w:rPr>
          <w:rFonts w:ascii="Times New Roman" w:cs="Times New Roman" w:eastAsia="Times New Roman" w:hAnsi="Times New Roman"/>
          <w:sz w:val="22"/>
          <w:szCs w:val="22"/>
          <w:color w:val="auto"/>
        </w:rPr>
      </w:pPr>
    </w:p>
    <w:p>
      <w:pPr>
        <w:jc w:val="both"/>
        <w:ind w:left="160" w:right="399" w:firstLine="1287"/>
        <w:spacing w:after="0" w:line="244" w:lineRule="auto"/>
        <w:tabs>
          <w:tab w:leader="none" w:pos="210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voluntary or involuntary liquidation, dissolution or winding up of the Corporation, the net assets of the Corporation shall be distributed pro rata to the holders of the Common Stock.</w:t>
      </w:r>
    </w:p>
    <w:p>
      <w:pPr>
        <w:spacing w:after="0" w:line="200" w:lineRule="exact"/>
        <w:rPr>
          <w:rFonts w:ascii="Times New Roman" w:cs="Times New Roman" w:eastAsia="Times New Roman" w:hAnsi="Times New Roman"/>
          <w:sz w:val="22"/>
          <w:szCs w:val="22"/>
          <w:color w:val="auto"/>
        </w:rPr>
      </w:pPr>
    </w:p>
    <w:p>
      <w:pPr>
        <w:ind w:left="2820" w:hanging="306"/>
        <w:spacing w:after="0"/>
        <w:tabs>
          <w:tab w:leader="none" w:pos="282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UNDESIGNATED PREFERRED STOCK</w:t>
      </w:r>
    </w:p>
    <w:p>
      <w:pPr>
        <w:spacing w:after="0" w:line="233" w:lineRule="exact"/>
        <w:rPr>
          <w:sz w:val="20"/>
          <w:szCs w:val="20"/>
          <w:color w:val="auto"/>
        </w:rPr>
      </w:pPr>
    </w:p>
    <w:p>
      <w:pPr>
        <w:ind w:left="160" w:right="239" w:firstLine="1296"/>
        <w:spacing w:after="0" w:line="247" w:lineRule="auto"/>
        <w:rPr>
          <w:sz w:val="20"/>
          <w:szCs w:val="20"/>
          <w:color w:val="auto"/>
        </w:rPr>
      </w:pPr>
      <w:r>
        <w:rPr>
          <w:rFonts w:ascii="Times New Roman" w:cs="Times New Roman" w:eastAsia="Times New Roman" w:hAnsi="Times New Roman"/>
          <w:sz w:val="21"/>
          <w:szCs w:val="21"/>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2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2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u w:val="single" w:color="auto"/>
          <w:color w:val="auto"/>
        </w:rPr>
        <w:t>STOCKHOLDER ACTION</w:t>
      </w:r>
    </w:p>
    <w:p>
      <w:pPr>
        <w:spacing w:after="0" w:line="206" w:lineRule="exact"/>
        <w:rPr>
          <w:sz w:val="20"/>
          <w:szCs w:val="20"/>
          <w:color w:val="auto"/>
        </w:rPr>
      </w:pPr>
    </w:p>
    <w:p>
      <w:pPr>
        <w:ind w:left="160" w:right="259" w:firstLine="639"/>
        <w:spacing w:after="0" w:line="239" w:lineRule="auto"/>
        <w:tabs>
          <w:tab w:leader="none" w:pos="148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without Meeting</w:t>
      </w:r>
      <w:r>
        <w:rPr>
          <w:rFonts w:ascii="Times New Roman" w:cs="Times New Roman" w:eastAsia="Times New Roman" w:hAnsi="Times New Roman"/>
          <w:sz w:val="22"/>
          <w:szCs w:val="22"/>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w:t>
      </w:r>
    </w:p>
    <w:p>
      <w:pPr>
        <w:spacing w:after="0" w:line="207" w:lineRule="exact"/>
        <w:rPr>
          <w:rFonts w:ascii="Times New Roman" w:cs="Times New Roman" w:eastAsia="Times New Roman" w:hAnsi="Times New Roman"/>
          <w:sz w:val="22"/>
          <w:szCs w:val="22"/>
          <w:color w:val="auto"/>
        </w:rPr>
      </w:pPr>
    </w:p>
    <w:p>
      <w:pPr>
        <w:ind w:left="160" w:right="259" w:firstLine="639"/>
        <w:spacing w:after="0" w:line="235" w:lineRule="auto"/>
        <w:tabs>
          <w:tab w:leader="none" w:pos="148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2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2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u w:val="single" w:color="auto"/>
          <w:color w:val="auto"/>
        </w:rPr>
        <w:t>DIRECTORS</w:t>
      </w:r>
    </w:p>
    <w:p>
      <w:pPr>
        <w:spacing w:after="0" w:line="233" w:lineRule="exact"/>
        <w:rPr>
          <w:sz w:val="20"/>
          <w:szCs w:val="20"/>
          <w:color w:val="auto"/>
        </w:rPr>
      </w:pPr>
    </w:p>
    <w:p>
      <w:pPr>
        <w:ind w:left="160" w:right="379" w:firstLine="639"/>
        <w:spacing w:after="0" w:line="282" w:lineRule="auto"/>
        <w:tabs>
          <w:tab w:leader="none" w:pos="147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The business and affairs of the Corporation shall be managed by or under the direction of the Board of Directors except as otherwise provided herein or required by law.</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8" w:name="page79"/>
    <w:bookmarkEnd w:id="78"/>
    <w:p>
      <w:pPr>
        <w:ind w:left="160" w:right="359" w:firstLine="639"/>
        <w:spacing w:after="0" w:line="281" w:lineRule="exact"/>
        <w:tabs>
          <w:tab w:leader="none" w:pos="142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Election of Directors</w:t>
      </w:r>
      <w:r>
        <w:rPr>
          <w:rFonts w:ascii="Times New Roman" w:cs="Times New Roman" w:eastAsia="Times New Roman" w:hAnsi="Times New Roman"/>
          <w:sz w:val="22"/>
          <w:szCs w:val="22"/>
          <w:color w:val="auto"/>
        </w:rPr>
        <w:t>. Election of Directors need not be by written ballot unless the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Corporation (the “By-laws”) shall so provide.</w:t>
      </w:r>
    </w:p>
    <w:p>
      <w:pPr>
        <w:spacing w:after="0" w:line="182" w:lineRule="exact"/>
        <w:rPr>
          <w:rFonts w:ascii="Times New Roman" w:cs="Times New Roman" w:eastAsia="Times New Roman" w:hAnsi="Times New Roman"/>
          <w:sz w:val="22"/>
          <w:szCs w:val="22"/>
          <w:color w:val="auto"/>
        </w:rPr>
      </w:pPr>
    </w:p>
    <w:p>
      <w:pPr>
        <w:ind w:left="1420" w:hanging="621"/>
        <w:spacing w:after="0"/>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Directors; Term of Office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60" w:right="139" w:firstLine="1287"/>
        <w:spacing w:after="0" w:line="233" w:lineRule="auto"/>
        <w:tabs>
          <w:tab w:leader="none" w:pos="210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designated Class I, Class II and Class III. The initial Class I Directors shall serve for a term expiring at the annual meeting of stockholders to be held in 2016, the initial Class II Directors shall serve for a term expiring at the annual meeting of stockholders to be held in 2017, and the initial Class III Directors shall serve for a term expiring at the annual meeting of stockholders to be held in 2018.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210" w:lineRule="exact"/>
        <w:rPr>
          <w:rFonts w:ascii="Times New Roman" w:cs="Times New Roman" w:eastAsia="Times New Roman" w:hAnsi="Times New Roman"/>
          <w:sz w:val="22"/>
          <w:szCs w:val="22"/>
          <w:color w:val="auto"/>
        </w:rPr>
      </w:pPr>
    </w:p>
    <w:p>
      <w:pPr>
        <w:ind w:left="160" w:right="299" w:firstLine="1287"/>
        <w:spacing w:after="0" w:line="258" w:lineRule="auto"/>
        <w:tabs>
          <w:tab w:leader="none" w:pos="2114"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and mailing addresses of the persons who are to serve initially as directors of each Class are:</w:t>
      </w:r>
    </w:p>
    <w:p>
      <w:pPr>
        <w:spacing w:after="0" w:line="206"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206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2840" w:type="dxa"/>
            <w:vAlign w:val="bottom"/>
            <w:tcBorders>
              <w:top w:val="single" w:sz="8" w:color="auto"/>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3760" w:type="dxa"/>
            <w:vAlign w:val="bottom"/>
            <w:tcBorders>
              <w:top w:val="single" w:sz="8" w:color="auto"/>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22"/>
                <w:szCs w:val="22"/>
                <w:b w:val="1"/>
                <w:bCs w:val="1"/>
                <w:color w:val="auto"/>
              </w:rPr>
              <w:t>Mailing Address</w:t>
            </w:r>
          </w:p>
        </w:tc>
      </w:tr>
      <w:tr>
        <w:trPr>
          <w:trHeight w:val="209"/>
        </w:trPr>
        <w:tc>
          <w:tcPr>
            <w:tcW w:w="2060" w:type="dxa"/>
            <w:vAlign w:val="bottom"/>
            <w:tcBorders>
              <w:left w:val="single" w:sz="8" w:color="auto"/>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b w:val="1"/>
                <w:bCs w:val="1"/>
                <w:color w:val="auto"/>
              </w:rPr>
              <w:t>Class I</w:t>
            </w:r>
          </w:p>
        </w:tc>
        <w:tc>
          <w:tcPr>
            <w:tcW w:w="28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Jeffrey W. Albers</w:t>
            </w:r>
          </w:p>
        </w:tc>
        <w:tc>
          <w:tcPr>
            <w:tcW w:w="3760" w:type="dxa"/>
            <w:vAlign w:val="bottom"/>
            <w:tcBorders>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c/o Blueprint Medicines Corporation</w:t>
            </w:r>
          </w:p>
        </w:tc>
      </w:tr>
      <w:tr>
        <w:trPr>
          <w:trHeight w:val="243"/>
        </w:trPr>
        <w:tc>
          <w:tcPr>
            <w:tcW w:w="206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Nicholas Lydon</w:t>
            </w:r>
          </w:p>
        </w:tc>
        <w:tc>
          <w:tcPr>
            <w:tcW w:w="376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215 First Street</w:t>
            </w:r>
          </w:p>
        </w:tc>
      </w:tr>
      <w:tr>
        <w:trPr>
          <w:trHeight w:val="271"/>
        </w:trPr>
        <w:tc>
          <w:tcPr>
            <w:tcW w:w="2060" w:type="dxa"/>
            <w:vAlign w:val="bottom"/>
            <w:tcBorders>
              <w:left w:val="single" w:sz="8" w:color="auto"/>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Cambridge, MA 02142</w:t>
            </w:r>
          </w:p>
        </w:tc>
      </w:tr>
      <w:tr>
        <w:trPr>
          <w:trHeight w:val="209"/>
        </w:trPr>
        <w:tc>
          <w:tcPr>
            <w:tcW w:w="2060" w:type="dxa"/>
            <w:vAlign w:val="bottom"/>
            <w:tcBorders>
              <w:left w:val="single" w:sz="8" w:color="auto"/>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b w:val="1"/>
                <w:bCs w:val="1"/>
                <w:color w:val="auto"/>
              </w:rPr>
              <w:t>Class II</w:t>
            </w:r>
          </w:p>
        </w:tc>
        <w:tc>
          <w:tcPr>
            <w:tcW w:w="28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Alexis Borisy</w:t>
            </w:r>
          </w:p>
        </w:tc>
        <w:tc>
          <w:tcPr>
            <w:tcW w:w="3760" w:type="dxa"/>
            <w:vAlign w:val="bottom"/>
            <w:tcBorders>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c/o Blueprint Medicines Corporation</w:t>
            </w:r>
          </w:p>
        </w:tc>
      </w:tr>
      <w:tr>
        <w:trPr>
          <w:trHeight w:val="243"/>
        </w:trPr>
        <w:tc>
          <w:tcPr>
            <w:tcW w:w="206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Charles A. Rowland, Jr.</w:t>
            </w:r>
          </w:p>
        </w:tc>
        <w:tc>
          <w:tcPr>
            <w:tcW w:w="376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215 First Street</w:t>
            </w:r>
          </w:p>
        </w:tc>
      </w:tr>
      <w:tr>
        <w:trPr>
          <w:trHeight w:val="271"/>
        </w:trPr>
        <w:tc>
          <w:tcPr>
            <w:tcW w:w="2060" w:type="dxa"/>
            <w:vAlign w:val="bottom"/>
            <w:tcBorders>
              <w:left w:val="single" w:sz="8" w:color="auto"/>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Cambridge, MA 02142</w:t>
            </w:r>
          </w:p>
        </w:tc>
      </w:tr>
      <w:tr>
        <w:trPr>
          <w:trHeight w:val="209"/>
        </w:trPr>
        <w:tc>
          <w:tcPr>
            <w:tcW w:w="2060" w:type="dxa"/>
            <w:vAlign w:val="bottom"/>
            <w:tcBorders>
              <w:left w:val="single" w:sz="8" w:color="auto"/>
              <w:right w:val="single" w:sz="8" w:color="auto"/>
            </w:tcBorders>
          </w:tcPr>
          <w:p>
            <w:pPr>
              <w:ind w:left="140"/>
              <w:spacing w:after="0" w:line="209" w:lineRule="exact"/>
              <w:rPr>
                <w:sz w:val="20"/>
                <w:szCs w:val="20"/>
                <w:color w:val="auto"/>
              </w:rPr>
            </w:pPr>
            <w:r>
              <w:rPr>
                <w:rFonts w:ascii="Times New Roman" w:cs="Times New Roman" w:eastAsia="Times New Roman" w:hAnsi="Times New Roman"/>
                <w:sz w:val="22"/>
                <w:szCs w:val="22"/>
                <w:b w:val="1"/>
                <w:bCs w:val="1"/>
                <w:color w:val="auto"/>
              </w:rPr>
              <w:t>Class III</w:t>
            </w:r>
          </w:p>
        </w:tc>
        <w:tc>
          <w:tcPr>
            <w:tcW w:w="28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Daniel S. Lynch</w:t>
            </w:r>
          </w:p>
        </w:tc>
        <w:tc>
          <w:tcPr>
            <w:tcW w:w="3760" w:type="dxa"/>
            <w:vAlign w:val="bottom"/>
            <w:tcBorders>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c/o Blueprint Medicines Corporation</w:t>
            </w:r>
          </w:p>
        </w:tc>
      </w:tr>
      <w:tr>
        <w:trPr>
          <w:trHeight w:val="243"/>
        </w:trPr>
        <w:tc>
          <w:tcPr>
            <w:tcW w:w="2060" w:type="dxa"/>
            <w:vAlign w:val="bottom"/>
            <w:tcBorders>
              <w:left w:val="single" w:sz="8" w:color="auto"/>
              <w:right w:val="single" w:sz="8" w:color="auto"/>
            </w:tcBorders>
          </w:tcPr>
          <w:p>
            <w:pPr>
              <w:spacing w:after="0"/>
              <w:rPr>
                <w:sz w:val="21"/>
                <w:szCs w:val="21"/>
                <w:color w:val="auto"/>
              </w:rPr>
            </w:pPr>
          </w:p>
        </w:tc>
        <w:tc>
          <w:tcPr>
            <w:tcW w:w="284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George D. Demetri</w:t>
            </w:r>
          </w:p>
        </w:tc>
        <w:tc>
          <w:tcPr>
            <w:tcW w:w="3760" w:type="dxa"/>
            <w:vAlign w:val="bottom"/>
            <w:tcBorders>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215 First Street</w:t>
            </w:r>
          </w:p>
        </w:tc>
      </w:tr>
      <w:tr>
        <w:trPr>
          <w:trHeight w:val="271"/>
        </w:trPr>
        <w:tc>
          <w:tcPr>
            <w:tcW w:w="2060" w:type="dxa"/>
            <w:vAlign w:val="bottom"/>
            <w:tcBorders>
              <w:left w:val="single" w:sz="8" w:color="auto"/>
              <w:bottom w:val="single" w:sz="8" w:color="auto"/>
              <w:right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spacing w:after="0"/>
              <w:rPr>
                <w:sz w:val="23"/>
                <w:szCs w:val="23"/>
                <w:color w:val="auto"/>
              </w:rPr>
            </w:pPr>
          </w:p>
        </w:tc>
        <w:tc>
          <w:tcPr>
            <w:tcW w:w="37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Cambridge, MA 02142</w:t>
            </w:r>
          </w:p>
        </w:tc>
      </w:tr>
    </w:tbl>
    <w:p>
      <w:pPr>
        <w:spacing w:after="0" w:line="216" w:lineRule="exact"/>
        <w:rPr>
          <w:sz w:val="20"/>
          <w:szCs w:val="20"/>
          <w:color w:val="auto"/>
        </w:rPr>
      </w:pPr>
    </w:p>
    <w:p>
      <w:pPr>
        <w:ind w:left="160" w:right="219" w:firstLine="1287"/>
        <w:spacing w:after="0" w:line="236" w:lineRule="auto"/>
        <w:tabs>
          <w:tab w:leader="none" w:pos="2101"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209" w:lineRule="exact"/>
        <w:rPr>
          <w:rFonts w:ascii="Times New Roman" w:cs="Times New Roman" w:eastAsia="Times New Roman" w:hAnsi="Times New Roman"/>
          <w:sz w:val="22"/>
          <w:szCs w:val="22"/>
          <w:color w:val="auto"/>
        </w:rPr>
      </w:pPr>
    </w:p>
    <w:p>
      <w:pPr>
        <w:ind w:left="160" w:right="179" w:firstLine="639"/>
        <w:spacing w:after="0" w:line="236" w:lineRule="auto"/>
        <w:tabs>
          <w:tab w:leader="none" w:pos="142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9" w:name="page80"/>
    <w:bookmarkEnd w:id="79"/>
    <w:p>
      <w:pPr>
        <w:ind w:left="160" w:right="199"/>
        <w:spacing w:after="0" w:line="245" w:lineRule="auto"/>
        <w:rPr>
          <w:sz w:val="20"/>
          <w:szCs w:val="20"/>
          <w:color w:val="auto"/>
        </w:rPr>
      </w:pPr>
      <w:r>
        <w:rPr>
          <w:rFonts w:ascii="Times New Roman" w:cs="Times New Roman" w:eastAsia="Times New Roman" w:hAnsi="Times New Roman"/>
          <w:sz w:val="21"/>
          <w:szCs w:val="21"/>
          <w:color w:val="auto"/>
        </w:rPr>
        <w:t>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provided, however,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206" w:lineRule="exact"/>
        <w:rPr>
          <w:sz w:val="20"/>
          <w:szCs w:val="20"/>
          <w:color w:val="auto"/>
        </w:rPr>
      </w:pPr>
    </w:p>
    <w:p>
      <w:pPr>
        <w:ind w:left="160" w:right="199" w:firstLine="639"/>
        <w:spacing w:after="0" w:line="234" w:lineRule="auto"/>
        <w:tabs>
          <w:tab w:leader="none" w:pos="142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75% or more of the outstanding shares of capital stock then entitled to vote at an election of Directors, voting together as a single class.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22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u w:val="single" w:color="auto"/>
          <w:color w:val="auto"/>
        </w:rPr>
        <w:t>LIMITATION OF LIABILITY</w:t>
      </w:r>
    </w:p>
    <w:p>
      <w:pPr>
        <w:spacing w:after="0" w:line="206" w:lineRule="exact"/>
        <w:rPr>
          <w:sz w:val="20"/>
          <w:szCs w:val="20"/>
          <w:color w:val="auto"/>
        </w:rPr>
      </w:pPr>
    </w:p>
    <w:p>
      <w:pPr>
        <w:ind w:left="160" w:right="499" w:firstLine="648"/>
        <w:spacing w:after="0" w:line="253" w:lineRule="auto"/>
        <w:rPr>
          <w:sz w:val="20"/>
          <w:szCs w:val="20"/>
          <w:color w:val="auto"/>
        </w:rPr>
      </w:pPr>
      <w:r>
        <w:rPr>
          <w:rFonts w:ascii="Times New Roman" w:cs="Times New Roman" w:eastAsia="Times New Roman" w:hAnsi="Times New Roman"/>
          <w:sz w:val="21"/>
          <w:szCs w:val="21"/>
          <w:color w:val="auto"/>
        </w:rPr>
        <w:t>A Director of the Corporation shall not be personally liable to the Corporation or its stockholders for monetary damages for breach of fiduciary duty as a Director, except for liability</w:t>
      </w:r>
    </w:p>
    <w:p>
      <w:pPr>
        <w:spacing w:after="0" w:line="1" w:lineRule="exact"/>
        <w:rPr>
          <w:sz w:val="20"/>
          <w:szCs w:val="20"/>
          <w:color w:val="auto"/>
        </w:rPr>
      </w:pPr>
    </w:p>
    <w:p>
      <w:pPr>
        <w:ind w:left="160" w:right="199" w:hanging="9"/>
        <w:spacing w:after="0" w:line="232" w:lineRule="auto"/>
        <w:tabs>
          <w:tab w:leader="none" w:pos="45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209" w:lineRule="exact"/>
        <w:rPr>
          <w:sz w:val="20"/>
          <w:szCs w:val="20"/>
          <w:color w:val="auto"/>
        </w:rPr>
      </w:pPr>
    </w:p>
    <w:p>
      <w:pPr>
        <w:ind w:left="160" w:right="139" w:firstLine="648"/>
        <w:spacing w:after="0" w:line="238" w:lineRule="auto"/>
        <w:rPr>
          <w:sz w:val="20"/>
          <w:szCs w:val="20"/>
          <w:color w:val="auto"/>
        </w:rPr>
      </w:pPr>
      <w:r>
        <w:rPr>
          <w:rFonts w:ascii="Times New Roman" w:cs="Times New Roman" w:eastAsia="Times New Roman" w:hAnsi="Times New Roman"/>
          <w:sz w:val="22"/>
          <w:szCs w:val="22"/>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0" w:name="page81"/>
    <w:bookmarkEnd w:id="80"/>
    <w:p>
      <w:pPr>
        <w:jc w:val="center"/>
        <w:ind w:right="159"/>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EXCLUSIVE JURISDICTION OF DELAWARE COURTS</w:t>
      </w:r>
    </w:p>
    <w:p>
      <w:pPr>
        <w:spacing w:after="0" w:line="206" w:lineRule="exact"/>
        <w:rPr>
          <w:sz w:val="20"/>
          <w:szCs w:val="20"/>
          <w:color w:val="auto"/>
        </w:rPr>
      </w:pPr>
    </w:p>
    <w:p>
      <w:pPr>
        <w:ind w:left="160" w:right="159" w:firstLine="648"/>
        <w:spacing w:after="0" w:line="234"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VIII.</w:t>
      </w: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u w:val="single" w:color="auto"/>
          <w:color w:val="auto"/>
        </w:rPr>
        <w:t>ARTICLE IX</w:t>
      </w:r>
    </w:p>
    <w:p>
      <w:pPr>
        <w:spacing w:after="0" w:line="22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u w:val="single" w:color="auto"/>
          <w:color w:val="auto"/>
        </w:rPr>
        <w:t>AMENDMENT OF BY-LAWS</w:t>
      </w:r>
    </w:p>
    <w:p>
      <w:pPr>
        <w:spacing w:after="0" w:line="186" w:lineRule="exact"/>
        <w:rPr>
          <w:sz w:val="20"/>
          <w:szCs w:val="20"/>
          <w:color w:val="auto"/>
        </w:rPr>
      </w:pPr>
    </w:p>
    <w:p>
      <w:pPr>
        <w:ind w:left="160" w:right="359" w:firstLine="639"/>
        <w:spacing w:after="0" w:line="267" w:lineRule="exact"/>
        <w:tabs>
          <w:tab w:leader="none" w:pos="142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by Directors</w:t>
      </w:r>
      <w:r>
        <w:rPr>
          <w:rFonts w:ascii="Times New Roman" w:cs="Times New Roman" w:eastAsia="Times New Roman" w:hAnsi="Times New Roman"/>
          <w:sz w:val="22"/>
          <w:szCs w:val="22"/>
          <w:color w:val="auto"/>
        </w:rPr>
        <w:t>. Except as otherwise provided by law, the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Corporation may be amended or repealed by the Board of Directors by the affirmative vote of a majority of the Directors then in office.</w:t>
      </w:r>
    </w:p>
    <w:p>
      <w:pPr>
        <w:spacing w:after="0" w:line="185" w:lineRule="exact"/>
        <w:rPr>
          <w:rFonts w:ascii="Times New Roman" w:cs="Times New Roman" w:eastAsia="Times New Roman" w:hAnsi="Times New Roman"/>
          <w:sz w:val="22"/>
          <w:szCs w:val="22"/>
          <w:color w:val="auto"/>
        </w:rPr>
      </w:pPr>
    </w:p>
    <w:p>
      <w:pPr>
        <w:ind w:left="160" w:right="259" w:firstLine="639"/>
        <w:spacing w:after="0" w:line="252" w:lineRule="exact"/>
        <w:tabs>
          <w:tab w:leader="none" w:pos="142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by Stockholders</w:t>
      </w:r>
      <w:r>
        <w:rPr>
          <w:rFonts w:ascii="Times New Roman" w:cs="Times New Roman" w:eastAsia="Times New Roman" w:hAnsi="Times New Roman"/>
          <w:sz w:val="22"/>
          <w:szCs w:val="22"/>
          <w:color w:val="auto"/>
        </w:rPr>
        <w:t>. The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laws of the Corporation may be amended or repealed at any annual meeting of stockholders, or special meeting of stockholders called for such purpose, by the affirmative vote of at least 75% of the outstanding shares of capital stock entitled to vote on such amendment or repeal, voting together as a single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u w:val="single" w:color="auto"/>
          <w:color w:val="auto"/>
        </w:rPr>
        <w:t>ARTICLE X</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AMENDMENT OF CERTIFICATE OF INCORPORATION</w:t>
      </w:r>
    </w:p>
    <w:p>
      <w:pPr>
        <w:spacing w:after="0" w:line="206" w:lineRule="exact"/>
        <w:rPr>
          <w:sz w:val="20"/>
          <w:szCs w:val="20"/>
          <w:color w:val="auto"/>
        </w:rPr>
      </w:pPr>
    </w:p>
    <w:p>
      <w:pPr>
        <w:ind w:left="16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The Corporation reserves the right to amend or repeal this Certificate in the manner now or hereafter prescribed by statute and this Certificate, and all rights conferred upon stockholders herein are granted subject to this reservation. Whenever any vote of the holders of capital stock of the Corporation is required to amend or repeal any provision of this Certificate, and in addition to any other vote of holders of capital stock that is required by this Certificate or by law,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affirmative vote of not less than 75% of the outstanding shares of capital stock entitled to vote on such amendment or repeal, voting together as a single class, and the affirmative vote of</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81" w:name="page82"/>
    <w:bookmarkEnd w:id="81"/>
    <w:p>
      <w:pPr>
        <w:jc w:val="both"/>
        <w:ind w:left="160" w:right="279"/>
        <w:spacing w:after="0" w:line="244" w:lineRule="auto"/>
        <w:rPr>
          <w:sz w:val="20"/>
          <w:szCs w:val="20"/>
          <w:color w:val="auto"/>
        </w:rPr>
      </w:pPr>
      <w:r>
        <w:rPr>
          <w:rFonts w:ascii="Times New Roman" w:cs="Times New Roman" w:eastAsia="Times New Roman" w:hAnsi="Times New Roman"/>
          <w:sz w:val="22"/>
          <w:szCs w:val="22"/>
          <w:color w:val="auto"/>
        </w:rPr>
        <w:t>not less than 75% of the outstanding shares of each class entitled to vote thereon as a class, shall be required to amend or repeal any provision of Article V, Article VI, Article VII, Article VIII, Article IX or Article X of this Certificate.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[End of Text]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2" w:name="page83"/>
    <w:bookmarkEnd w:id="82"/>
    <w:p>
      <w:pPr>
        <w:ind w:left="160" w:right="179"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Fifth Amended and Restated Certificate of Incorporation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as of this 6</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day of May, 2015.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Jeffrey Albers</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Name: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-158115</wp:posOffset>
            </wp:positionV>
            <wp:extent cx="2349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4520"/>
        <w:spacing w:after="0"/>
        <w:tabs>
          <w:tab w:leader="none" w:pos="51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Fifth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85725</wp:posOffset>
            </wp:positionV>
            <wp:extent cx="554863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3" w:name="page84"/>
    <w:bookmarkEnd w:id="83"/>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(the “Corporation”)</w:t>
      </w:r>
    </w:p>
    <w:p>
      <w:pPr>
        <w:spacing w:after="0" w:line="200" w:lineRule="exact"/>
        <w:rPr>
          <w:sz w:val="20"/>
          <w:szCs w:val="20"/>
          <w:color w:val="auto"/>
        </w:rPr>
      </w:pPr>
    </w:p>
    <w:p>
      <w:pPr>
        <w:spacing w:after="0" w:line="22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0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u w:val="single" w:color="auto"/>
          <w:color w:val="auto"/>
        </w:rPr>
        <w:t>Stockholders</w:t>
      </w:r>
    </w:p>
    <w:p>
      <w:pPr>
        <w:spacing w:after="0" w:line="314" w:lineRule="exact"/>
        <w:rPr>
          <w:sz w:val="20"/>
          <w:szCs w:val="20"/>
          <w:color w:val="auto"/>
        </w:rPr>
      </w:pPr>
    </w:p>
    <w:p>
      <w:pPr>
        <w:ind w:left="160" w:right="199"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color w:val="auto"/>
        </w:rPr>
        <w:t>. The annual meeting of stockholders (any such meeting being referred to in these Bylaws as an “Annual Meeting”) shall be held at the hour, date and place within or without the United States which is fixed by the Corporation’s Board of Directors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28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Notice of Stockholder Business and Nominations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00" w:hanging="301"/>
        <w:spacing w:after="0"/>
        <w:tabs>
          <w:tab w:leader="none" w:pos="11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Meetings of Stockholders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00" w:right="199" w:firstLine="647"/>
        <w:spacing w:after="0" w:line="244" w:lineRule="auto"/>
        <w:tabs>
          <w:tab w:leader="none" w:pos="1754"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Rule 14a-11 (or any successor rules) under the Securities Exchange Act of 1934, as amended (the “Exchange Act”)), and such stockholder must comply with the notice and other procedures set forth in Article I, Section 2(a)(2) and (3)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4" w:name="page85"/>
    <w:bookmarkEnd w:id="84"/>
    <w:p>
      <w:pPr>
        <w:ind w:left="800" w:right="159" w:firstLine="647"/>
        <w:spacing w:after="0" w:line="232" w:lineRule="auto"/>
        <w:tabs>
          <w:tab w:leader="none" w:pos="175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nominations or other business to be properly brought before an Annual Meeting by a stockholder pursuant to clause (ii) of Article I, Section 2(a)(1)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day nor earlier than the close of business on the one hundred twentieth (120</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day prior to the one-year anniversary of the preceding year’s Annual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day prior to the scheduled date of such Annual Meeting or the tenth (10</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day prior to the scheduled date of such Annual Meeting or the tenth (10</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day following the day on which public announcement of the date of such Annual Meeting is first made or sent by the Corporation. Such stockholder’s Timely Notice shall set forth:</w:t>
      </w:r>
    </w:p>
    <w:p>
      <w:pPr>
        <w:spacing w:after="0" w:line="178" w:lineRule="exact"/>
        <w:rPr>
          <w:rFonts w:ascii="Times New Roman" w:cs="Times New Roman" w:eastAsia="Times New Roman" w:hAnsi="Times New Roman"/>
          <w:sz w:val="22"/>
          <w:szCs w:val="22"/>
          <w:color w:val="auto"/>
        </w:rPr>
      </w:pPr>
    </w:p>
    <w:p>
      <w:pPr>
        <w:ind w:left="1440" w:right="159" w:firstLine="655"/>
        <w:spacing w:after="0" w:line="236" w:lineRule="auto"/>
        <w:tabs>
          <w:tab w:leader="none" w:pos="244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82" w:lineRule="exact"/>
        <w:rPr>
          <w:rFonts w:ascii="Times New Roman" w:cs="Times New Roman" w:eastAsia="Times New Roman" w:hAnsi="Times New Roman"/>
          <w:sz w:val="22"/>
          <w:szCs w:val="22"/>
          <w:color w:val="auto"/>
        </w:rPr>
      </w:pPr>
    </w:p>
    <w:p>
      <w:pPr>
        <w:jc w:val="both"/>
        <w:ind w:left="1440" w:right="239" w:firstLine="655"/>
        <w:spacing w:after="0" w:line="239" w:lineRule="auto"/>
        <w:tabs>
          <w:tab w:leader="none" w:pos="243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5" w:name="page86"/>
    <w:bookmarkEnd w:id="85"/>
    <w:p>
      <w:pPr>
        <w:ind w:left="1440" w:right="159" w:firstLine="655"/>
        <w:spacing w:after="0" w:line="243" w:lineRule="auto"/>
        <w:tabs>
          <w:tab w:leader="none" w:pos="243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w:t>
      </w:r>
    </w:p>
    <w:p>
      <w:pPr>
        <w:spacing w:after="0" w:line="4" w:lineRule="exact"/>
        <w:rPr>
          <w:rFonts w:ascii="Times New Roman" w:cs="Times New Roman" w:eastAsia="Times New Roman" w:hAnsi="Times New Roman"/>
          <w:sz w:val="21"/>
          <w:szCs w:val="21"/>
          <w:color w:val="auto"/>
        </w:rPr>
      </w:pPr>
    </w:p>
    <w:p>
      <w:pPr>
        <w:ind w:left="1440" w:right="159" w:firstLine="7"/>
        <w:spacing w:after="0" w:line="231" w:lineRule="auto"/>
        <w:tabs>
          <w:tab w:leader="none" w:pos="17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6" w:name="page87"/>
    <w:bookmarkEnd w:id="86"/>
    <w:p>
      <w:pPr>
        <w:ind w:left="1440" w:right="159" w:firstLine="655"/>
        <w:spacing w:after="0" w:line="234" w:lineRule="auto"/>
        <w:tabs>
          <w:tab w:leader="none" w:pos="244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77" w:lineRule="exact"/>
        <w:rPr>
          <w:rFonts w:ascii="Times New Roman" w:cs="Times New Roman" w:eastAsia="Times New Roman" w:hAnsi="Times New Roman"/>
          <w:sz w:val="22"/>
          <w:szCs w:val="22"/>
          <w:color w:val="auto"/>
        </w:rPr>
      </w:pPr>
    </w:p>
    <w:p>
      <w:pPr>
        <w:ind w:left="1440" w:right="179" w:firstLine="655"/>
        <w:spacing w:after="0" w:line="234" w:lineRule="auto"/>
        <w:tabs>
          <w:tab w:leader="none" w:pos="24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184" w:lineRule="exact"/>
        <w:rPr>
          <w:sz w:val="20"/>
          <w:szCs w:val="20"/>
          <w:color w:val="auto"/>
        </w:rPr>
      </w:pPr>
    </w:p>
    <w:p>
      <w:pPr>
        <w:ind w:left="800" w:right="139" w:firstLine="648"/>
        <w:spacing w:after="0" w:line="232" w:lineRule="auto"/>
        <w:rPr>
          <w:sz w:val="20"/>
          <w:szCs w:val="20"/>
          <w:color w:val="auto"/>
        </w:rPr>
      </w:pPr>
      <w:r>
        <w:rPr>
          <w:rFonts w:ascii="Times New Roman" w:cs="Times New Roman" w:eastAsia="Times New Roman" w:hAnsi="Times New Roman"/>
          <w:sz w:val="22"/>
          <w:szCs w:val="22"/>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7" w:name="page88"/>
    <w:bookmarkEnd w:id="87"/>
    <w:p>
      <w:pPr>
        <w:ind w:left="800" w:right="159" w:firstLine="647"/>
        <w:spacing w:after="0" w:line="233" w:lineRule="auto"/>
        <w:tabs>
          <w:tab w:leader="none" w:pos="175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business day after the record date for the Annual Meeting (in the case of the update and supplement required to be made as of the record date), and not later than the close of business on the eighth (8</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business day prior to the date of the Annual Meeting (in the case of the update and supplement required to be made as of ten (10) business days prior to the meeting).</w:t>
      </w:r>
    </w:p>
    <w:p>
      <w:pPr>
        <w:spacing w:after="0" w:line="186" w:lineRule="exact"/>
        <w:rPr>
          <w:rFonts w:ascii="Times New Roman" w:cs="Times New Roman" w:eastAsia="Times New Roman" w:hAnsi="Times New Roman"/>
          <w:sz w:val="22"/>
          <w:szCs w:val="22"/>
          <w:color w:val="auto"/>
        </w:rPr>
      </w:pPr>
    </w:p>
    <w:p>
      <w:pPr>
        <w:ind w:left="800" w:right="239" w:firstLine="647"/>
        <w:spacing w:after="0" w:line="246" w:lineRule="auto"/>
        <w:tabs>
          <w:tab w:leader="none" w:pos="1754"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the second sentence of Article I, Section 2(a)(2) of these Bylaws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these Bylaws shall also be considered timely, but only with respect to nominees for any new positions created by such increase, if it shall be received by the Secretary of the Corporation not later than the close of business on the tenth (10</w:t>
      </w:r>
      <w:r>
        <w:rPr>
          <w:rFonts w:ascii="Times New Roman" w:cs="Times New Roman" w:eastAsia="Times New Roman" w:hAnsi="Times New Roman"/>
          <w:sz w:val="10"/>
          <w:szCs w:val="10"/>
          <w:color w:val="auto"/>
        </w:rPr>
        <w:t>th</w:t>
      </w:r>
      <w:r>
        <w:rPr>
          <w:rFonts w:ascii="Times New Roman" w:cs="Times New Roman" w:eastAsia="Times New Roman" w:hAnsi="Times New Roman"/>
          <w:sz w:val="21"/>
          <w:szCs w:val="21"/>
          <w:color w:val="auto"/>
        </w:rPr>
        <w:t>) day following the day on which such public announcement is first made by the Corporation.</w:t>
      </w:r>
    </w:p>
    <w:p>
      <w:pPr>
        <w:spacing w:after="0" w:line="171" w:lineRule="exact"/>
        <w:rPr>
          <w:rFonts w:ascii="Times New Roman" w:cs="Times New Roman" w:eastAsia="Times New Roman" w:hAnsi="Times New Roman"/>
          <w:sz w:val="21"/>
          <w:szCs w:val="21"/>
          <w:color w:val="auto"/>
        </w:rPr>
      </w:pPr>
    </w:p>
    <w:p>
      <w:pPr>
        <w:ind w:left="1100" w:hanging="301"/>
        <w:spacing w:after="0"/>
        <w:tabs>
          <w:tab w:leader="none" w:pos="11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800" w:right="199" w:firstLine="647"/>
        <w:spacing w:after="0" w:line="244" w:lineRule="auto"/>
        <w:tabs>
          <w:tab w:leader="none" w:pos="1754"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such persons who are nominated in accordance with the provisions of these Bylaws or in accordance with Rule 14a-11 under the Exchange Act shall be eligible for election and to serve as directors and only such business shall be conducted at an Annual Meeting as shall have been brought before the meeting in accordance with the provisions of these Bylaws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If neither the Board of Directors nor such designated committee makes a determination as to whether any stockholder proposal or nomination was made in accordance with the provisions of these Bylaws, the presiding officer of the Annual Meeting shall have the power and duty to determine whether the stockholder proposal or nomination was made in accordance with the provisions of these Bylaws. If the Board of Directors or a designated committee thereof or the presiding officer, as applicable, determines that any stockholder proposal or nomination was not made in accordance with the provisions of these Bylaws, such proposal or nomination shall be disregarded and shall not be presented for action at the Annual Meeting.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8" w:name="page89"/>
    <w:bookmarkEnd w:id="88"/>
    <w:p>
      <w:pPr>
        <w:ind w:left="800" w:right="199" w:firstLine="647"/>
        <w:spacing w:after="0" w:line="238" w:lineRule="auto"/>
        <w:tabs>
          <w:tab w:leader="none" w:pos="175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77" w:lineRule="exact"/>
        <w:rPr>
          <w:rFonts w:ascii="Times New Roman" w:cs="Times New Roman" w:eastAsia="Times New Roman" w:hAnsi="Times New Roman"/>
          <w:sz w:val="22"/>
          <w:szCs w:val="22"/>
          <w:color w:val="auto"/>
        </w:rPr>
      </w:pPr>
    </w:p>
    <w:p>
      <w:pPr>
        <w:ind w:left="800" w:right="239" w:firstLine="647"/>
        <w:spacing w:after="0" w:line="234" w:lineRule="auto"/>
        <w:tabs>
          <w:tab w:leader="none" w:pos="175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76" w:lineRule="exact"/>
        <w:rPr>
          <w:rFonts w:ascii="Times New Roman" w:cs="Times New Roman" w:eastAsia="Times New Roman" w:hAnsi="Times New Roman"/>
          <w:sz w:val="22"/>
          <w:szCs w:val="22"/>
          <w:color w:val="auto"/>
        </w:rPr>
      </w:pPr>
    </w:p>
    <w:p>
      <w:pPr>
        <w:ind w:left="800" w:right="259" w:firstLine="647"/>
        <w:spacing w:after="0" w:line="255" w:lineRule="auto"/>
        <w:tabs>
          <w:tab w:leader="none" w:pos="175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62" w:lineRule="exact"/>
        <w:rPr>
          <w:rFonts w:ascii="Times New Roman" w:cs="Times New Roman" w:eastAsia="Times New Roman" w:hAnsi="Times New Roman"/>
          <w:sz w:val="21"/>
          <w:szCs w:val="21"/>
          <w:color w:val="auto"/>
        </w:rPr>
      </w:pPr>
    </w:p>
    <w:p>
      <w:pPr>
        <w:ind w:left="800" w:right="159" w:firstLine="647"/>
        <w:spacing w:after="0" w:line="234" w:lineRule="auto"/>
        <w:tabs>
          <w:tab w:leader="none" w:pos="175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these Bylaws, a stockholder shall also comply with all applicable requirements of the Exchange Act and the rules and regulations thereunder with respect to the matters set forth in these Bylaws. Nothing in these Bylaws shall be deemed to affect any rights of (i) stockholders to have nominations or proposals included in the Corporation’s proxy statement pursuant to Rule 14a-8 or Rule 14a-11 (or any successor rules), as applicable, under the Exchange Act and, to the extent required by such rule, have such nominations or proposals considered and voted on at an Annual Meeting or (ii) the holders of any series of Undesignated Preferred Stock to elect directors under specified circumstances.</w:t>
      </w:r>
    </w:p>
    <w:p>
      <w:pPr>
        <w:spacing w:after="0" w:line="292" w:lineRule="exact"/>
        <w:rPr>
          <w:sz w:val="20"/>
          <w:szCs w:val="20"/>
          <w:color w:val="auto"/>
        </w:rPr>
      </w:pPr>
    </w:p>
    <w:p>
      <w:pPr>
        <w:ind w:left="160" w:right="1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9" w:name="page90"/>
    <w:bookmarkEnd w:id="89"/>
    <w:p>
      <w:pPr>
        <w:ind w:left="80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Notice of Meetings; Adjournments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160" w:right="279" w:firstLine="639"/>
        <w:spacing w:after="0" w:line="249" w:lineRule="auto"/>
        <w:tabs>
          <w:tab w:leader="none" w:pos="1102"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w:t>
      </w:r>
    </w:p>
    <w:p>
      <w:pPr>
        <w:spacing w:after="0" w:line="1" w:lineRule="exact"/>
        <w:rPr>
          <w:rFonts w:ascii="Times New Roman" w:cs="Times New Roman" w:eastAsia="Times New Roman" w:hAnsi="Times New Roman"/>
          <w:sz w:val="21"/>
          <w:szCs w:val="21"/>
          <w:color w:val="auto"/>
        </w:rPr>
      </w:pPr>
    </w:p>
    <w:p>
      <w:pPr>
        <w:ind w:left="160" w:right="359" w:hanging="9"/>
        <w:spacing w:after="0" w:line="244" w:lineRule="auto"/>
        <w:tabs>
          <w:tab w:leader="none" w:pos="57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General Corporation Law of the State of Delaware (“DGCL”).</w:t>
      </w:r>
    </w:p>
    <w:p>
      <w:pPr>
        <w:spacing w:after="0" w:line="177" w:lineRule="exact"/>
        <w:rPr>
          <w:rFonts w:ascii="Times New Roman" w:cs="Times New Roman" w:eastAsia="Times New Roman" w:hAnsi="Times New Roman"/>
          <w:sz w:val="21"/>
          <w:szCs w:val="21"/>
          <w:color w:val="auto"/>
        </w:rPr>
      </w:pPr>
    </w:p>
    <w:p>
      <w:pPr>
        <w:ind w:left="160" w:right="339" w:firstLine="639"/>
        <w:spacing w:after="0" w:line="244" w:lineRule="auto"/>
        <w:tabs>
          <w:tab w:leader="none" w:pos="111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73" w:lineRule="exact"/>
        <w:rPr>
          <w:rFonts w:ascii="Times New Roman" w:cs="Times New Roman" w:eastAsia="Times New Roman" w:hAnsi="Times New Roman"/>
          <w:sz w:val="22"/>
          <w:szCs w:val="22"/>
          <w:color w:val="auto"/>
        </w:rPr>
      </w:pPr>
    </w:p>
    <w:p>
      <w:pPr>
        <w:ind w:left="160" w:right="199" w:firstLine="639"/>
        <w:spacing w:after="0" w:line="251" w:lineRule="auto"/>
        <w:tabs>
          <w:tab w:leader="none" w:pos="1102"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68" w:lineRule="exact"/>
        <w:rPr>
          <w:rFonts w:ascii="Times New Roman" w:cs="Times New Roman" w:eastAsia="Times New Roman" w:hAnsi="Times New Roman"/>
          <w:sz w:val="21"/>
          <w:szCs w:val="21"/>
          <w:color w:val="auto"/>
        </w:rPr>
      </w:pPr>
    </w:p>
    <w:p>
      <w:pPr>
        <w:ind w:left="160" w:right="239" w:firstLine="639"/>
        <w:spacing w:after="0" w:line="235" w:lineRule="auto"/>
        <w:tabs>
          <w:tab w:leader="none" w:pos="111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83" w:lineRule="exact"/>
        <w:rPr>
          <w:rFonts w:ascii="Times New Roman" w:cs="Times New Roman" w:eastAsia="Times New Roman" w:hAnsi="Times New Roman"/>
          <w:sz w:val="22"/>
          <w:szCs w:val="22"/>
          <w:color w:val="auto"/>
        </w:rPr>
      </w:pPr>
    </w:p>
    <w:p>
      <w:pPr>
        <w:ind w:left="160" w:right="159" w:firstLine="639"/>
        <w:spacing w:after="0" w:line="233" w:lineRule="auto"/>
        <w:tabs>
          <w:tab w:leader="none" w:pos="110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w:t>
      </w: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0" w:name="page91"/>
    <w:bookmarkEnd w:id="90"/>
    <w:p>
      <w:pPr>
        <w:ind w:left="160" w:right="179"/>
        <w:spacing w:after="0" w:line="244" w:lineRule="auto"/>
        <w:rPr>
          <w:sz w:val="20"/>
          <w:szCs w:val="20"/>
          <w:color w:val="auto"/>
        </w:rPr>
      </w:pPr>
      <w:r>
        <w:rPr>
          <w:rFonts w:ascii="Times New Roman" w:cs="Times New Roman" w:eastAsia="Times New Roman" w:hAnsi="Times New Roman"/>
          <w:sz w:val="22"/>
          <w:szCs w:val="22"/>
          <w:color w:val="auto"/>
        </w:rPr>
        <w:t>entitled to vote thereat and each stockholder who, by law or under the Certificate of Incorporation of the Corporation (as the same may hereafter be amended and/or restated, the “Certificate”) or these Bylaws, is entitled to such notice.</w:t>
      </w:r>
    </w:p>
    <w:p>
      <w:pPr>
        <w:spacing w:after="0" w:line="282" w:lineRule="exact"/>
        <w:rPr>
          <w:sz w:val="20"/>
          <w:szCs w:val="20"/>
          <w:color w:val="auto"/>
        </w:rPr>
      </w:pPr>
    </w:p>
    <w:p>
      <w:pPr>
        <w:ind w:left="160" w:right="239"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284" w:lineRule="exact"/>
        <w:rPr>
          <w:sz w:val="20"/>
          <w:szCs w:val="20"/>
          <w:color w:val="auto"/>
        </w:rPr>
      </w:pPr>
    </w:p>
    <w:p>
      <w:pPr>
        <w:ind w:left="160" w:right="15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Voting and Proxies</w:t>
      </w:r>
      <w:r>
        <w:rPr>
          <w:rFonts w:ascii="Times New Roman" w:cs="Times New Roman" w:eastAsia="Times New Roman" w:hAnsi="Times New Roman"/>
          <w:sz w:val="22"/>
          <w:szCs w:val="22"/>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301" w:lineRule="exact"/>
        <w:rPr>
          <w:sz w:val="20"/>
          <w:szCs w:val="20"/>
          <w:color w:val="auto"/>
        </w:rPr>
      </w:pPr>
    </w:p>
    <w:p>
      <w:pPr>
        <w:ind w:left="160" w:right="27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Action at Meeting</w:t>
      </w:r>
      <w:r>
        <w:rPr>
          <w:rFonts w:ascii="Times New Roman" w:cs="Times New Roman" w:eastAsia="Times New Roman" w:hAnsi="Times New Roman"/>
          <w:sz w:val="22"/>
          <w:szCs w:val="22"/>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1" w:name="page92"/>
    <w:bookmarkEnd w:id="91"/>
    <w:p>
      <w:pPr>
        <w:ind w:left="160" w:right="17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Stockholder Lists</w:t>
      </w:r>
      <w:r>
        <w:rPr>
          <w:rFonts w:ascii="Times New Roman" w:cs="Times New Roman" w:eastAsia="Times New Roman" w:hAnsi="Times New Roman"/>
          <w:sz w:val="22"/>
          <w:szCs w:val="22"/>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288" w:lineRule="exact"/>
        <w:rPr>
          <w:sz w:val="20"/>
          <w:szCs w:val="20"/>
          <w:color w:val="auto"/>
        </w:rPr>
      </w:pPr>
    </w:p>
    <w:p>
      <w:pPr>
        <w:ind w:left="160" w:right="15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Presiding Officer</w:t>
      </w:r>
      <w:r>
        <w:rPr>
          <w:rFonts w:ascii="Times New Roman" w:cs="Times New Roman" w:eastAsia="Times New Roman" w:hAnsi="Times New Roman"/>
          <w:sz w:val="22"/>
          <w:szCs w:val="22"/>
          <w:color w:val="auto"/>
        </w:rPr>
        <w:t>. The Board of Directors shall designate a representative to preside over all Annual Meetings or special meetings of stockholders, provided that if the Board of Directors does not so designate such a presiding officer, then the Chairperson of the Board, if one is elected, shall preside over such meetings. If the Board of Directors does not so designate such a presiding officer and there is no Chairperson of the Board or the Chairperson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29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Inspectors of Elections</w:t>
      </w:r>
      <w:r>
        <w:rPr>
          <w:rFonts w:ascii="Times New Roman" w:cs="Times New Roman" w:eastAsia="Times New Roman" w:hAnsi="Times New Roman"/>
          <w:sz w:val="22"/>
          <w:szCs w:val="22"/>
          <w:color w:val="auto"/>
        </w:rPr>
        <w:t>. The Corporation shall, in advance of any meeting of</w:t>
      </w:r>
    </w:p>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stockholders, appoint one or more inspectors to act at the meeting and make a written report</w:t>
      </w:r>
    </w:p>
    <w:p>
      <w:pPr>
        <w:ind w:left="160"/>
        <w:spacing w:after="0" w:line="230" w:lineRule="auto"/>
        <w:rPr>
          <w:sz w:val="20"/>
          <w:szCs w:val="20"/>
          <w:color w:val="auto"/>
        </w:rPr>
      </w:pPr>
      <w:r>
        <w:rPr>
          <w:rFonts w:ascii="Times New Roman" w:cs="Times New Roman" w:eastAsia="Times New Roman" w:hAnsi="Times New Roman"/>
          <w:sz w:val="22"/>
          <w:szCs w:val="22"/>
          <w:color w:val="auto"/>
        </w:rPr>
        <w:t>thereof. The Corporation may designate one or more persons as alternate inspectors to replace any</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inspector who fails to act. If no inspector or alternate is able to act at a meeting of stockholders, the</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presiding officer shall appoint one or more inspectors to act at the meeting. Any inspector may, but</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need not, be an officer, employee or agent of the Corporation. Each inspector, before entering upon</w:t>
      </w:r>
    </w:p>
    <w:p>
      <w:pPr>
        <w:ind w:left="160"/>
        <w:spacing w:after="0" w:line="232" w:lineRule="auto"/>
        <w:rPr>
          <w:sz w:val="20"/>
          <w:szCs w:val="20"/>
          <w:color w:val="auto"/>
        </w:rPr>
      </w:pPr>
      <w:r>
        <w:rPr>
          <w:rFonts w:ascii="Times New Roman" w:cs="Times New Roman" w:eastAsia="Times New Roman" w:hAnsi="Times New Roman"/>
          <w:sz w:val="22"/>
          <w:szCs w:val="22"/>
          <w:color w:val="auto"/>
        </w:rPr>
        <w:t>the discharge of his or her duties, shall take and sign an oath faithfully to execute the duties of</w:t>
      </w:r>
    </w:p>
    <w:p>
      <w:pPr>
        <w:ind w:left="160"/>
        <w:spacing w:after="0" w:line="230" w:lineRule="auto"/>
        <w:rPr>
          <w:sz w:val="20"/>
          <w:szCs w:val="20"/>
          <w:color w:val="auto"/>
        </w:rPr>
      </w:pPr>
      <w:r>
        <w:rPr>
          <w:rFonts w:ascii="Times New Roman" w:cs="Times New Roman" w:eastAsia="Times New Roman" w:hAnsi="Times New Roman"/>
          <w:sz w:val="22"/>
          <w:szCs w:val="22"/>
          <w:color w:val="auto"/>
        </w:rPr>
        <w:t>inspector with strict impartiality and according to the best of his or her ability. The inspectors shall</w:t>
      </w:r>
    </w:p>
    <w:p>
      <w:pPr>
        <w:ind w:left="160"/>
        <w:spacing w:after="0" w:line="231" w:lineRule="auto"/>
        <w:rPr>
          <w:sz w:val="20"/>
          <w:szCs w:val="20"/>
          <w:color w:val="auto"/>
        </w:rPr>
      </w:pPr>
      <w:r>
        <w:rPr>
          <w:rFonts w:ascii="Times New Roman" w:cs="Times New Roman" w:eastAsia="Times New Roman" w:hAnsi="Times New Roman"/>
          <w:sz w:val="22"/>
          <w:szCs w:val="22"/>
          <w:color w:val="auto"/>
        </w:rPr>
        <w:t>perform such duties as are required by the DGCL, including the counting of all votes and</w:t>
      </w:r>
    </w:p>
    <w:p>
      <w:pPr>
        <w:ind w:left="160"/>
        <w:spacing w:after="0" w:line="231" w:lineRule="auto"/>
        <w:rPr>
          <w:sz w:val="20"/>
          <w:szCs w:val="20"/>
          <w:color w:val="auto"/>
        </w:rPr>
      </w:pPr>
      <w:r>
        <w:rPr>
          <w:rFonts w:ascii="Times New Roman" w:cs="Times New Roman" w:eastAsia="Times New Roman" w:hAnsi="Times New Roman"/>
          <w:sz w:val="22"/>
          <w:szCs w:val="22"/>
          <w:color w:val="auto"/>
        </w:rPr>
        <w:t>ballots. The inspectors may appoint or retain other persons or entities to assist the inspectors in the</w:t>
      </w:r>
    </w:p>
    <w:p>
      <w:pPr>
        <w:ind w:left="160"/>
        <w:spacing w:after="0" w:line="230" w:lineRule="auto"/>
        <w:rPr>
          <w:sz w:val="20"/>
          <w:szCs w:val="20"/>
          <w:color w:val="auto"/>
        </w:rPr>
      </w:pPr>
      <w:r>
        <w:rPr>
          <w:rFonts w:ascii="Times New Roman" w:cs="Times New Roman" w:eastAsia="Times New Roman" w:hAnsi="Times New Roman"/>
          <w:sz w:val="22"/>
          <w:szCs w:val="22"/>
          <w:color w:val="auto"/>
        </w:rPr>
        <w:t>performance of the duties of the inspectors. The presiding officer may review all determinations</w:t>
      </w:r>
    </w:p>
    <w:p>
      <w:pPr>
        <w:ind w:left="160"/>
        <w:spacing w:after="0" w:line="231" w:lineRule="auto"/>
        <w:rPr>
          <w:sz w:val="20"/>
          <w:szCs w:val="20"/>
          <w:color w:val="auto"/>
        </w:rPr>
      </w:pPr>
      <w:r>
        <w:rPr>
          <w:rFonts w:ascii="Times New Roman" w:cs="Times New Roman" w:eastAsia="Times New Roman" w:hAnsi="Times New Roman"/>
          <w:sz w:val="22"/>
          <w:szCs w:val="22"/>
          <w:color w:val="auto"/>
        </w:rPr>
        <w:t>made by the inspectors, and in so doing the presiding officer shall be entitled to exercise his or her</w:t>
      </w:r>
    </w:p>
    <w:p>
      <w:pPr>
        <w:ind w:left="160"/>
        <w:spacing w:after="0" w:line="230" w:lineRule="auto"/>
        <w:rPr>
          <w:sz w:val="20"/>
          <w:szCs w:val="20"/>
          <w:color w:val="auto"/>
        </w:rPr>
      </w:pPr>
      <w:r>
        <w:rPr>
          <w:rFonts w:ascii="Times New Roman" w:cs="Times New Roman" w:eastAsia="Times New Roman" w:hAnsi="Times New Roman"/>
          <w:sz w:val="22"/>
          <w:szCs w:val="22"/>
          <w:color w:val="auto"/>
        </w:rPr>
        <w:t>sole judgment and discretion and he or she shall not be bound by any determinations made by the</w:t>
      </w:r>
    </w:p>
    <w:p>
      <w:pPr>
        <w:ind w:left="160"/>
        <w:spacing w:after="0" w:line="231" w:lineRule="auto"/>
        <w:rPr>
          <w:sz w:val="20"/>
          <w:szCs w:val="20"/>
          <w:color w:val="auto"/>
        </w:rPr>
      </w:pPr>
      <w:r>
        <w:rPr>
          <w:rFonts w:ascii="Times New Roman" w:cs="Times New Roman" w:eastAsia="Times New Roman" w:hAnsi="Times New Roman"/>
          <w:sz w:val="22"/>
          <w:szCs w:val="22"/>
          <w:color w:val="auto"/>
        </w:rPr>
        <w:t>inspectors. All determinations by the inspectors and, if applicable, the presiding officer, shall be</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subject to further review by any court of competent jurisdiction.</w:t>
      </w: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92" w:name="page93"/>
    <w:bookmarkEnd w:id="92"/>
    <w:p>
      <w:pPr>
        <w:ind w:left="3900"/>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u w:val="single" w:color="auto"/>
          <w:color w:val="auto"/>
        </w:rPr>
        <w:t>Directors</w:t>
      </w:r>
    </w:p>
    <w:p>
      <w:pPr>
        <w:spacing w:after="0" w:line="314" w:lineRule="exact"/>
        <w:rPr>
          <w:sz w:val="20"/>
          <w:szCs w:val="20"/>
          <w:color w:val="auto"/>
        </w:rPr>
      </w:pPr>
    </w:p>
    <w:p>
      <w:pPr>
        <w:ind w:left="160" w:right="43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Powers</w:t>
      </w:r>
      <w:r>
        <w:rPr>
          <w:rFonts w:ascii="Times New Roman" w:cs="Times New Roman" w:eastAsia="Times New Roman" w:hAnsi="Times New Roman"/>
          <w:sz w:val="22"/>
          <w:szCs w:val="22"/>
          <w:color w:val="auto"/>
        </w:rPr>
        <w:t>. The business and affairs of the Corporation shall be managed by or under the direction of the Board of Directors except as otherwise provided by the Certificate or required by law.</w:t>
      </w:r>
    </w:p>
    <w:p>
      <w:pPr>
        <w:spacing w:after="0" w:line="282" w:lineRule="exact"/>
        <w:rPr>
          <w:sz w:val="20"/>
          <w:szCs w:val="20"/>
          <w:color w:val="auto"/>
        </w:rPr>
      </w:pPr>
    </w:p>
    <w:p>
      <w:pPr>
        <w:jc w:val="both"/>
        <w:ind w:left="160" w:right="2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Number and Terms</w:t>
      </w:r>
      <w:r>
        <w:rPr>
          <w:rFonts w:ascii="Times New Roman" w:cs="Times New Roman" w:eastAsia="Times New Roman" w:hAnsi="Times New Roman"/>
          <w:sz w:val="22"/>
          <w:szCs w:val="22"/>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2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Qualification</w:t>
      </w:r>
      <w:r>
        <w:rPr>
          <w:rFonts w:ascii="Times New Roman" w:cs="Times New Roman" w:eastAsia="Times New Roman" w:hAnsi="Times New Roman"/>
          <w:sz w:val="22"/>
          <w:szCs w:val="22"/>
          <w:color w:val="auto"/>
        </w:rPr>
        <w:t>. No director need be a stockholder of the Corporation.</w:t>
      </w:r>
    </w:p>
    <w:p>
      <w:pPr>
        <w:spacing w:after="0" w:line="314" w:lineRule="exact"/>
        <w:rPr>
          <w:sz w:val="20"/>
          <w:szCs w:val="20"/>
          <w:color w:val="auto"/>
        </w:rPr>
      </w:pPr>
    </w:p>
    <w:p>
      <w:pPr>
        <w:ind w:left="160" w:right="4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Vacancies in the Board of Directors shall be filled in the manner provided in the Certificate.</w:t>
      </w:r>
    </w:p>
    <w:p>
      <w:pPr>
        <w:spacing w:after="0" w:line="266" w:lineRule="exact"/>
        <w:rPr>
          <w:sz w:val="20"/>
          <w:szCs w:val="20"/>
          <w:color w:val="auto"/>
        </w:rPr>
      </w:pPr>
    </w:p>
    <w:p>
      <w:pPr>
        <w:ind w:left="160" w:right="2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Directors may be removed from office only in the manner provided in the Certificate.</w:t>
      </w:r>
    </w:p>
    <w:p>
      <w:pPr>
        <w:spacing w:after="0" w:line="266" w:lineRule="exact"/>
        <w:rPr>
          <w:sz w:val="20"/>
          <w:szCs w:val="20"/>
          <w:color w:val="auto"/>
        </w:rPr>
      </w:pPr>
    </w:p>
    <w:p>
      <w:pPr>
        <w:ind w:left="160" w:right="27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 director may resign at any time by giving written notice to the Chairperson of the Board, if one is elected, the President or the Secretary. A resignation shall be effective upon receipt, unless the resignation otherwise provides.</w:t>
      </w:r>
    </w:p>
    <w:p>
      <w:pPr>
        <w:spacing w:after="0" w:line="282" w:lineRule="exact"/>
        <w:rPr>
          <w:sz w:val="20"/>
          <w:szCs w:val="20"/>
          <w:color w:val="auto"/>
        </w:rPr>
      </w:pPr>
    </w:p>
    <w:p>
      <w:pPr>
        <w:ind w:left="160" w:right="2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290" w:lineRule="exact"/>
        <w:rPr>
          <w:sz w:val="20"/>
          <w:szCs w:val="20"/>
          <w:color w:val="auto"/>
        </w:rPr>
      </w:pPr>
    </w:p>
    <w:p>
      <w:pPr>
        <w:ind w:left="160" w:right="25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thereof.</w:t>
      </w: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3" w:name="page94"/>
    <w:bookmarkEnd w:id="93"/>
    <w:p>
      <w:pPr>
        <w:ind w:left="160" w:right="17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or the President or such other officer designated by the Chairperson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296" w:lineRule="exact"/>
        <w:rPr>
          <w:sz w:val="20"/>
          <w:szCs w:val="20"/>
          <w:color w:val="auto"/>
        </w:rPr>
      </w:pPr>
    </w:p>
    <w:p>
      <w:pPr>
        <w:ind w:left="16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292" w:lineRule="exact"/>
        <w:rPr>
          <w:sz w:val="20"/>
          <w:szCs w:val="20"/>
          <w:color w:val="auto"/>
        </w:rPr>
      </w:pPr>
    </w:p>
    <w:p>
      <w:pPr>
        <w:ind w:left="160" w:right="1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Action at Meeting</w:t>
      </w:r>
      <w:r>
        <w:rPr>
          <w:rFonts w:ascii="Times New Roman" w:cs="Times New Roman" w:eastAsia="Times New Roman" w:hAnsi="Times New Roman"/>
          <w:sz w:val="22"/>
          <w:szCs w:val="22"/>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282" w:lineRule="exact"/>
        <w:rPr>
          <w:sz w:val="20"/>
          <w:szCs w:val="20"/>
          <w:color w:val="auto"/>
        </w:rPr>
      </w:pPr>
    </w:p>
    <w:p>
      <w:pPr>
        <w:ind w:left="160" w:right="21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Action by Consent</w:t>
      </w:r>
      <w:r>
        <w:rPr>
          <w:rFonts w:ascii="Times New Roman" w:cs="Times New Roman" w:eastAsia="Times New Roman" w:hAnsi="Times New Roman"/>
          <w:sz w:val="22"/>
          <w:szCs w:val="22"/>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292" w:lineRule="exact"/>
        <w:rPr>
          <w:sz w:val="20"/>
          <w:szCs w:val="20"/>
          <w:color w:val="auto"/>
        </w:rPr>
      </w:pPr>
    </w:p>
    <w:p>
      <w:pPr>
        <w:ind w:left="16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Manner of Participation</w:t>
      </w:r>
      <w:r>
        <w:rPr>
          <w:rFonts w:ascii="Times New Roman" w:cs="Times New Roman" w:eastAsia="Times New Roman" w:hAnsi="Times New Roman"/>
          <w:sz w:val="22"/>
          <w:szCs w:val="22"/>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4" w:name="page95"/>
    <w:bookmarkEnd w:id="94"/>
    <w:p>
      <w:pPr>
        <w:ind w:left="160" w:right="159"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Presiding Director</w:t>
      </w:r>
      <w:r>
        <w:rPr>
          <w:rFonts w:ascii="Times New Roman" w:cs="Times New Roman" w:eastAsia="Times New Roman" w:hAnsi="Times New Roman"/>
          <w:sz w:val="22"/>
          <w:szCs w:val="22"/>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288" w:lineRule="exact"/>
        <w:rPr>
          <w:sz w:val="20"/>
          <w:szCs w:val="20"/>
          <w:color w:val="auto"/>
        </w:rPr>
      </w:pPr>
    </w:p>
    <w:p>
      <w:pPr>
        <w:ind w:left="160" w:right="1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 The Board of Directors, by vote of a majority of the directors then in office, may elect one or more committees, including, without limitation, a Compensation Committee, a Nominating and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294" w:lineRule="exact"/>
        <w:rPr>
          <w:sz w:val="20"/>
          <w:szCs w:val="20"/>
          <w:color w:val="auto"/>
        </w:rPr>
      </w:pPr>
    </w:p>
    <w:p>
      <w:pPr>
        <w:ind w:left="160" w:right="35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Compensation of Directors</w:t>
      </w:r>
      <w:r>
        <w:rPr>
          <w:rFonts w:ascii="Times New Roman" w:cs="Times New Roman" w:eastAsia="Times New Roman" w:hAnsi="Times New Roman"/>
          <w:sz w:val="22"/>
          <w:szCs w:val="22"/>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39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0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314" w:lineRule="exact"/>
        <w:rPr>
          <w:sz w:val="20"/>
          <w:szCs w:val="20"/>
          <w:color w:val="auto"/>
        </w:rPr>
      </w:pPr>
    </w:p>
    <w:p>
      <w:pPr>
        <w:ind w:left="16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Enumeration</w:t>
      </w:r>
      <w:r>
        <w:rPr>
          <w:rFonts w:ascii="Times New Roman" w:cs="Times New Roman" w:eastAsia="Times New Roman" w:hAnsi="Times New Roman"/>
          <w:sz w:val="22"/>
          <w:szCs w:val="22"/>
          <w:color w:val="auto"/>
        </w:rPr>
        <w:t>. The officers of the Corporation shall consist of a President, a Treasurer, a Secretary and such other officers, including, without limitation, a Chairperson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285" w:lineRule="exact"/>
        <w:rPr>
          <w:sz w:val="20"/>
          <w:szCs w:val="20"/>
          <w:color w:val="auto"/>
        </w:rPr>
      </w:pPr>
    </w:p>
    <w:p>
      <w:pPr>
        <w:ind w:left="160" w:right="139" w:firstLine="648"/>
        <w:spacing w:after="0" w:line="242"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Election</w:t>
      </w:r>
      <w:r>
        <w:rPr>
          <w:rFonts w:ascii="Times New Roman" w:cs="Times New Roman" w:eastAsia="Times New Roman" w:hAnsi="Times New Roman"/>
          <w:sz w:val="22"/>
          <w:szCs w:val="22"/>
          <w:color w:val="auto"/>
        </w:rPr>
        <w:t>. At the regular annual meeting of the Board of Directors following the Annual Meeting, the Board of Directors shall elect the President, the Treasurer and the</w:t>
      </w:r>
    </w:p>
    <w:p>
      <w:pPr>
        <w:ind w:left="160" w:right="159"/>
        <w:spacing w:after="0" w:line="237" w:lineRule="auto"/>
        <w:rPr>
          <w:sz w:val="20"/>
          <w:szCs w:val="20"/>
          <w:color w:val="auto"/>
        </w:rPr>
      </w:pPr>
      <w:r>
        <w:rPr>
          <w:rFonts w:ascii="Times New Roman" w:cs="Times New Roman" w:eastAsia="Times New Roman" w:hAnsi="Times New Roman"/>
          <w:sz w:val="22"/>
          <w:szCs w:val="22"/>
          <w:color w:val="auto"/>
        </w:rPr>
        <w:t>Secretary. Other officers may be elected by the Board of Directors at such regular annual meeting of the Board of Directors or at any other regular or special meeting.</w:t>
      </w:r>
    </w:p>
    <w:p>
      <w:pPr>
        <w:spacing w:after="0" w:line="287" w:lineRule="exact"/>
        <w:rPr>
          <w:sz w:val="20"/>
          <w:szCs w:val="20"/>
          <w:color w:val="auto"/>
        </w:rPr>
      </w:pPr>
    </w:p>
    <w:p>
      <w:pPr>
        <w:ind w:left="160" w:right="2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Qualification</w:t>
      </w:r>
      <w:r>
        <w:rPr>
          <w:rFonts w:ascii="Times New Roman" w:cs="Times New Roman" w:eastAsia="Times New Roman" w:hAnsi="Times New Roman"/>
          <w:sz w:val="22"/>
          <w:szCs w:val="22"/>
          <w:color w:val="auto"/>
        </w:rPr>
        <w:t>. No officer need be a stockholder or a director. Any person may occupy more than one office of the Corporation at any time.</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95" w:name="page96"/>
    <w:bookmarkEnd w:id="95"/>
    <w:p>
      <w:pPr>
        <w:ind w:left="160" w:right="159" w:firstLine="648"/>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Tenure</w:t>
      </w:r>
      <w:r>
        <w:rPr>
          <w:rFonts w:ascii="Times New Roman" w:cs="Times New Roman" w:eastAsia="Times New Roman" w:hAnsi="Times New Roman"/>
          <w:sz w:val="22"/>
          <w:szCs w:val="22"/>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285" w:lineRule="exact"/>
        <w:rPr>
          <w:sz w:val="20"/>
          <w:szCs w:val="20"/>
          <w:color w:val="auto"/>
        </w:rPr>
      </w:pPr>
    </w:p>
    <w:p>
      <w:pPr>
        <w:ind w:left="160" w:right="2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282" w:lineRule="exact"/>
        <w:rPr>
          <w:sz w:val="20"/>
          <w:szCs w:val="20"/>
          <w:color w:val="auto"/>
        </w:rPr>
      </w:pPr>
    </w:p>
    <w:p>
      <w:pPr>
        <w:ind w:left="160" w:right="3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Except as otherwise provided by law, the Board of Directors may remove any officer with or without cause by the affirmative vote of a majority of the directors then in office.</w:t>
      </w:r>
    </w:p>
    <w:p>
      <w:pPr>
        <w:spacing w:after="0" w:line="282" w:lineRule="exact"/>
        <w:rPr>
          <w:sz w:val="20"/>
          <w:szCs w:val="20"/>
          <w:color w:val="auto"/>
        </w:rPr>
      </w:pPr>
    </w:p>
    <w:p>
      <w:pPr>
        <w:ind w:left="160" w:right="31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Absence or Disability</w:t>
      </w:r>
      <w:r>
        <w:rPr>
          <w:rFonts w:ascii="Times New Roman" w:cs="Times New Roman" w:eastAsia="Times New Roman" w:hAnsi="Times New Roman"/>
          <w:sz w:val="22"/>
          <w:szCs w:val="22"/>
          <w:color w:val="auto"/>
        </w:rPr>
        <w:t>. In the event of the absence or disability of any officer, the Board of Directors may designate another officer to act temporarily in place of such absent or disabled officer.</w:t>
      </w:r>
    </w:p>
    <w:p>
      <w:pPr>
        <w:spacing w:after="0" w:line="282" w:lineRule="exact"/>
        <w:rPr>
          <w:sz w:val="20"/>
          <w:szCs w:val="20"/>
          <w:color w:val="auto"/>
        </w:rPr>
      </w:pPr>
    </w:p>
    <w:p>
      <w:pPr>
        <w:ind w:left="160" w:right="3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Any vacancy in any office may be filled for the unexpired portion of the term by the Board of Directors.</w:t>
      </w:r>
    </w:p>
    <w:p>
      <w:pPr>
        <w:spacing w:after="0" w:line="266" w:lineRule="exact"/>
        <w:rPr>
          <w:sz w:val="20"/>
          <w:szCs w:val="20"/>
          <w:color w:val="auto"/>
        </w:rPr>
      </w:pPr>
    </w:p>
    <w:p>
      <w:pPr>
        <w:ind w:left="160" w:right="2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President</w:t>
      </w:r>
      <w:r>
        <w:rPr>
          <w:rFonts w:ascii="Times New Roman" w:cs="Times New Roman" w:eastAsia="Times New Roman" w:hAnsi="Times New Roman"/>
          <w:sz w:val="22"/>
          <w:szCs w:val="22"/>
          <w:color w:val="auto"/>
        </w:rPr>
        <w:t>. The President shall, subject to the direction of the Board of Directors, have such powers and shall perform such duties as the Board of Directors may from time to time designate.</w:t>
      </w:r>
    </w:p>
    <w:p>
      <w:pPr>
        <w:spacing w:after="0" w:line="282" w:lineRule="exact"/>
        <w:rPr>
          <w:sz w:val="20"/>
          <w:szCs w:val="20"/>
          <w:color w:val="auto"/>
        </w:rPr>
      </w:pPr>
    </w:p>
    <w:p>
      <w:pPr>
        <w:jc w:val="both"/>
        <w:ind w:left="160" w:right="47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Chairperson of the Board</w:t>
      </w:r>
      <w:r>
        <w:rPr>
          <w:rFonts w:ascii="Times New Roman" w:cs="Times New Roman" w:eastAsia="Times New Roman" w:hAnsi="Times New Roman"/>
          <w:sz w:val="22"/>
          <w:szCs w:val="22"/>
          <w:color w:val="auto"/>
        </w:rPr>
        <w:t>. The Chairperson of the Board, if one is elected, shall have such powers and shall perform such duties as the Board of Directors may from time to time designate.</w:t>
      </w:r>
    </w:p>
    <w:p>
      <w:pPr>
        <w:spacing w:after="0" w:line="282" w:lineRule="exact"/>
        <w:rPr>
          <w:sz w:val="20"/>
          <w:szCs w:val="20"/>
          <w:color w:val="auto"/>
        </w:rPr>
      </w:pPr>
    </w:p>
    <w:p>
      <w:pPr>
        <w:ind w:left="160" w:right="2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if one is elected, shall have such powers and shall perform such duties as the Board of Directors may from time to time designate.</w:t>
      </w:r>
    </w:p>
    <w:p>
      <w:pPr>
        <w:spacing w:after="0" w:line="282" w:lineRule="exact"/>
        <w:rPr>
          <w:sz w:val="20"/>
          <w:szCs w:val="20"/>
          <w:color w:val="auto"/>
        </w:rPr>
      </w:pPr>
    </w:p>
    <w:p>
      <w:pPr>
        <w:jc w:val="both"/>
        <w:ind w:left="160" w:right="219"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Vice Presidents and Assistant Vice Presidents</w:t>
      </w:r>
      <w:r>
        <w:rPr>
          <w:rFonts w:ascii="Times New Roman" w:cs="Times New Roman" w:eastAsia="Times New Roman" w:hAnsi="Times New Roman"/>
          <w:sz w:val="22"/>
          <w:szCs w:val="22"/>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289" w:lineRule="exact"/>
        <w:rPr>
          <w:sz w:val="20"/>
          <w:szCs w:val="20"/>
          <w:color w:val="auto"/>
        </w:rPr>
      </w:pPr>
    </w:p>
    <w:p>
      <w:pPr>
        <w:ind w:left="160" w:right="399" w:firstLine="648"/>
        <w:spacing w:after="0" w:line="247" w:lineRule="auto"/>
        <w:rPr>
          <w:sz w:val="20"/>
          <w:szCs w:val="20"/>
          <w:color w:val="auto"/>
        </w:rPr>
      </w:pPr>
      <w:r>
        <w:rPr>
          <w:rFonts w:ascii="Times New Roman" w:cs="Times New Roman" w:eastAsia="Times New Roman" w:hAnsi="Times New Roman"/>
          <w:sz w:val="21"/>
          <w:szCs w:val="21"/>
          <w:color w:val="auto"/>
        </w:rPr>
        <w:t xml:space="preserve">SECTION 13. </w:t>
      </w:r>
      <w:r>
        <w:rPr>
          <w:rFonts w:ascii="Times New Roman" w:cs="Times New Roman" w:eastAsia="Times New Roman" w:hAnsi="Times New Roman"/>
          <w:sz w:val="21"/>
          <w:szCs w:val="21"/>
          <w:u w:val="single" w:color="auto"/>
          <w:color w:val="auto"/>
        </w:rPr>
        <w:t>Treasurer and Assistant Treasurers</w:t>
      </w:r>
      <w:r>
        <w:rPr>
          <w:rFonts w:ascii="Times New Roman" w:cs="Times New Roman" w:eastAsia="Times New Roman" w:hAnsi="Times New Roman"/>
          <w:sz w:val="21"/>
          <w:szCs w:val="21"/>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6" w:name="page97"/>
    <w:bookmarkEnd w:id="96"/>
    <w:p>
      <w:pPr>
        <w:ind w:left="160" w:right="15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Secretary and Assistant Secretaries</w:t>
      </w:r>
      <w:r>
        <w:rPr>
          <w:rFonts w:ascii="Times New Roman" w:cs="Times New Roman" w:eastAsia="Times New Roman" w:hAnsi="Times New Roman"/>
          <w:sz w:val="22"/>
          <w:szCs w:val="22"/>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292" w:lineRule="exact"/>
        <w:rPr>
          <w:sz w:val="20"/>
          <w:szCs w:val="20"/>
          <w:color w:val="auto"/>
        </w:rPr>
      </w:pPr>
    </w:p>
    <w:p>
      <w:pPr>
        <w:ind w:left="160" w:right="27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Other Powers and Duties</w:t>
      </w:r>
      <w:r>
        <w:rPr>
          <w:rFonts w:ascii="Times New Roman" w:cs="Times New Roman" w:eastAsia="Times New Roman" w:hAnsi="Times New Roman"/>
          <w:sz w:val="22"/>
          <w:szCs w:val="22"/>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7" w:name="page98"/>
    <w:bookmarkEnd w:id="97"/>
    <w:p>
      <w:pPr>
        <w:ind w:left="3860"/>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20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u w:val="single" w:color="auto"/>
          <w:color w:val="auto"/>
        </w:rPr>
        <w:t>Capital Stock</w:t>
      </w:r>
    </w:p>
    <w:p>
      <w:pPr>
        <w:spacing w:after="0" w:line="314" w:lineRule="exact"/>
        <w:rPr>
          <w:sz w:val="20"/>
          <w:szCs w:val="20"/>
          <w:color w:val="auto"/>
        </w:rPr>
      </w:pPr>
    </w:p>
    <w:p>
      <w:pPr>
        <w:ind w:left="160" w:right="279" w:firstLine="648"/>
        <w:spacing w:after="0" w:line="244"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Certificates of Stock</w:t>
      </w:r>
      <w:r>
        <w:rPr>
          <w:rFonts w:ascii="Times New Roman" w:cs="Times New Roman" w:eastAsia="Times New Roman" w:hAnsi="Times New Roman"/>
          <w:sz w:val="21"/>
          <w:szCs w:val="21"/>
          <w:color w:val="auto"/>
        </w:rPr>
        <w:t>. Each stockholder shall be entitled to a certificate of the capital stock of the Corporation in such form as may from time to time be prescribed by the Board of Directors. Such certificate shall be signed by the Chairperson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w:t>
      </w:r>
    </w:p>
    <w:p>
      <w:pPr>
        <w:spacing w:after="0" w:line="2" w:lineRule="exact"/>
        <w:rPr>
          <w:sz w:val="20"/>
          <w:szCs w:val="20"/>
          <w:color w:val="auto"/>
        </w:rPr>
      </w:pPr>
    </w:p>
    <w:p>
      <w:pPr>
        <w:ind w:left="160" w:right="159"/>
        <w:spacing w:after="0" w:line="243" w:lineRule="auto"/>
        <w:rPr>
          <w:sz w:val="20"/>
          <w:szCs w:val="20"/>
          <w:color w:val="auto"/>
        </w:rPr>
      </w:pPr>
      <w:r>
        <w:rPr>
          <w:rFonts w:ascii="Times New Roman" w:cs="Times New Roman" w:eastAsia="Times New Roman" w:hAnsi="Times New Roman"/>
          <w:sz w:val="21"/>
          <w:szCs w:val="21"/>
          <w:color w:val="auto"/>
        </w:rPr>
        <w:t>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287" w:lineRule="exact"/>
        <w:rPr>
          <w:sz w:val="20"/>
          <w:szCs w:val="20"/>
          <w:color w:val="auto"/>
        </w:rPr>
      </w:pPr>
    </w:p>
    <w:p>
      <w:pPr>
        <w:ind w:left="160" w:right="13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Transfers</w:t>
      </w:r>
      <w:r>
        <w:rPr>
          <w:rFonts w:ascii="Times New Roman" w:cs="Times New Roman" w:eastAsia="Times New Roman" w:hAnsi="Times New Roman"/>
          <w:sz w:val="22"/>
          <w:szCs w:val="22"/>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292" w:lineRule="exact"/>
        <w:rPr>
          <w:sz w:val="20"/>
          <w:szCs w:val="20"/>
          <w:color w:val="auto"/>
        </w:rPr>
      </w:pPr>
    </w:p>
    <w:p>
      <w:pPr>
        <w:ind w:left="16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Record Holders</w:t>
      </w:r>
      <w:r>
        <w:rPr>
          <w:rFonts w:ascii="Times New Roman" w:cs="Times New Roman" w:eastAsia="Times New Roman" w:hAnsi="Times New Roman"/>
          <w:sz w:val="22"/>
          <w:szCs w:val="22"/>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290" w:lineRule="exact"/>
        <w:rPr>
          <w:sz w:val="20"/>
          <w:szCs w:val="20"/>
          <w:color w:val="auto"/>
        </w:rPr>
      </w:pPr>
    </w:p>
    <w:p>
      <w:pPr>
        <w:ind w:left="160" w:right="23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w:t>
      </w: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8" w:name="page99"/>
    <w:bookmarkEnd w:id="98"/>
    <w:p>
      <w:pPr>
        <w:ind w:left="160" w:right="159"/>
        <w:spacing w:after="0" w:line="234" w:lineRule="auto"/>
        <w:rPr>
          <w:sz w:val="20"/>
          <w:szCs w:val="20"/>
          <w:color w:val="auto"/>
        </w:rPr>
      </w:pPr>
      <w:r>
        <w:rPr>
          <w:rFonts w:ascii="Times New Roman" w:cs="Times New Roman" w:eastAsia="Times New Roman" w:hAnsi="Times New Roman"/>
          <w:sz w:val="22"/>
          <w:szCs w:val="22"/>
          <w:color w:val="auto"/>
        </w:rPr>
        <w:t>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289" w:lineRule="exact"/>
        <w:rPr>
          <w:sz w:val="20"/>
          <w:szCs w:val="20"/>
          <w:color w:val="auto"/>
        </w:rPr>
      </w:pPr>
    </w:p>
    <w:p>
      <w:pPr>
        <w:ind w:left="160" w:right="29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Replacement of Certificates</w:t>
      </w:r>
      <w:r>
        <w:rPr>
          <w:rFonts w:ascii="Times New Roman" w:cs="Times New Roman" w:eastAsia="Times New Roman" w:hAnsi="Times New Roman"/>
          <w:sz w:val="22"/>
          <w:szCs w:val="22"/>
          <w:color w:val="auto"/>
        </w:rPr>
        <w:t>. In case of the alleged loss, destruction or mutilation of a certificate of stock of the Corporation, a duplicate certificate may be issued in place thereof, upon such terms as the Board of Directors may prescribe.</w:t>
      </w:r>
    </w:p>
    <w:p>
      <w:pPr>
        <w:spacing w:after="0" w:line="3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0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u w:val="single" w:color="auto"/>
          <w:color w:val="auto"/>
        </w:rPr>
        <w:t>Indemnification</w:t>
      </w:r>
    </w:p>
    <w:p>
      <w:pPr>
        <w:spacing w:after="0" w:line="3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Article:</w:t>
      </w:r>
    </w:p>
    <w:p>
      <w:pPr>
        <w:spacing w:after="0" w:line="206" w:lineRule="exact"/>
        <w:rPr>
          <w:sz w:val="20"/>
          <w:szCs w:val="20"/>
          <w:color w:val="auto"/>
        </w:rPr>
      </w:pPr>
    </w:p>
    <w:p>
      <w:pPr>
        <w:ind w:left="160" w:right="219" w:firstLine="639"/>
        <w:spacing w:after="0" w:line="233" w:lineRule="auto"/>
        <w:tabs>
          <w:tab w:leader="none" w:pos="110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83" w:lineRule="exact"/>
        <w:rPr>
          <w:rFonts w:ascii="Times New Roman" w:cs="Times New Roman" w:eastAsia="Times New Roman" w:hAnsi="Times New Roman"/>
          <w:sz w:val="22"/>
          <w:szCs w:val="22"/>
          <w:color w:val="auto"/>
        </w:rPr>
      </w:pPr>
    </w:p>
    <w:p>
      <w:pPr>
        <w:ind w:left="160" w:right="399" w:firstLine="639"/>
        <w:spacing w:after="0" w:line="258" w:lineRule="auto"/>
        <w:tabs>
          <w:tab w:leader="none" w:pos="111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“Director” means any person who serves or has served the Corporation as a director on the Board of Directors;</w:t>
      </w:r>
    </w:p>
    <w:p>
      <w:pPr>
        <w:spacing w:after="0" w:line="158" w:lineRule="exact"/>
        <w:rPr>
          <w:rFonts w:ascii="Times New Roman" w:cs="Times New Roman" w:eastAsia="Times New Roman" w:hAnsi="Times New Roman"/>
          <w:sz w:val="22"/>
          <w:szCs w:val="22"/>
          <w:color w:val="auto"/>
        </w:rPr>
      </w:pPr>
    </w:p>
    <w:p>
      <w:pPr>
        <w:ind w:left="160" w:right="219" w:firstLine="639"/>
        <w:spacing w:after="0" w:line="244" w:lineRule="auto"/>
        <w:tabs>
          <w:tab w:leader="none" w:pos="110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“Disinterested Director” means, with respect to each Proceeding in respect of which indemnification is sought hereunder, a Director of the Corporation who is not and was not a party to such Proceeding;</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9" w:name="page100"/>
    <w:bookmarkEnd w:id="99"/>
    <w:p>
      <w:pPr>
        <w:ind w:left="160" w:right="259" w:firstLine="639"/>
        <w:spacing w:after="0" w:line="234" w:lineRule="auto"/>
        <w:tabs>
          <w:tab w:leader="none" w:pos="111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4" w:lineRule="exact"/>
        <w:rPr>
          <w:rFonts w:ascii="Times New Roman" w:cs="Times New Roman" w:eastAsia="Times New Roman" w:hAnsi="Times New Roman"/>
          <w:sz w:val="22"/>
          <w:szCs w:val="22"/>
          <w:color w:val="auto"/>
        </w:rPr>
      </w:pPr>
    </w:p>
    <w:p>
      <w:pPr>
        <w:ind w:left="160" w:right="339" w:firstLine="639"/>
        <w:spacing w:after="0" w:line="258" w:lineRule="auto"/>
        <w:tabs>
          <w:tab w:leader="none" w:pos="110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“Liabilities” means judgments, damages, liabilities, losses, penalties, excise taxes, fines and amounts paid in settlement;</w:t>
      </w:r>
    </w:p>
    <w:p>
      <w:pPr>
        <w:spacing w:after="0" w:line="158" w:lineRule="exact"/>
        <w:rPr>
          <w:rFonts w:ascii="Times New Roman" w:cs="Times New Roman" w:eastAsia="Times New Roman" w:hAnsi="Times New Roman"/>
          <w:sz w:val="22"/>
          <w:szCs w:val="22"/>
          <w:color w:val="auto"/>
        </w:rPr>
      </w:pPr>
    </w:p>
    <w:p>
      <w:pPr>
        <w:ind w:left="160" w:right="319" w:firstLine="639"/>
        <w:spacing w:after="0" w:line="258" w:lineRule="auto"/>
        <w:tabs>
          <w:tab w:leader="none" w:pos="107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“Non-Officer Employee” means any person who serves or has served as an employee or agent of the Corporation, but who is not or was not a Director or Officer;</w:t>
      </w:r>
    </w:p>
    <w:p>
      <w:pPr>
        <w:spacing w:after="0" w:line="158" w:lineRule="exact"/>
        <w:rPr>
          <w:rFonts w:ascii="Times New Roman" w:cs="Times New Roman" w:eastAsia="Times New Roman" w:hAnsi="Times New Roman"/>
          <w:sz w:val="22"/>
          <w:szCs w:val="22"/>
          <w:color w:val="auto"/>
        </w:rPr>
      </w:pPr>
    </w:p>
    <w:p>
      <w:pPr>
        <w:ind w:left="160" w:right="199" w:firstLine="639"/>
        <w:spacing w:after="0" w:line="258" w:lineRule="auto"/>
        <w:tabs>
          <w:tab w:leader="none" w:pos="1114"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“Officer” means any person who serves or has served the Corporation as an officer of the Corporation appointed by the Board of Directors;</w:t>
      </w:r>
    </w:p>
    <w:p>
      <w:pPr>
        <w:spacing w:after="0" w:line="158" w:lineRule="exact"/>
        <w:rPr>
          <w:rFonts w:ascii="Times New Roman" w:cs="Times New Roman" w:eastAsia="Times New Roman" w:hAnsi="Times New Roman"/>
          <w:sz w:val="22"/>
          <w:szCs w:val="22"/>
          <w:color w:val="auto"/>
        </w:rPr>
      </w:pPr>
    </w:p>
    <w:p>
      <w:pPr>
        <w:jc w:val="both"/>
        <w:ind w:left="160" w:right="759" w:firstLine="639"/>
        <w:spacing w:after="0" w:line="262" w:lineRule="auto"/>
        <w:tabs>
          <w:tab w:leader="none" w:pos="111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54" w:lineRule="exact"/>
        <w:rPr>
          <w:rFonts w:ascii="Times New Roman" w:cs="Times New Roman" w:eastAsia="Times New Roman" w:hAnsi="Times New Roman"/>
          <w:sz w:val="21"/>
          <w:szCs w:val="21"/>
          <w:color w:val="auto"/>
        </w:rPr>
      </w:pPr>
    </w:p>
    <w:p>
      <w:pPr>
        <w:ind w:left="160" w:right="319" w:firstLine="639"/>
        <w:spacing w:after="0" w:line="235" w:lineRule="auto"/>
        <w:tabs>
          <w:tab w:leader="none" w:pos="106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2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Indemnification of Directors and Officers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60" w:right="139" w:firstLine="639"/>
        <w:spacing w:after="0" w:line="236" w:lineRule="auto"/>
        <w:tabs>
          <w:tab w:leader="none" w:pos="110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3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00" w:name="page101"/>
    <w:bookmarkEnd w:id="100"/>
    <w:p>
      <w:pPr>
        <w:ind w:left="800" w:right="179" w:firstLine="647"/>
        <w:spacing w:after="0" w:line="246" w:lineRule="auto"/>
        <w:tabs>
          <w:tab w:leader="none" w:pos="175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Actions, Suits and Proceedings Other than By or In the Right of the Corporation</w:t>
      </w:r>
      <w:r>
        <w:rPr>
          <w:rFonts w:ascii="Times New Roman" w:cs="Times New Roman" w:eastAsia="Times New Roman" w:hAnsi="Times New Roman"/>
          <w:sz w:val="21"/>
          <w:szCs w:val="21"/>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72" w:lineRule="exact"/>
        <w:rPr>
          <w:rFonts w:ascii="Times New Roman" w:cs="Times New Roman" w:eastAsia="Times New Roman" w:hAnsi="Times New Roman"/>
          <w:sz w:val="21"/>
          <w:szCs w:val="21"/>
          <w:color w:val="auto"/>
        </w:rPr>
      </w:pPr>
    </w:p>
    <w:p>
      <w:pPr>
        <w:ind w:left="800" w:right="159" w:firstLine="647"/>
        <w:spacing w:after="0" w:line="233" w:lineRule="auto"/>
        <w:tabs>
          <w:tab w:leader="none" w:pos="175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Actions, Suits and Proceedings By or In the Right of the Corporation</w:t>
      </w:r>
      <w:r>
        <w:rPr>
          <w:rFonts w:ascii="Times New Roman" w:cs="Times New Roman" w:eastAsia="Times New Roman" w:hAnsi="Times New Roman"/>
          <w:sz w:val="22"/>
          <w:szCs w:val="22"/>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78" w:lineRule="exact"/>
        <w:rPr>
          <w:rFonts w:ascii="Times New Roman" w:cs="Times New Roman" w:eastAsia="Times New Roman" w:hAnsi="Times New Roman"/>
          <w:sz w:val="22"/>
          <w:szCs w:val="22"/>
          <w:color w:val="auto"/>
        </w:rPr>
      </w:pPr>
    </w:p>
    <w:p>
      <w:pPr>
        <w:jc w:val="both"/>
        <w:ind w:left="800" w:right="199" w:firstLine="647"/>
        <w:spacing w:after="0" w:line="239" w:lineRule="auto"/>
        <w:tabs>
          <w:tab w:leader="none" w:pos="175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 of Rights</w:t>
      </w:r>
      <w:r>
        <w:rPr>
          <w:rFonts w:ascii="Times New Roman" w:cs="Times New Roman" w:eastAsia="Times New Roman" w:hAnsi="Times New Roman"/>
          <w:sz w:val="22"/>
          <w:szCs w:val="22"/>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80" w:lineRule="exact"/>
        <w:rPr>
          <w:rFonts w:ascii="Times New Roman" w:cs="Times New Roman" w:eastAsia="Times New Roman" w:hAnsi="Times New Roman"/>
          <w:sz w:val="22"/>
          <w:szCs w:val="22"/>
          <w:color w:val="auto"/>
        </w:rPr>
      </w:pPr>
    </w:p>
    <w:p>
      <w:pPr>
        <w:ind w:left="800" w:right="179" w:firstLine="647"/>
        <w:spacing w:after="0" w:line="235" w:lineRule="auto"/>
        <w:tabs>
          <w:tab w:leader="none" w:pos="175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Actions by Directors or Officers</w:t>
      </w:r>
      <w:r>
        <w:rPr>
          <w:rFonts w:ascii="Times New Roman" w:cs="Times New Roman" w:eastAsia="Times New Roman" w:hAnsi="Times New Roman"/>
          <w:sz w:val="22"/>
          <w:szCs w:val="22"/>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1" w:name="page102"/>
    <w:bookmarkEnd w:id="101"/>
    <w:p>
      <w:pPr>
        <w:ind w:left="160" w:right="179" w:firstLine="648"/>
        <w:spacing w:after="0" w:line="23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Indemnification of Non-Officer Employees</w:t>
      </w:r>
      <w:r>
        <w:rPr>
          <w:rFonts w:ascii="Times New Roman" w:cs="Times New Roman" w:eastAsia="Times New Roman" w:hAnsi="Times New Roman"/>
          <w:sz w:val="22"/>
          <w:szCs w:val="22"/>
          <w:color w:val="auto"/>
        </w:rPr>
        <w:t>. Subject to the operation of Section 4 of this Article V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300" w:lineRule="exact"/>
        <w:rPr>
          <w:sz w:val="20"/>
          <w:szCs w:val="20"/>
          <w:color w:val="auto"/>
        </w:rPr>
      </w:pPr>
    </w:p>
    <w:p>
      <w:pPr>
        <w:ind w:left="160" w:right="1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2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Advancement of Expenses to Directors Prior to Final Dispositi</w:t>
      </w:r>
      <w:r>
        <w:rPr>
          <w:rFonts w:ascii="Times New Roman" w:cs="Times New Roman" w:eastAsia="Times New Roman" w:hAnsi="Times New Roman"/>
          <w:sz w:val="22"/>
          <w:szCs w:val="22"/>
          <w:color w:val="auto"/>
        </w:rPr>
        <w:t>on.</w:t>
      </w:r>
    </w:p>
    <w:p>
      <w:pPr>
        <w:spacing w:after="0" w:line="206" w:lineRule="exact"/>
        <w:rPr>
          <w:sz w:val="20"/>
          <w:szCs w:val="20"/>
          <w:color w:val="auto"/>
        </w:rPr>
      </w:pPr>
    </w:p>
    <w:p>
      <w:pPr>
        <w:ind w:left="160" w:right="219" w:firstLine="639"/>
        <w:spacing w:after="0" w:line="245" w:lineRule="auto"/>
        <w:tabs>
          <w:tab w:leader="none" w:pos="110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02" w:name="page103"/>
    <w:bookmarkEnd w:id="102"/>
    <w:p>
      <w:pPr>
        <w:ind w:left="160" w:right="259" w:firstLine="639"/>
        <w:spacing w:after="0" w:line="234" w:lineRule="auto"/>
        <w:tabs>
          <w:tab w:leader="none" w:pos="111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77" w:lineRule="exact"/>
        <w:rPr>
          <w:rFonts w:ascii="Times New Roman" w:cs="Times New Roman" w:eastAsia="Times New Roman" w:hAnsi="Times New Roman"/>
          <w:sz w:val="22"/>
          <w:szCs w:val="22"/>
          <w:color w:val="auto"/>
        </w:rPr>
      </w:pPr>
    </w:p>
    <w:p>
      <w:pPr>
        <w:ind w:left="160" w:right="239" w:firstLine="639"/>
        <w:spacing w:after="0" w:line="239" w:lineRule="auto"/>
        <w:tabs>
          <w:tab w:leader="none" w:pos="110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289" w:lineRule="exact"/>
        <w:rPr>
          <w:sz w:val="20"/>
          <w:szCs w:val="20"/>
          <w:color w:val="auto"/>
        </w:rPr>
      </w:pPr>
    </w:p>
    <w:p>
      <w:pPr>
        <w:ind w:left="160" w:right="5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Advancement of Expenses to Officers and Non-Officer Employees Prior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Final Disposition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160" w:right="179" w:firstLine="639"/>
        <w:spacing w:after="0" w:line="234" w:lineRule="auto"/>
        <w:tabs>
          <w:tab w:leader="none" w:pos="110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0" w:lineRule="exact"/>
        <w:rPr>
          <w:rFonts w:ascii="Times New Roman" w:cs="Times New Roman" w:eastAsia="Times New Roman" w:hAnsi="Times New Roman"/>
          <w:sz w:val="22"/>
          <w:szCs w:val="22"/>
          <w:color w:val="auto"/>
        </w:rPr>
      </w:pPr>
    </w:p>
    <w:p>
      <w:pPr>
        <w:ind w:left="160" w:right="239" w:firstLine="639"/>
        <w:spacing w:after="0" w:line="239" w:lineRule="auto"/>
        <w:tabs>
          <w:tab w:leader="none" w:pos="111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3" w:name="page104"/>
    <w:bookmarkEnd w:id="103"/>
    <w:p>
      <w:pPr>
        <w:ind w:left="800"/>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Contractual Nature of Rights</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left="160" w:right="159" w:firstLine="639"/>
        <w:spacing w:after="0" w:line="232" w:lineRule="auto"/>
        <w:tabs>
          <w:tab w:leader="none" w:pos="110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92" w:lineRule="exact"/>
        <w:rPr>
          <w:rFonts w:ascii="Times New Roman" w:cs="Times New Roman" w:eastAsia="Times New Roman" w:hAnsi="Times New Roman"/>
          <w:sz w:val="22"/>
          <w:szCs w:val="22"/>
          <w:color w:val="auto"/>
        </w:rPr>
      </w:pPr>
    </w:p>
    <w:p>
      <w:pPr>
        <w:ind w:left="160" w:right="219" w:firstLine="639"/>
        <w:spacing w:after="0" w:line="234" w:lineRule="auto"/>
        <w:tabs>
          <w:tab w:leader="none" w:pos="111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76" w:lineRule="exact"/>
        <w:rPr>
          <w:rFonts w:ascii="Times New Roman" w:cs="Times New Roman" w:eastAsia="Times New Roman" w:hAnsi="Times New Roman"/>
          <w:sz w:val="22"/>
          <w:szCs w:val="22"/>
          <w:color w:val="auto"/>
        </w:rPr>
      </w:pPr>
    </w:p>
    <w:p>
      <w:pPr>
        <w:ind w:left="160" w:right="239" w:firstLine="639"/>
        <w:spacing w:after="0" w:line="244" w:lineRule="auto"/>
        <w:tabs>
          <w:tab w:leader="none" w:pos="110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282" w:lineRule="exact"/>
        <w:rPr>
          <w:sz w:val="20"/>
          <w:szCs w:val="20"/>
          <w:color w:val="auto"/>
        </w:rPr>
      </w:pPr>
    </w:p>
    <w:p>
      <w:pPr>
        <w:jc w:val="both"/>
        <w:ind w:left="160" w:right="179" w:firstLine="648"/>
        <w:spacing w:after="0" w:line="255"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u w:val="single" w:color="auto"/>
          <w:color w:val="auto"/>
        </w:rPr>
        <w:t>Non-Exclusivity of Rights</w:t>
      </w:r>
      <w:r>
        <w:rPr>
          <w:rFonts w:ascii="Times New Roman" w:cs="Times New Roman" w:eastAsia="Times New Roman" w:hAnsi="Times New Roman"/>
          <w:sz w:val="21"/>
          <w:szCs w:val="21"/>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270" w:lineRule="exact"/>
        <w:rPr>
          <w:sz w:val="20"/>
          <w:szCs w:val="20"/>
          <w:color w:val="auto"/>
        </w:rPr>
      </w:pPr>
    </w:p>
    <w:p>
      <w:pPr>
        <w:ind w:left="160" w:right="27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4" w:name="page105"/>
    <w:bookmarkEnd w:id="104"/>
    <w:p>
      <w:pPr>
        <w:ind w:left="160" w:right="159"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Other Indemnification</w:t>
      </w:r>
      <w:r>
        <w:rPr>
          <w:rFonts w:ascii="Times New Roman" w:cs="Times New Roman" w:eastAsia="Times New Roman" w:hAnsi="Times New Roman"/>
          <w:sz w:val="22"/>
          <w:szCs w:val="22"/>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200" w:lineRule="exact"/>
        <w:rPr>
          <w:sz w:val="20"/>
          <w:szCs w:val="20"/>
          <w:color w:val="auto"/>
        </w:rPr>
      </w:pPr>
    </w:p>
    <w:p>
      <w:pPr>
        <w:spacing w:after="0" w:line="20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0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u w:val="single" w:color="auto"/>
          <w:color w:val="auto"/>
        </w:rPr>
        <w:t>Miscellaneous Provisions</w:t>
      </w:r>
    </w:p>
    <w:p>
      <w:pPr>
        <w:spacing w:after="0" w:line="314" w:lineRule="exact"/>
        <w:rPr>
          <w:sz w:val="20"/>
          <w:szCs w:val="20"/>
          <w:color w:val="auto"/>
        </w:rPr>
      </w:pPr>
    </w:p>
    <w:p>
      <w:pPr>
        <w:ind w:left="160" w:right="63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be determined by the Board of Directors.</w:t>
      </w:r>
    </w:p>
    <w:p>
      <w:pPr>
        <w:spacing w:after="0" w:line="266" w:lineRule="exact"/>
        <w:rPr>
          <w:sz w:val="20"/>
          <w:szCs w:val="20"/>
          <w:color w:val="auto"/>
        </w:rPr>
      </w:pPr>
    </w:p>
    <w:p>
      <w:pPr>
        <w:ind w:left="160" w:right="15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Board of Directors shall have power to adopt and alter the seal of the Corporation.</w:t>
      </w:r>
    </w:p>
    <w:p>
      <w:pPr>
        <w:spacing w:after="0" w:line="266" w:lineRule="exact"/>
        <w:rPr>
          <w:sz w:val="20"/>
          <w:szCs w:val="20"/>
          <w:color w:val="auto"/>
        </w:rPr>
      </w:pPr>
    </w:p>
    <w:p>
      <w:pPr>
        <w:ind w:left="160" w:right="31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Execution of Instruments</w:t>
      </w:r>
      <w:r>
        <w:rPr>
          <w:rFonts w:ascii="Times New Roman" w:cs="Times New Roman" w:eastAsia="Times New Roman" w:hAnsi="Times New Roman"/>
          <w:sz w:val="22"/>
          <w:szCs w:val="22"/>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Chief Executive Officer, the President or the Treasurer or any other officer, employee or agent of the Corporation as the Board of Directors or the executive committee of the Board may authorize.</w:t>
      </w:r>
    </w:p>
    <w:p>
      <w:pPr>
        <w:spacing w:after="0" w:line="290" w:lineRule="exact"/>
        <w:rPr>
          <w:sz w:val="20"/>
          <w:szCs w:val="20"/>
          <w:color w:val="auto"/>
        </w:rPr>
      </w:pPr>
    </w:p>
    <w:p>
      <w:pPr>
        <w:ind w:left="160" w:right="2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Voting of Securities</w:t>
      </w:r>
      <w:r>
        <w:rPr>
          <w:rFonts w:ascii="Times New Roman" w:cs="Times New Roman" w:eastAsia="Times New Roman" w:hAnsi="Times New Roman"/>
          <w:sz w:val="22"/>
          <w:szCs w:val="22"/>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290" w:lineRule="exact"/>
        <w:rPr>
          <w:sz w:val="20"/>
          <w:szCs w:val="20"/>
          <w:color w:val="auto"/>
        </w:rPr>
      </w:pPr>
    </w:p>
    <w:p>
      <w:pPr>
        <w:ind w:left="160" w:right="499"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Resident Agent</w:t>
      </w:r>
      <w:r>
        <w:rPr>
          <w:rFonts w:ascii="Times New Roman" w:cs="Times New Roman" w:eastAsia="Times New Roman" w:hAnsi="Times New Roman"/>
          <w:sz w:val="22"/>
          <w:szCs w:val="22"/>
          <w:color w:val="auto"/>
        </w:rPr>
        <w:t>. The Board of Directors may appoint a resident agent upon whom legal process may be served in any action or proceeding against the Corporation.</w:t>
      </w:r>
    </w:p>
    <w:p>
      <w:pPr>
        <w:spacing w:after="0" w:line="266" w:lineRule="exact"/>
        <w:rPr>
          <w:sz w:val="20"/>
          <w:szCs w:val="20"/>
          <w:color w:val="auto"/>
        </w:rPr>
      </w:pPr>
    </w:p>
    <w:p>
      <w:pPr>
        <w:ind w:left="160" w:right="199"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Corporate Records</w:t>
      </w:r>
      <w:r>
        <w:rPr>
          <w:rFonts w:ascii="Times New Roman" w:cs="Times New Roman" w:eastAsia="Times New Roman" w:hAnsi="Times New Roman"/>
          <w:sz w:val="22"/>
          <w:szCs w:val="22"/>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5" w:name="page106"/>
    <w:bookmarkEnd w:id="105"/>
    <w:p>
      <w:pPr>
        <w:ind w:left="160" w:right="159"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All references in these Bylaws to the Certificate shall be deemed to refer to the Amended and Restated Certificate of Incorporation of the Corporation, as amended and/or restated and in effect from time to time.</w:t>
      </w:r>
    </w:p>
    <w:p>
      <w:pPr>
        <w:spacing w:after="0" w:line="2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Amendment of Bylaws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60" w:right="259" w:firstLine="639"/>
        <w:spacing w:after="0" w:line="244" w:lineRule="auto"/>
        <w:tabs>
          <w:tab w:leader="none" w:pos="110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by Directors</w:t>
      </w:r>
      <w:r>
        <w:rPr>
          <w:rFonts w:ascii="Times New Roman" w:cs="Times New Roman" w:eastAsia="Times New Roman" w:hAnsi="Times New Roman"/>
          <w:sz w:val="22"/>
          <w:szCs w:val="22"/>
          <w:color w:val="auto"/>
        </w:rPr>
        <w:t>. Except as provided otherwise by law, these Bylaws may be amended or repealed by the Board of Directors by the affirmative vote of a majority of the directors then in office.</w:t>
      </w:r>
    </w:p>
    <w:p>
      <w:pPr>
        <w:spacing w:after="0" w:line="173" w:lineRule="exact"/>
        <w:rPr>
          <w:rFonts w:ascii="Times New Roman" w:cs="Times New Roman" w:eastAsia="Times New Roman" w:hAnsi="Times New Roman"/>
          <w:sz w:val="22"/>
          <w:szCs w:val="22"/>
          <w:color w:val="auto"/>
        </w:rPr>
      </w:pPr>
    </w:p>
    <w:p>
      <w:pPr>
        <w:ind w:left="160" w:right="219" w:firstLine="639"/>
        <w:spacing w:after="0" w:line="234" w:lineRule="auto"/>
        <w:tabs>
          <w:tab w:leader="none" w:pos="111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by Stockholders</w:t>
      </w:r>
      <w:r>
        <w:rPr>
          <w:rFonts w:ascii="Times New Roman" w:cs="Times New Roman" w:eastAsia="Times New Roman" w:hAnsi="Times New Roman"/>
          <w:sz w:val="22"/>
          <w:szCs w:val="22"/>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292" w:lineRule="exact"/>
        <w:rPr>
          <w:sz w:val="20"/>
          <w:szCs w:val="20"/>
          <w:color w:val="auto"/>
        </w:rPr>
      </w:pPr>
    </w:p>
    <w:p>
      <w:pPr>
        <w:ind w:left="160" w:right="19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285" w:lineRule="exact"/>
        <w:rPr>
          <w:sz w:val="20"/>
          <w:szCs w:val="20"/>
          <w:color w:val="auto"/>
        </w:rPr>
      </w:pPr>
    </w:p>
    <w:p>
      <w:pPr>
        <w:ind w:left="160" w:right="279"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Waivers</w:t>
      </w:r>
      <w:r>
        <w:rPr>
          <w:rFonts w:ascii="Times New Roman" w:cs="Times New Roman" w:eastAsia="Times New Roman" w:hAnsi="Times New Roman"/>
          <w:sz w:val="22"/>
          <w:szCs w:val="22"/>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200" w:lineRule="exact"/>
        <w:rPr>
          <w:sz w:val="20"/>
          <w:szCs w:val="20"/>
          <w:color w:val="auto"/>
        </w:rPr>
      </w:pP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ADOPTED: March 12, 2015</w:t>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EFFECTIVE: May 6, 2015</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6" w:name="page107"/>
    <w:bookmarkEnd w:id="106"/>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***Text Omitted and Filed Separately with the Securities and Exchange Commission Confidential Treatment</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Requested Under 17 C.F.R. Sections 200.80(b)(4) and 230.406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245110</wp:posOffset>
            </wp:positionV>
            <wp:extent cx="2701290" cy="420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012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color w:val="auto"/>
        </w:rPr>
        <w:t>Jeffrey Albers</w:t>
      </w:r>
    </w:p>
    <w:p>
      <w:pPr>
        <w:ind w:left="5340"/>
        <w:spacing w:after="0"/>
        <w:rPr>
          <w:sz w:val="20"/>
          <w:szCs w:val="20"/>
          <w:color w:val="auto"/>
        </w:rPr>
      </w:pPr>
      <w:r>
        <w:rPr>
          <w:rFonts w:ascii="Times New Roman" w:cs="Times New Roman" w:eastAsia="Times New Roman" w:hAnsi="Times New Roman"/>
          <w:sz w:val="20"/>
          <w:szCs w:val="20"/>
          <w:color w:val="auto"/>
        </w:rPr>
        <w:t>President, Chief Executive Officer</w:t>
      </w:r>
    </w:p>
    <w:p>
      <w:pPr>
        <w:spacing w:after="0" w:line="1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August 7, 2015</w:t>
      </w:r>
    </w:p>
    <w:p>
      <w:pPr>
        <w:spacing w:after="0" w:line="1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BY HAND DELIVERY</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Kyle D. Kuvalanka</w:t>
      </w:r>
    </w:p>
    <w:p>
      <w:pPr>
        <w:spacing w:after="0" w:line="175" w:lineRule="exact"/>
        <w:rPr>
          <w:sz w:val="20"/>
          <w:szCs w:val="20"/>
          <w:color w:val="auto"/>
        </w:rPr>
      </w:pPr>
    </w:p>
    <w:p>
      <w:pPr>
        <w:ind w:left="160"/>
        <w:spacing w:after="0"/>
        <w:tabs>
          <w:tab w:leader="none" w:pos="1100" w:val="left"/>
        </w:tabs>
        <w:rPr>
          <w:sz w:val="20"/>
          <w:szCs w:val="20"/>
          <w:color w:val="auto"/>
        </w:rPr>
      </w:pPr>
      <w:r>
        <w:rPr>
          <w:rFonts w:ascii="Times New Roman" w:cs="Times New Roman" w:eastAsia="Times New Roman" w:hAnsi="Times New Roman"/>
          <w:sz w:val="22"/>
          <w:szCs w:val="22"/>
          <w:b w:val="1"/>
          <w:bCs w:val="1"/>
          <w:color w:val="auto"/>
        </w:rPr>
        <w:t>Re:</w:t>
      </w:r>
      <w:r>
        <w:rPr>
          <w:sz w:val="20"/>
          <w:szCs w:val="20"/>
          <w:color w:val="auto"/>
        </w:rPr>
        <w:tab/>
      </w:r>
      <w:r>
        <w:rPr>
          <w:rFonts w:ascii="Times New Roman" w:cs="Times New Roman" w:eastAsia="Times New Roman" w:hAnsi="Times New Roman"/>
          <w:sz w:val="22"/>
          <w:szCs w:val="22"/>
          <w:b w:val="1"/>
          <w:bCs w:val="1"/>
          <w:u w:val="single" w:color="auto"/>
          <w:color w:val="auto"/>
        </w:rPr>
        <w:t>Resignation Agreement</w:t>
      </w:r>
    </w:p>
    <w:p>
      <w:pPr>
        <w:spacing w:after="0" w:line="1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Dear Kyle:</w:t>
      </w:r>
    </w:p>
    <w:p>
      <w:pPr>
        <w:spacing w:after="0" w:line="179" w:lineRule="exact"/>
        <w:rPr>
          <w:sz w:val="20"/>
          <w:szCs w:val="20"/>
          <w:color w:val="auto"/>
        </w:rPr>
      </w:pPr>
    </w:p>
    <w:p>
      <w:pPr>
        <w:ind w:left="160" w:right="299"/>
        <w:spacing w:after="0" w:line="217" w:lineRule="auto"/>
        <w:rPr>
          <w:sz w:val="20"/>
          <w:szCs w:val="20"/>
          <w:color w:val="auto"/>
        </w:rPr>
      </w:pPr>
      <w:r>
        <w:rPr>
          <w:rFonts w:ascii="Times New Roman" w:cs="Times New Roman" w:eastAsia="Times New Roman" w:hAnsi="Times New Roman"/>
          <w:sz w:val="22"/>
          <w:szCs w:val="22"/>
          <w:color w:val="auto"/>
        </w:rPr>
        <w:t>This document confirms your voluntary resignation from your employment with Blueprint Medicines Corporation (“Company”). Although you are not entitled to severance pay or benefits in connection with your resignation, the Company’s Board of Directors (the “Board”) sincerely appreciates your contributions to the Company and would like to make this transition as smooth as possible. With that in mind, you and the Company agree as follows:</w:t>
      </w:r>
    </w:p>
    <w:p>
      <w:pPr>
        <w:spacing w:after="0" w:line="149" w:lineRule="exact"/>
        <w:rPr>
          <w:sz w:val="20"/>
          <w:szCs w:val="20"/>
          <w:color w:val="auto"/>
        </w:rPr>
      </w:pPr>
    </w:p>
    <w:p>
      <w:pPr>
        <w:ind w:left="960" w:hanging="809"/>
        <w:spacing w:after="0"/>
        <w:tabs>
          <w:tab w:leader="none" w:pos="96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Transition Period</w:t>
      </w:r>
    </w:p>
    <w:p>
      <w:pPr>
        <w:spacing w:after="0" w:line="183" w:lineRule="exact"/>
        <w:rPr>
          <w:sz w:val="20"/>
          <w:szCs w:val="20"/>
          <w:color w:val="auto"/>
        </w:rPr>
      </w:pPr>
    </w:p>
    <w:p>
      <w:pPr>
        <w:ind w:left="160" w:right="199"/>
        <w:spacing w:after="0" w:line="211" w:lineRule="auto"/>
        <w:rPr>
          <w:sz w:val="20"/>
          <w:szCs w:val="20"/>
          <w:color w:val="auto"/>
        </w:rPr>
      </w:pPr>
      <w:r>
        <w:rPr>
          <w:rFonts w:ascii="Times New Roman" w:cs="Times New Roman" w:eastAsia="Times New Roman" w:hAnsi="Times New Roman"/>
          <w:sz w:val="22"/>
          <w:szCs w:val="22"/>
          <w:color w:val="auto"/>
        </w:rPr>
        <w:t>You and the Company agree that September 18, 2015 shall be the “Resignation Date.” The time period between August 11, 2015 and the Resignation Date shall be referred to as the “Transition Period.” You will continue to receive your salary and benefits and you will continue to vest in your outstanding equity awards through the Resignation Date. During the Transition Period, you will no longer serve as the Company’s Chief Business Officer, Treasurer, or Principal Financial and Accounting Officer, but instead, you will serve as a Senior Advisor and will perform duties and responsibilities associated with transitioning matters to the extent requested by the Board or members of the Company’s senior management team (the “Transitional Duties”). For the avoidance of doubt, nothing herein shall prevent you from rendering part-time consulting services to Syros Pharmaceuticals, Inc. during the Transition Period.</w:t>
      </w:r>
    </w:p>
    <w:p>
      <w:pPr>
        <w:spacing w:after="0" w:line="149" w:lineRule="exact"/>
        <w:rPr>
          <w:sz w:val="20"/>
          <w:szCs w:val="20"/>
          <w:color w:val="auto"/>
        </w:rPr>
      </w:pPr>
    </w:p>
    <w:p>
      <w:pPr>
        <w:ind w:left="960" w:hanging="809"/>
        <w:spacing w:after="0"/>
        <w:tabs>
          <w:tab w:leader="none" w:pos="9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Ending of Employment</w:t>
      </w:r>
    </w:p>
    <w:p>
      <w:pPr>
        <w:spacing w:after="0" w:line="183" w:lineRule="exact"/>
        <w:rPr>
          <w:sz w:val="20"/>
          <w:szCs w:val="20"/>
          <w:color w:val="auto"/>
        </w:rPr>
      </w:pPr>
    </w:p>
    <w:p>
      <w:pPr>
        <w:ind w:left="160" w:right="159"/>
        <w:spacing w:after="0" w:line="214" w:lineRule="auto"/>
        <w:rPr>
          <w:sz w:val="20"/>
          <w:szCs w:val="20"/>
          <w:color w:val="auto"/>
        </w:rPr>
      </w:pPr>
      <w:r>
        <w:rPr>
          <w:rFonts w:ascii="Times New Roman" w:cs="Times New Roman" w:eastAsia="Times New Roman" w:hAnsi="Times New Roman"/>
          <w:sz w:val="22"/>
          <w:szCs w:val="22"/>
          <w:color w:val="auto"/>
        </w:rPr>
        <w:t>In connection with the ending of your employment: (i) the Company will pay your salary through the Resignation Date; (ii) the Company shall reimburse you for any outstanding, reasonable business expenses that you incur on the Company’s behalf through the Resignation Date (provided the Company receives appropriate documentation in accordance with the Company’s reimbursement policies); (iii) your eligibility to participate in any employee benefit plans and programs of the Company will cease on the Resignation Date in accordance with the terms and conditions of those plans; and (iv) your outstanding equity awards will vest through</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215 First Street, Cambridge MA 02142  p: 617-374-7580  f: 617-374-7588  www.blueprintmedicines.com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189230</wp:posOffset>
            </wp:positionV>
            <wp:extent cx="554863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7" w:name="page108"/>
    <w:bookmarkEnd w:id="107"/>
    <w:p>
      <w:pPr>
        <w:ind w:left="160"/>
        <w:spacing w:after="0"/>
        <w:rPr>
          <w:sz w:val="20"/>
          <w:szCs w:val="20"/>
          <w:color w:val="auto"/>
        </w:rPr>
      </w:pPr>
      <w:r>
        <w:rPr>
          <w:rFonts w:ascii="Times New Roman" w:cs="Times New Roman" w:eastAsia="Times New Roman" w:hAnsi="Times New Roman"/>
          <w:sz w:val="22"/>
          <w:szCs w:val="22"/>
          <w:color w:val="auto"/>
        </w:rPr>
        <w:t>Kyle Kuvalanka</w:t>
      </w:r>
    </w:p>
    <w:p>
      <w:pPr>
        <w:ind w:left="160"/>
        <w:spacing w:after="0" w:line="204" w:lineRule="auto"/>
        <w:rPr>
          <w:sz w:val="20"/>
          <w:szCs w:val="20"/>
          <w:color w:val="auto"/>
        </w:rPr>
      </w:pPr>
      <w:r>
        <w:rPr>
          <w:rFonts w:ascii="Times New Roman" w:cs="Times New Roman" w:eastAsia="Times New Roman" w:hAnsi="Times New Roman"/>
          <w:sz w:val="22"/>
          <w:szCs w:val="22"/>
          <w:color w:val="auto"/>
        </w:rPr>
        <w:t>August 7, 2015</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Page 2</w:t>
      </w:r>
    </w:p>
    <w:p>
      <w:pPr>
        <w:spacing w:after="0" w:line="128" w:lineRule="exact"/>
        <w:rPr>
          <w:sz w:val="20"/>
          <w:szCs w:val="20"/>
          <w:color w:val="auto"/>
        </w:rPr>
      </w:pPr>
    </w:p>
    <w:p>
      <w:pPr>
        <w:ind w:left="160" w:right="179"/>
        <w:spacing w:after="0" w:line="236" w:lineRule="auto"/>
        <w:rPr>
          <w:sz w:val="20"/>
          <w:szCs w:val="20"/>
          <w:color w:val="auto"/>
        </w:rPr>
      </w:pPr>
      <w:r>
        <w:rPr>
          <w:rFonts w:ascii="Times New Roman" w:cs="Times New Roman" w:eastAsia="Times New Roman" w:hAnsi="Times New Roman"/>
          <w:sz w:val="22"/>
          <w:szCs w:val="22"/>
          <w:color w:val="auto"/>
        </w:rPr>
        <w:t>the Resignation Date and the terms of your equity awards shall be governed by the Company’s stock option plan and associated award agreements (collectively the “Equity Documents”).</w:t>
      </w:r>
    </w:p>
    <w:p>
      <w:pPr>
        <w:spacing w:after="0" w:line="147" w:lineRule="exact"/>
        <w:rPr>
          <w:sz w:val="20"/>
          <w:szCs w:val="20"/>
          <w:color w:val="auto"/>
        </w:rPr>
      </w:pPr>
    </w:p>
    <w:p>
      <w:pPr>
        <w:ind w:left="960" w:hanging="809"/>
        <w:spacing w:after="0"/>
        <w:tabs>
          <w:tab w:leader="none" w:pos="96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Resignation from All Positions</w:t>
      </w:r>
    </w:p>
    <w:p>
      <w:pPr>
        <w:spacing w:after="0" w:line="183" w:lineRule="exact"/>
        <w:rPr>
          <w:sz w:val="20"/>
          <w:szCs w:val="20"/>
          <w:color w:val="auto"/>
        </w:rPr>
      </w:pPr>
    </w:p>
    <w:p>
      <w:pPr>
        <w:ind w:left="160" w:right="279"/>
        <w:spacing w:after="0" w:line="220" w:lineRule="auto"/>
        <w:rPr>
          <w:sz w:val="20"/>
          <w:szCs w:val="20"/>
          <w:color w:val="auto"/>
        </w:rPr>
      </w:pPr>
      <w:r>
        <w:rPr>
          <w:rFonts w:ascii="Times New Roman" w:cs="Times New Roman" w:eastAsia="Times New Roman" w:hAnsi="Times New Roman"/>
          <w:sz w:val="22"/>
          <w:szCs w:val="22"/>
          <w:color w:val="auto"/>
        </w:rPr>
        <w:t>To the extent the ending of your relationship with the Company or any Company affiliate is not effectuated by your termination of employment, you hereby resign from all other affiliations that you have with the Company or any of its affiliates, effective on the Resignation Date. You agree to execute any reasonably requested resignation letters to confirm any such resignations.</w:t>
      </w:r>
    </w:p>
    <w:p>
      <w:pPr>
        <w:spacing w:after="0" w:line="149" w:lineRule="exact"/>
        <w:rPr>
          <w:sz w:val="20"/>
          <w:szCs w:val="20"/>
          <w:color w:val="auto"/>
        </w:rPr>
      </w:pPr>
    </w:p>
    <w:p>
      <w:pPr>
        <w:ind w:left="960" w:hanging="809"/>
        <w:spacing w:after="0"/>
        <w:tabs>
          <w:tab w:leader="none" w:pos="9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Lump Sum Payment; Restrictive Covenant Agreement</w:t>
      </w:r>
    </w:p>
    <w:p>
      <w:pPr>
        <w:spacing w:after="0" w:line="183" w:lineRule="exact"/>
        <w:rPr>
          <w:sz w:val="20"/>
          <w:szCs w:val="20"/>
          <w:color w:val="auto"/>
        </w:rPr>
      </w:pPr>
    </w:p>
    <w:p>
      <w:pPr>
        <w:ind w:left="160" w:right="259"/>
        <w:spacing w:after="0" w:line="211" w:lineRule="auto"/>
        <w:rPr>
          <w:sz w:val="20"/>
          <w:szCs w:val="20"/>
          <w:color w:val="auto"/>
        </w:rPr>
      </w:pPr>
      <w:r>
        <w:rPr>
          <w:rFonts w:ascii="Times New Roman" w:cs="Times New Roman" w:eastAsia="Times New Roman" w:hAnsi="Times New Roman"/>
          <w:sz w:val="22"/>
          <w:szCs w:val="22"/>
          <w:color w:val="auto"/>
        </w:rPr>
        <w:t>If you enter into this and comply with this Agreement and you comply with the Employee Non-Competition, Non –Solicitation, Confidentiality and Assignment Agreement you entered into with the Company dated September 16, 2013 (the “Restrictive Covenant Agreement”), the terms of which are incorporated by reference herein, you shall be entitled to a lump sum payment in the amount of $119,831.25, less applicable deductions and withholdings (the “Lump Sum Payment”). The Lump Sum Payment shall be in lieu of any bonus you may have received under the Company’s 2015 Bonus Award Program or otherwise and shall be payable on the Company’s next regular payroll date after the later of: (i) the Resignation Date, or (ii) the Effective Date of this Agreement. Pursuant to Section 8 of the Restrictive Covenant Agreement, you and the Company agree that the following is the “Restricted List”:</w:t>
      </w:r>
    </w:p>
    <w:p>
      <w:pPr>
        <w:spacing w:after="0" w:line="153" w:lineRule="exact"/>
        <w:rPr>
          <w:sz w:val="20"/>
          <w:szCs w:val="20"/>
          <w:color w:val="auto"/>
        </w:rPr>
      </w:pPr>
    </w:p>
    <w:p>
      <w:pPr>
        <w:ind w:left="4040" w:hanging="1296"/>
        <w:spacing w:after="0"/>
        <w:tabs>
          <w:tab w:leader="none" w:pos="404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Kinases</w:t>
      </w:r>
    </w:p>
    <w:p>
      <w:pPr>
        <w:spacing w:after="0" w:line="17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Exon 17 Mutant KIT; Mutant PDGFRα; FGFR4; […***…].</w:t>
      </w:r>
    </w:p>
    <w:p>
      <w:pPr>
        <w:spacing w:after="0" w:line="395" w:lineRule="exact"/>
        <w:rPr>
          <w:sz w:val="20"/>
          <w:szCs w:val="20"/>
          <w:color w:val="auto"/>
        </w:rPr>
      </w:pPr>
    </w:p>
    <w:p>
      <w:pPr>
        <w:ind w:left="4040" w:hanging="1296"/>
        <w:spacing w:after="0"/>
        <w:tabs>
          <w:tab w:leader="none" w:pos="40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Products</w:t>
      </w:r>
    </w:p>
    <w:p>
      <w:pPr>
        <w:spacing w:after="0" w:line="179" w:lineRule="exact"/>
        <w:rPr>
          <w:sz w:val="20"/>
          <w:szCs w:val="20"/>
          <w:color w:val="auto"/>
        </w:rPr>
      </w:pPr>
    </w:p>
    <w:p>
      <w:pPr>
        <w:ind w:left="2740" w:right="959"/>
        <w:spacing w:after="0" w:line="236" w:lineRule="auto"/>
        <w:rPr>
          <w:sz w:val="20"/>
          <w:szCs w:val="20"/>
          <w:color w:val="auto"/>
        </w:rPr>
      </w:pPr>
      <w:r>
        <w:rPr>
          <w:rFonts w:ascii="Times New Roman" w:cs="Times New Roman" w:eastAsia="Times New Roman" w:hAnsi="Times New Roman"/>
          <w:sz w:val="22"/>
          <w:szCs w:val="22"/>
          <w:color w:val="auto"/>
        </w:rPr>
        <w:t>Small molecule inhibitors of Exon 17 mutants of KIT, mutant PDGFRα, FGFR4, […***…]</w:t>
      </w:r>
    </w:p>
    <w:p>
      <w:pPr>
        <w:spacing w:after="0" w:line="15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Annotated library of selective kinase inhibitors</w:t>
      </w:r>
    </w:p>
    <w:p>
      <w:pPr>
        <w:spacing w:after="0" w:line="179" w:lineRule="exact"/>
        <w:rPr>
          <w:sz w:val="20"/>
          <w:szCs w:val="20"/>
          <w:color w:val="auto"/>
        </w:rPr>
      </w:pPr>
    </w:p>
    <w:p>
      <w:pPr>
        <w:ind w:left="2740" w:right="219"/>
        <w:spacing w:after="0" w:line="226" w:lineRule="auto"/>
        <w:rPr>
          <w:sz w:val="20"/>
          <w:szCs w:val="20"/>
          <w:color w:val="auto"/>
        </w:rPr>
      </w:pPr>
      <w:r>
        <w:rPr>
          <w:rFonts w:ascii="Times New Roman" w:cs="Times New Roman" w:eastAsia="Times New Roman" w:hAnsi="Times New Roman"/>
          <w:sz w:val="22"/>
          <w:szCs w:val="22"/>
          <w:color w:val="auto"/>
        </w:rPr>
        <w:t>Any treatments for KIT D816V driven systemic mastocytosis, [… ***…] gastrointestinal stromal tumors (GIST), FGF19/FGFR4 driven hepatoceullular cancer (HCC), […***…].</w:t>
      </w:r>
    </w:p>
    <w:p>
      <w:pPr>
        <w:spacing w:after="0" w:line="150" w:lineRule="exact"/>
        <w:rPr>
          <w:sz w:val="20"/>
          <w:szCs w:val="20"/>
          <w:color w:val="auto"/>
        </w:rPr>
      </w:pPr>
    </w:p>
    <w:p>
      <w:pPr>
        <w:ind w:left="4040" w:hanging="1296"/>
        <w:spacing w:after="0"/>
        <w:tabs>
          <w:tab w:leader="none" w:pos="40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Not Applicable.</w:t>
      </w:r>
    </w:p>
    <w:p>
      <w:pPr>
        <w:spacing w:after="0" w:line="175" w:lineRule="exact"/>
        <w:rPr>
          <w:sz w:val="20"/>
          <w:szCs w:val="20"/>
          <w:color w:val="auto"/>
        </w:rPr>
      </w:pPr>
    </w:p>
    <w:p>
      <w:pPr>
        <w:ind w:left="960" w:hanging="809"/>
        <w:spacing w:after="0"/>
        <w:tabs>
          <w:tab w:leader="none" w:pos="9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Release of Claims</w:t>
      </w:r>
    </w:p>
    <w:p>
      <w:pPr>
        <w:spacing w:after="0" w:line="183" w:lineRule="exact"/>
        <w:rPr>
          <w:sz w:val="20"/>
          <w:szCs w:val="20"/>
          <w:color w:val="auto"/>
        </w:rPr>
      </w:pPr>
    </w:p>
    <w:p>
      <w:pPr>
        <w:ind w:left="160" w:right="499"/>
        <w:spacing w:after="0" w:line="236" w:lineRule="auto"/>
        <w:rPr>
          <w:sz w:val="20"/>
          <w:szCs w:val="20"/>
          <w:color w:val="auto"/>
        </w:rPr>
      </w:pPr>
      <w:r>
        <w:rPr>
          <w:rFonts w:ascii="Times New Roman" w:cs="Times New Roman" w:eastAsia="Times New Roman" w:hAnsi="Times New Roman"/>
          <w:sz w:val="22"/>
          <w:szCs w:val="22"/>
          <w:color w:val="auto"/>
        </w:rPr>
        <w:t>In consideration of, among other things, the Lump Sum Payment to which you acknowledge you would not otherwise be entitled, you irrevocably and unconditionally release and forever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121920</wp:posOffset>
            </wp:positionV>
            <wp:extent cx="554863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08" w:name="page109"/>
    <w:bookmarkEnd w:id="108"/>
    <w:p>
      <w:pPr>
        <w:ind w:left="160"/>
        <w:spacing w:after="0"/>
        <w:rPr>
          <w:sz w:val="20"/>
          <w:szCs w:val="20"/>
          <w:color w:val="auto"/>
        </w:rPr>
      </w:pPr>
      <w:r>
        <w:rPr>
          <w:rFonts w:ascii="Times New Roman" w:cs="Times New Roman" w:eastAsia="Times New Roman" w:hAnsi="Times New Roman"/>
          <w:sz w:val="22"/>
          <w:szCs w:val="22"/>
          <w:color w:val="auto"/>
        </w:rPr>
        <w:t>Kyle Kuvalanka</w:t>
      </w:r>
    </w:p>
    <w:p>
      <w:pPr>
        <w:ind w:left="160"/>
        <w:spacing w:after="0" w:line="204" w:lineRule="auto"/>
        <w:rPr>
          <w:sz w:val="20"/>
          <w:szCs w:val="20"/>
          <w:color w:val="auto"/>
        </w:rPr>
      </w:pPr>
      <w:r>
        <w:rPr>
          <w:rFonts w:ascii="Times New Roman" w:cs="Times New Roman" w:eastAsia="Times New Roman" w:hAnsi="Times New Roman"/>
          <w:sz w:val="22"/>
          <w:szCs w:val="22"/>
          <w:color w:val="auto"/>
        </w:rPr>
        <w:t>August 7, 2015</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Page 3</w:t>
      </w:r>
    </w:p>
    <w:p>
      <w:pPr>
        <w:spacing w:after="0" w:line="128" w:lineRule="exact"/>
        <w:rPr>
          <w:sz w:val="20"/>
          <w:szCs w:val="20"/>
          <w:color w:val="auto"/>
        </w:rPr>
      </w:pPr>
    </w:p>
    <w:p>
      <w:pPr>
        <w:ind w:left="160" w:right="159"/>
        <w:spacing w:after="0" w:line="207" w:lineRule="auto"/>
        <w:rPr>
          <w:sz w:val="20"/>
          <w:szCs w:val="20"/>
          <w:color w:val="auto"/>
        </w:rPr>
      </w:pPr>
      <w:r>
        <w:rPr>
          <w:rFonts w:ascii="Times New Roman" w:cs="Times New Roman" w:eastAsia="Times New Roman" w:hAnsi="Times New Roman"/>
          <w:sz w:val="22"/>
          <w:szCs w:val="22"/>
          <w:color w:val="auto"/>
        </w:rPr>
        <w:t>discharge the Company, all of its affiliated and related entities, its and their respective predecessors, successors and assigns, its and their respective employee benefit plans and the fiduciaries of such plans, and the current, future and former managers, members, partners, officers, directors, shareholders, employees, attorneys, accountants, and agents of each of the foregoing in their official and personal capacities (collectively referred to as the “Company Releasees”) generally from all claims, demands, debts, damages and liabilities of every name and nature, known or unknown (“Claims”) that, as of the date when you sign this Agreement, you have ever had, now claim to have or ever claimed to have had against any or all of the Company Releasees. This release includes, without limitation, the complete release of all Claims of or for: breach of express or implied contract; wrongful termination of employment whether in contract or tort; intentional, reckless, or negligent infliction of emotional distress; breach of any express or implied covenant of employment, including the covenant of good faith and fair dealing, whether prospective or existing; deceit or misrepresentation; discrimination or retaliation or harassment (including without limitation, quid pro quo and hostile work environment harassment) under state, federal, or municipal law (including, without implication of limitation, under Massachusetts General Law Ch. 151B, Title VII of the Civil Rights Act of 1964, the Age Discrimination in Employment Act (“ADEA”), the Americans with Disabilities Act of 1990, and the Family and Medical Leave Act); defamation or damage to reputation; reinstatement; punitive or emotional distress damages; equity compensation or other forms of compensation; and attorney’s fees and costs for wages, back or front pay, bonuses, severance pay, incentive compensation, commissions, stock, stock options, vacation pay or any other compensation or benefits, either under the Massachusetts Wage Act, M.G.L. c. 149, § 148-150C, or otherwise.</w:t>
      </w:r>
    </w:p>
    <w:p>
      <w:pPr>
        <w:spacing w:after="0" w:line="166" w:lineRule="exact"/>
        <w:rPr>
          <w:sz w:val="20"/>
          <w:szCs w:val="20"/>
          <w:color w:val="auto"/>
        </w:rPr>
      </w:pPr>
    </w:p>
    <w:p>
      <w:pPr>
        <w:ind w:left="960" w:hanging="809"/>
        <w:spacing w:after="0"/>
        <w:tabs>
          <w:tab w:leader="none" w:pos="96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Return of Property</w:t>
      </w:r>
    </w:p>
    <w:p>
      <w:pPr>
        <w:spacing w:after="0" w:line="183" w:lineRule="exact"/>
        <w:rPr>
          <w:sz w:val="20"/>
          <w:szCs w:val="20"/>
          <w:color w:val="auto"/>
        </w:rPr>
      </w:pPr>
    </w:p>
    <w:p>
      <w:pPr>
        <w:ind w:left="160" w:right="139"/>
        <w:spacing w:after="0" w:line="221" w:lineRule="auto"/>
        <w:rPr>
          <w:sz w:val="20"/>
          <w:szCs w:val="20"/>
          <w:color w:val="auto"/>
        </w:rPr>
      </w:pPr>
      <w:r>
        <w:rPr>
          <w:rFonts w:ascii="Times New Roman" w:cs="Times New Roman" w:eastAsia="Times New Roman" w:hAnsi="Times New Roman"/>
          <w:sz w:val="21"/>
          <w:szCs w:val="21"/>
          <w:color w:val="auto"/>
        </w:rPr>
        <w:t>Upon request by the Company but, in any event on or before the Resignation Date, you will return to the Company all property of the Company, including, without limitation, keys and access cards, computer equipment, software licensed to the Company, files and any documents (including computerized data and any copies) containing information concerning the Company, its business or its business relationships (in the latter two cases, actual or prospective). You also commit that, upon request by the Company you will delete and finally purge any duplicates of files or documents that may contain the Company’s information from any non-Company computer, Smartphone device or other device that remains your property after the Resignation Date, unless expressly authorized to keep duplicates of some of these materials. In any event, if you later discover that you continue to retain any such property, you shall return it to the Company immediately.</w:t>
      </w:r>
    </w:p>
    <w:p>
      <w:pPr>
        <w:spacing w:after="0" w:line="149" w:lineRule="exact"/>
        <w:rPr>
          <w:sz w:val="20"/>
          <w:szCs w:val="20"/>
          <w:color w:val="auto"/>
        </w:rPr>
      </w:pPr>
    </w:p>
    <w:p>
      <w:pPr>
        <w:ind w:left="960" w:hanging="809"/>
        <w:spacing w:after="0"/>
        <w:tabs>
          <w:tab w:leader="none" w:pos="9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Cooperation</w:t>
      </w:r>
    </w:p>
    <w:p>
      <w:pPr>
        <w:spacing w:after="0" w:line="183" w:lineRule="exact"/>
        <w:rPr>
          <w:sz w:val="20"/>
          <w:szCs w:val="20"/>
          <w:color w:val="auto"/>
        </w:rPr>
      </w:pPr>
    </w:p>
    <w:p>
      <w:pPr>
        <w:ind w:left="160" w:right="339"/>
        <w:spacing w:after="0" w:line="215" w:lineRule="auto"/>
        <w:rPr>
          <w:sz w:val="20"/>
          <w:szCs w:val="20"/>
          <w:color w:val="auto"/>
        </w:rPr>
      </w:pPr>
      <w:r>
        <w:rPr>
          <w:rFonts w:ascii="Times New Roman" w:cs="Times New Roman" w:eastAsia="Times New Roman" w:hAnsi="Times New Roman"/>
          <w:sz w:val="22"/>
          <w:szCs w:val="22"/>
          <w:color w:val="auto"/>
        </w:rPr>
        <w:t>You agree to cooperate reasonably with the Company, including with respect to tasks associated with the Transitional Duties. Further, you agree to cooperate reasonably with the Company (including its outside counsel) in connection with any potential or actual litigation about which the Company believes you may have knowledge or information. You agree to appear without the necessity of a subpoena to testify truthfully in any legal proceedings in which the Company calls you as a witness, and your expenses in connection therewith shall be 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123190</wp:posOffset>
            </wp:positionV>
            <wp:extent cx="554863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09" w:name="page110"/>
    <w:bookmarkEnd w:id="109"/>
    <w:p>
      <w:pPr>
        <w:ind w:left="160"/>
        <w:spacing w:after="0"/>
        <w:rPr>
          <w:sz w:val="20"/>
          <w:szCs w:val="20"/>
          <w:color w:val="auto"/>
        </w:rPr>
      </w:pPr>
      <w:r>
        <w:rPr>
          <w:rFonts w:ascii="Times New Roman" w:cs="Times New Roman" w:eastAsia="Times New Roman" w:hAnsi="Times New Roman"/>
          <w:sz w:val="22"/>
          <w:szCs w:val="22"/>
          <w:color w:val="auto"/>
        </w:rPr>
        <w:t>Kyle Kuvalanka</w:t>
      </w:r>
    </w:p>
    <w:p>
      <w:pPr>
        <w:ind w:left="160"/>
        <w:spacing w:after="0" w:line="204" w:lineRule="auto"/>
        <w:rPr>
          <w:sz w:val="20"/>
          <w:szCs w:val="20"/>
          <w:color w:val="auto"/>
        </w:rPr>
      </w:pPr>
      <w:r>
        <w:rPr>
          <w:rFonts w:ascii="Times New Roman" w:cs="Times New Roman" w:eastAsia="Times New Roman" w:hAnsi="Times New Roman"/>
          <w:sz w:val="22"/>
          <w:szCs w:val="22"/>
          <w:color w:val="auto"/>
        </w:rPr>
        <w:t>August 7, 2015</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Page 4</w:t>
      </w:r>
    </w:p>
    <w:p>
      <w:pPr>
        <w:spacing w:after="0" w:line="340" w:lineRule="exact"/>
        <w:rPr>
          <w:sz w:val="20"/>
          <w:szCs w:val="20"/>
          <w:color w:val="auto"/>
        </w:rPr>
      </w:pPr>
    </w:p>
    <w:p>
      <w:pPr>
        <w:ind w:left="960" w:hanging="809"/>
        <w:spacing w:after="0"/>
        <w:tabs>
          <w:tab w:leader="none" w:pos="96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Nonadmission</w:t>
      </w:r>
    </w:p>
    <w:p>
      <w:pPr>
        <w:spacing w:after="0" w:line="183" w:lineRule="exact"/>
        <w:rPr>
          <w:sz w:val="20"/>
          <w:szCs w:val="20"/>
          <w:color w:val="auto"/>
        </w:rPr>
      </w:pPr>
    </w:p>
    <w:p>
      <w:pPr>
        <w:ind w:left="160" w:right="199"/>
        <w:spacing w:after="0" w:line="220" w:lineRule="auto"/>
        <w:rPr>
          <w:sz w:val="20"/>
          <w:szCs w:val="20"/>
          <w:color w:val="auto"/>
        </w:rPr>
      </w:pPr>
      <w:r>
        <w:rPr>
          <w:rFonts w:ascii="Times New Roman" w:cs="Times New Roman" w:eastAsia="Times New Roman" w:hAnsi="Times New Roman"/>
          <w:sz w:val="22"/>
          <w:szCs w:val="22"/>
          <w:color w:val="auto"/>
        </w:rPr>
        <w:t>This Agreement shall not be construed as an admission of any liability by the Company to you or by you to it, or of any act of wrongdoing by either the Company or you. The Company specifically disclaims that it or any of its representatives has engaged in any wrongdoing or has taken any action that would be the basis for any finding of liability.</w:t>
      </w:r>
    </w:p>
    <w:p>
      <w:pPr>
        <w:spacing w:after="0" w:line="149" w:lineRule="exact"/>
        <w:rPr>
          <w:sz w:val="20"/>
          <w:szCs w:val="20"/>
          <w:color w:val="auto"/>
        </w:rPr>
      </w:pPr>
    </w:p>
    <w:p>
      <w:pPr>
        <w:ind w:left="960" w:hanging="809"/>
        <w:spacing w:after="0"/>
        <w:tabs>
          <w:tab w:leader="none" w:pos="960" w:val="left"/>
        </w:tabs>
        <w:numPr>
          <w:ilvl w:val="0"/>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w:t>
      </w:r>
    </w:p>
    <w:p>
      <w:pPr>
        <w:spacing w:after="0" w:line="183" w:lineRule="exact"/>
        <w:rPr>
          <w:sz w:val="20"/>
          <w:szCs w:val="20"/>
          <w:color w:val="auto"/>
        </w:rPr>
      </w:pPr>
    </w:p>
    <w:p>
      <w:pPr>
        <w:ind w:left="160" w:right="219"/>
        <w:spacing w:after="0" w:line="217" w:lineRule="auto"/>
        <w:rPr>
          <w:sz w:val="20"/>
          <w:szCs w:val="20"/>
          <w:color w:val="auto"/>
        </w:rPr>
      </w:pPr>
      <w:r>
        <w:rPr>
          <w:rFonts w:ascii="Times New Roman" w:cs="Times New Roman" w:eastAsia="Times New Roman" w:hAnsi="Times New Roman"/>
          <w:sz w:val="22"/>
          <w:szCs w:val="22"/>
          <w:color w:val="auto"/>
        </w:rPr>
        <w:t>All payments set forth in this Agreement shall be subject to all applicable federal, state and/or local withholding and/or payroll taxes, and the Company may withhold from any amounts payable to you (including any amounts payable pursuant to this Agreement) in order to comply with such withholding obligations. Nothing herein shall be construed to mean that the Company shall compensate you for tax related payments or liabilities.</w:t>
      </w:r>
    </w:p>
    <w:p>
      <w:pPr>
        <w:spacing w:after="0" w:line="149" w:lineRule="exact"/>
        <w:rPr>
          <w:sz w:val="20"/>
          <w:szCs w:val="20"/>
          <w:color w:val="auto"/>
        </w:rPr>
      </w:pPr>
    </w:p>
    <w:p>
      <w:pPr>
        <w:ind w:left="1060" w:hanging="909"/>
        <w:spacing w:after="0"/>
        <w:tabs>
          <w:tab w:leader="none" w:pos="106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Legally Binding; Advice of Counsel</w:t>
      </w:r>
    </w:p>
    <w:p>
      <w:pPr>
        <w:spacing w:after="0" w:line="183" w:lineRule="exact"/>
        <w:rPr>
          <w:sz w:val="20"/>
          <w:szCs w:val="20"/>
          <w:color w:val="auto"/>
        </w:rPr>
      </w:pPr>
    </w:p>
    <w:p>
      <w:pPr>
        <w:ind w:left="160" w:right="139"/>
        <w:spacing w:after="0" w:line="220" w:lineRule="auto"/>
        <w:rPr>
          <w:sz w:val="20"/>
          <w:szCs w:val="20"/>
          <w:color w:val="auto"/>
        </w:rPr>
      </w:pPr>
      <w:r>
        <w:rPr>
          <w:rFonts w:ascii="Times New Roman" w:cs="Times New Roman" w:eastAsia="Times New Roman" w:hAnsi="Times New Roman"/>
          <w:sz w:val="22"/>
          <w:szCs w:val="22"/>
          <w:color w:val="auto"/>
        </w:rPr>
        <w:t>This Agreement is a legally binding document, and your signature will commit you to its terms. You acknowledge that you have it carefully read and fully understand all of the provisions of this Agreement, that the Company has advised you to consult with counsel prior to entering into this Agreement, and that you are voluntarily entering into this Agreement.</w:t>
      </w:r>
    </w:p>
    <w:p>
      <w:pPr>
        <w:spacing w:after="0" w:line="149" w:lineRule="exact"/>
        <w:rPr>
          <w:sz w:val="20"/>
          <w:szCs w:val="20"/>
          <w:color w:val="auto"/>
        </w:rPr>
      </w:pPr>
    </w:p>
    <w:p>
      <w:pPr>
        <w:ind w:left="1060" w:hanging="909"/>
        <w:spacing w:after="0"/>
        <w:tabs>
          <w:tab w:leader="none" w:pos="10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Absence of Reliance</w:t>
      </w:r>
    </w:p>
    <w:p>
      <w:pPr>
        <w:spacing w:after="0" w:line="183" w:lineRule="exact"/>
        <w:rPr>
          <w:sz w:val="20"/>
          <w:szCs w:val="20"/>
          <w:color w:val="auto"/>
        </w:rPr>
      </w:pPr>
    </w:p>
    <w:p>
      <w:pPr>
        <w:ind w:left="160" w:right="159"/>
        <w:spacing w:after="0" w:line="226" w:lineRule="auto"/>
        <w:rPr>
          <w:sz w:val="20"/>
          <w:szCs w:val="20"/>
          <w:color w:val="auto"/>
        </w:rPr>
      </w:pPr>
      <w:r>
        <w:rPr>
          <w:rFonts w:ascii="Times New Roman" w:cs="Times New Roman" w:eastAsia="Times New Roman" w:hAnsi="Times New Roman"/>
          <w:sz w:val="22"/>
          <w:szCs w:val="22"/>
          <w:color w:val="auto"/>
        </w:rPr>
        <w:t>In signing this Agreement, you are not relying upon any promises or representations made by anyone at or on behalf of the Company except those promises and representations as provided in this Agreement.</w:t>
      </w:r>
    </w:p>
    <w:p>
      <w:pPr>
        <w:spacing w:after="0" w:line="146" w:lineRule="exact"/>
        <w:rPr>
          <w:sz w:val="20"/>
          <w:szCs w:val="20"/>
          <w:color w:val="auto"/>
        </w:rPr>
      </w:pPr>
    </w:p>
    <w:p>
      <w:pPr>
        <w:ind w:left="1060" w:hanging="909"/>
        <w:spacing w:after="0"/>
        <w:tabs>
          <w:tab w:leader="none" w:pos="1060"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or Amendment</w:t>
      </w:r>
    </w:p>
    <w:p>
      <w:pPr>
        <w:spacing w:after="0" w:line="183" w:lineRule="exact"/>
        <w:rPr>
          <w:sz w:val="20"/>
          <w:szCs w:val="20"/>
          <w:color w:val="auto"/>
        </w:rPr>
      </w:pPr>
    </w:p>
    <w:p>
      <w:pPr>
        <w:ind w:left="160" w:right="199"/>
        <w:spacing w:after="0" w:line="214" w:lineRule="auto"/>
        <w:rPr>
          <w:sz w:val="20"/>
          <w:szCs w:val="20"/>
          <w:color w:val="auto"/>
        </w:rPr>
      </w:pPr>
      <w:r>
        <w:rPr>
          <w:rFonts w:ascii="Times New Roman" w:cs="Times New Roman" w:eastAsia="Times New Roman" w:hAnsi="Times New Roman"/>
          <w:sz w:val="22"/>
          <w:szCs w:val="22"/>
          <w:color w:val="auto"/>
        </w:rPr>
        <w:t>No waiver of any provision of this Agreement (including the Restrictive Covenant Agreement)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No amendment to any provision of this Agreement shall be effective unless made in writing and signed by all of the parties to this Agreement.</w:t>
      </w:r>
    </w:p>
    <w:p>
      <w:pPr>
        <w:spacing w:after="0" w:line="146" w:lineRule="exact"/>
        <w:rPr>
          <w:sz w:val="20"/>
          <w:szCs w:val="20"/>
          <w:color w:val="auto"/>
        </w:rPr>
      </w:pPr>
    </w:p>
    <w:p>
      <w:pPr>
        <w:ind w:left="1060" w:hanging="909"/>
        <w:spacing w:after="0"/>
        <w:tabs>
          <w:tab w:leader="none" w:pos="10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Enforceability</w:t>
      </w:r>
    </w:p>
    <w:p>
      <w:pPr>
        <w:spacing w:after="0" w:line="183" w:lineRule="exact"/>
        <w:rPr>
          <w:sz w:val="20"/>
          <w:szCs w:val="20"/>
          <w:color w:val="auto"/>
        </w:rPr>
      </w:pPr>
    </w:p>
    <w:p>
      <w:pPr>
        <w:ind w:left="160" w:right="159"/>
        <w:spacing w:after="0" w:line="220" w:lineRule="auto"/>
        <w:rPr>
          <w:sz w:val="20"/>
          <w:szCs w:val="20"/>
          <w:color w:val="auto"/>
        </w:rPr>
      </w:pPr>
      <w:r>
        <w:rPr>
          <w:rFonts w:ascii="Times New Roman" w:cs="Times New Roman" w:eastAsia="Times New Roman" w:hAnsi="Times New Roman"/>
          <w:sz w:val="22"/>
          <w:szCs w:val="22"/>
          <w:color w:val="auto"/>
        </w:rPr>
        <w:t>If any portion or provision of this Agreement (including, without limitation, any portion or provision of any section of the Restrictive Covenant Agreement) shall to any extent be declared illegal or unenforceable by a court of competent jurisdiction, then the remainder of this Agreement, or the application of such portion or provision in circumstances other than those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123190</wp:posOffset>
            </wp:positionV>
            <wp:extent cx="554863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10" w:name="page111"/>
    <w:bookmarkEnd w:id="110"/>
    <w:p>
      <w:pPr>
        <w:ind w:left="160"/>
        <w:spacing w:after="0"/>
        <w:rPr>
          <w:sz w:val="20"/>
          <w:szCs w:val="20"/>
          <w:color w:val="auto"/>
        </w:rPr>
      </w:pPr>
      <w:r>
        <w:rPr>
          <w:rFonts w:ascii="Times New Roman" w:cs="Times New Roman" w:eastAsia="Times New Roman" w:hAnsi="Times New Roman"/>
          <w:sz w:val="22"/>
          <w:szCs w:val="22"/>
          <w:color w:val="auto"/>
        </w:rPr>
        <w:t>Kyle Kuvalanka</w:t>
      </w:r>
    </w:p>
    <w:p>
      <w:pPr>
        <w:ind w:left="160"/>
        <w:spacing w:after="0" w:line="204" w:lineRule="auto"/>
        <w:rPr>
          <w:sz w:val="20"/>
          <w:szCs w:val="20"/>
          <w:color w:val="auto"/>
        </w:rPr>
      </w:pPr>
      <w:r>
        <w:rPr>
          <w:rFonts w:ascii="Times New Roman" w:cs="Times New Roman" w:eastAsia="Times New Roman" w:hAnsi="Times New Roman"/>
          <w:sz w:val="22"/>
          <w:szCs w:val="22"/>
          <w:color w:val="auto"/>
        </w:rPr>
        <w:t>August 7, 2015</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Page 5</w:t>
      </w:r>
    </w:p>
    <w:p>
      <w:pPr>
        <w:spacing w:after="0" w:line="128" w:lineRule="exact"/>
        <w:rPr>
          <w:sz w:val="20"/>
          <w:szCs w:val="20"/>
          <w:color w:val="auto"/>
        </w:rPr>
      </w:pPr>
    </w:p>
    <w:p>
      <w:pPr>
        <w:ind w:left="160" w:right="159"/>
        <w:spacing w:after="0" w:line="255" w:lineRule="auto"/>
        <w:rPr>
          <w:sz w:val="20"/>
          <w:szCs w:val="20"/>
          <w:color w:val="auto"/>
        </w:rPr>
      </w:pPr>
      <w:r>
        <w:rPr>
          <w:rFonts w:ascii="Times New Roman" w:cs="Times New Roman" w:eastAsia="Times New Roman" w:hAnsi="Times New Roman"/>
          <w:sz w:val="21"/>
          <w:szCs w:val="21"/>
          <w:color w:val="auto"/>
        </w:rPr>
        <w:t>to which it is so declared illegal or unenforceable, shall not be affected thereby, and each portion and provision of this Agreement shall be valid and enforceable to the fullest extent permitted by law.</w:t>
      </w:r>
    </w:p>
    <w:p>
      <w:pPr>
        <w:spacing w:after="0" w:line="131" w:lineRule="exact"/>
        <w:rPr>
          <w:sz w:val="20"/>
          <w:szCs w:val="20"/>
          <w:color w:val="auto"/>
        </w:rPr>
      </w:pPr>
    </w:p>
    <w:p>
      <w:pPr>
        <w:ind w:left="1060" w:hanging="909"/>
        <w:spacing w:after="0"/>
        <w:tabs>
          <w:tab w:leader="none" w:pos="106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Interpretation</w:t>
      </w:r>
    </w:p>
    <w:p>
      <w:pPr>
        <w:spacing w:after="0" w:line="183" w:lineRule="exact"/>
        <w:rPr>
          <w:sz w:val="20"/>
          <w:szCs w:val="20"/>
          <w:color w:val="auto"/>
        </w:rPr>
      </w:pPr>
    </w:p>
    <w:p>
      <w:pPr>
        <w:ind w:left="160" w:right="139"/>
        <w:spacing w:after="0" w:line="220" w:lineRule="auto"/>
        <w:rPr>
          <w:sz w:val="20"/>
          <w:szCs w:val="20"/>
          <w:color w:val="auto"/>
        </w:rPr>
      </w:pPr>
      <w:r>
        <w:rPr>
          <w:rFonts w:ascii="Times New Roman" w:cs="Times New Roman" w:eastAsia="Times New Roman" w:hAnsi="Times New Roman"/>
          <w:sz w:val="22"/>
          <w:szCs w:val="22"/>
          <w:color w:val="auto"/>
        </w:rPr>
        <w:t>This Agreement shall be interpreted and enforced under the laws of the Commonwealth of Massachusetts, without regard to conflict of law principles. In the event of any dispute, this Agreement is intended by the parties to be construed as a whole, to be interpreted in accordance with its fair meaning, and not to be construed strictly for or against either you or the Company.</w:t>
      </w:r>
    </w:p>
    <w:p>
      <w:pPr>
        <w:spacing w:after="0" w:line="149" w:lineRule="exact"/>
        <w:rPr>
          <w:sz w:val="20"/>
          <w:szCs w:val="20"/>
          <w:color w:val="auto"/>
        </w:rPr>
      </w:pPr>
    </w:p>
    <w:p>
      <w:pPr>
        <w:ind w:left="1060" w:hanging="909"/>
        <w:spacing w:after="0"/>
        <w:tabs>
          <w:tab w:leader="none" w:pos="10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p>
    <w:p>
      <w:pPr>
        <w:spacing w:after="0" w:line="183" w:lineRule="exact"/>
        <w:rPr>
          <w:sz w:val="20"/>
          <w:szCs w:val="20"/>
          <w:color w:val="auto"/>
        </w:rPr>
      </w:pPr>
    </w:p>
    <w:p>
      <w:pPr>
        <w:ind w:left="160" w:right="259"/>
        <w:spacing w:after="0" w:line="217" w:lineRule="auto"/>
        <w:rPr>
          <w:sz w:val="20"/>
          <w:szCs w:val="20"/>
          <w:color w:val="auto"/>
        </w:rPr>
      </w:pPr>
      <w:r>
        <w:rPr>
          <w:rFonts w:ascii="Times New Roman" w:cs="Times New Roman" w:eastAsia="Times New Roman" w:hAnsi="Times New Roman"/>
          <w:sz w:val="22"/>
          <w:szCs w:val="22"/>
          <w:color w:val="auto"/>
        </w:rPr>
        <w:t>This Agreement along with the Restrictive Covenant Agreement and the Equity Documents constitutes the entire agreement between you and the Company. This Agreement supersedes any previous agreements or understandings, including without limitation, the August 1, 2013 Offer of Employment to which you acknowledge and agree you are not entitled to payments pursuant to and which are of no further effect.</w:t>
      </w:r>
    </w:p>
    <w:p>
      <w:pPr>
        <w:spacing w:after="0" w:line="149" w:lineRule="exact"/>
        <w:rPr>
          <w:sz w:val="20"/>
          <w:szCs w:val="20"/>
          <w:color w:val="auto"/>
        </w:rPr>
      </w:pPr>
    </w:p>
    <w:p>
      <w:pPr>
        <w:ind w:left="1060" w:hanging="909"/>
        <w:spacing w:after="0"/>
        <w:tabs>
          <w:tab w:leader="none" w:pos="106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Time for Consideration; Effective Date</w:t>
      </w:r>
    </w:p>
    <w:p>
      <w:pPr>
        <w:spacing w:after="0" w:line="183" w:lineRule="exact"/>
        <w:rPr>
          <w:sz w:val="20"/>
          <w:szCs w:val="20"/>
          <w:color w:val="auto"/>
        </w:rPr>
      </w:pPr>
    </w:p>
    <w:p>
      <w:pPr>
        <w:ind w:left="160" w:right="159"/>
        <w:spacing w:after="0" w:line="209" w:lineRule="auto"/>
        <w:rPr>
          <w:sz w:val="20"/>
          <w:szCs w:val="20"/>
          <w:color w:val="auto"/>
        </w:rPr>
      </w:pPr>
      <w:r>
        <w:rPr>
          <w:rFonts w:ascii="Times New Roman" w:cs="Times New Roman" w:eastAsia="Times New Roman" w:hAnsi="Times New Roman"/>
          <w:sz w:val="22"/>
          <w:szCs w:val="22"/>
          <w:color w:val="auto"/>
        </w:rPr>
        <w:t>You acknowledge that you have been provided with the opportunity to consider this Agreement for twenty-one (21) days before signing it. To accept this Agreement, you must return a signed original of this Agreement so that it is received by Debbie Bumpus, Vice President Human Resources, on or before the expiration of this twenty-one (21) day period. If you sign this Agreement within less than twenty-one (21) days of the date of its delivery to you, you acknowledge by signing this Agreement that such decision was entirely voluntary and that you had the opportunity to consider this Agreement for the entire twenty-one (21) day period. You and the Company agree that any changes or modifications to this Agreement shall not restart the twenty-one (21) day period. For a period of seven (7) days from the day of the execution of this Agreement, you shall retain the right to revoke this Agreement by written notice that must be received by Ms. Bumpus before the end of such revocation period. This Agreement shall become effective on the business day immediately following the expiration of the revocation period (the "Effective Date"), provided that you do not revoke this Agreement during the revocation period.</w:t>
      </w:r>
    </w:p>
    <w:p>
      <w:pPr>
        <w:spacing w:after="0" w:line="157" w:lineRule="exact"/>
        <w:rPr>
          <w:sz w:val="20"/>
          <w:szCs w:val="20"/>
          <w:color w:val="auto"/>
        </w:rPr>
      </w:pPr>
    </w:p>
    <w:p>
      <w:pPr>
        <w:ind w:left="1060" w:hanging="909"/>
        <w:spacing w:after="0"/>
        <w:tabs>
          <w:tab w:leader="none" w:pos="106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p>
    <w:p>
      <w:pPr>
        <w:spacing w:after="0" w:line="183" w:lineRule="exact"/>
        <w:rPr>
          <w:sz w:val="20"/>
          <w:szCs w:val="20"/>
          <w:color w:val="auto"/>
        </w:rPr>
      </w:pPr>
    </w:p>
    <w:p>
      <w:pPr>
        <w:jc w:val="both"/>
        <w:ind w:left="160" w:right="359"/>
        <w:spacing w:after="0" w:line="226" w:lineRule="auto"/>
        <w:rPr>
          <w:sz w:val="20"/>
          <w:szCs w:val="20"/>
          <w:color w:val="auto"/>
        </w:rPr>
      </w:pPr>
      <w:r>
        <w:rPr>
          <w:rFonts w:ascii="Times New Roman" w:cs="Times New Roman" w:eastAsia="Times New Roman" w:hAnsi="Times New Roman"/>
          <w:sz w:val="22"/>
          <w:szCs w:val="22"/>
          <w:color w:val="auto"/>
        </w:rPr>
        <w:t>This Agreement may be executed in any number of counterparts, each of which when so executed and delivered shall be taken to be an original, but all of which together shall constitute one and the same document.</w:t>
      </w:r>
    </w:p>
    <w:p>
      <w:pPr>
        <w:spacing w:after="0" w:line="150" w:lineRule="exact"/>
        <w:rPr>
          <w:sz w:val="20"/>
          <w:szCs w:val="20"/>
          <w:color w:val="auto"/>
        </w:rPr>
      </w:pPr>
    </w:p>
    <w:p>
      <w:pPr>
        <w:ind w:left="160" w:right="259"/>
        <w:spacing w:after="0" w:line="236" w:lineRule="auto"/>
        <w:rPr>
          <w:sz w:val="20"/>
          <w:szCs w:val="20"/>
          <w:color w:val="auto"/>
        </w:rPr>
      </w:pPr>
      <w:r>
        <w:rPr>
          <w:rFonts w:ascii="Times New Roman" w:cs="Times New Roman" w:eastAsia="Times New Roman" w:hAnsi="Times New Roman"/>
          <w:sz w:val="22"/>
          <w:szCs w:val="22"/>
          <w:color w:val="auto"/>
        </w:rPr>
        <w:t>Please indicate your agreement to the terms of this Agreement by signing and returning the original of this letter to the undersigned within the time period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259080</wp:posOffset>
            </wp:positionV>
            <wp:extent cx="554863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111" w:name="page112"/>
    <w:bookmarkEnd w:id="111"/>
    <w:p>
      <w:pPr>
        <w:ind w:left="160"/>
        <w:spacing w:after="0"/>
        <w:rPr>
          <w:sz w:val="20"/>
          <w:szCs w:val="20"/>
          <w:color w:val="auto"/>
        </w:rPr>
      </w:pPr>
      <w:r>
        <w:rPr>
          <w:rFonts w:ascii="Times New Roman" w:cs="Times New Roman" w:eastAsia="Times New Roman" w:hAnsi="Times New Roman"/>
          <w:sz w:val="22"/>
          <w:szCs w:val="22"/>
          <w:color w:val="auto"/>
        </w:rPr>
        <w:t>Kyle Kuvalanka</w:t>
      </w:r>
    </w:p>
    <w:p>
      <w:pPr>
        <w:ind w:left="160"/>
        <w:spacing w:after="0" w:line="204" w:lineRule="auto"/>
        <w:rPr>
          <w:sz w:val="20"/>
          <w:szCs w:val="20"/>
          <w:color w:val="auto"/>
        </w:rPr>
      </w:pPr>
      <w:r>
        <w:rPr>
          <w:rFonts w:ascii="Times New Roman" w:cs="Times New Roman" w:eastAsia="Times New Roman" w:hAnsi="Times New Roman"/>
          <w:sz w:val="22"/>
          <w:szCs w:val="22"/>
          <w:color w:val="auto"/>
        </w:rPr>
        <w:t>August 7, 2015</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Page 6</w:t>
      </w:r>
    </w:p>
    <w:p>
      <w:pPr>
        <w:spacing w:after="0" w:line="1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287"/>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By:  /s/ Jeffrey W. Albers</w:t>
            </w:r>
          </w:p>
        </w:tc>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8/13/15</w:t>
            </w:r>
          </w:p>
        </w:tc>
        <w:tc>
          <w:tcPr>
            <w:tcW w:w="20" w:type="dxa"/>
            <w:vAlign w:val="bottom"/>
          </w:tcPr>
          <w:p>
            <w:pPr>
              <w:spacing w:after="0"/>
              <w:rPr>
                <w:sz w:val="24"/>
                <w:szCs w:val="24"/>
                <w:color w:val="auto"/>
              </w:rPr>
            </w:pPr>
          </w:p>
        </w:tc>
      </w:tr>
      <w:tr>
        <w:trPr>
          <w:trHeight w:val="169"/>
        </w:trPr>
        <w:tc>
          <w:tcPr>
            <w:tcW w:w="560" w:type="dxa"/>
            <w:vAlign w:val="bottom"/>
          </w:tcPr>
          <w:p>
            <w:pPr>
              <w:spacing w:after="0"/>
              <w:rPr>
                <w:sz w:val="14"/>
                <w:szCs w:val="14"/>
                <w:color w:val="auto"/>
              </w:rPr>
            </w:pPr>
          </w:p>
        </w:tc>
        <w:tc>
          <w:tcPr>
            <w:tcW w:w="39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9"/>
                <w:szCs w:val="19"/>
                <w:color w:val="auto"/>
              </w:rPr>
              <w:t>Jeffrey W. Albers</w:t>
            </w:r>
          </w:p>
        </w:tc>
        <w:tc>
          <w:tcPr>
            <w:tcW w:w="820" w:type="dxa"/>
            <w:vAlign w:val="bottom"/>
          </w:tcPr>
          <w:p>
            <w:pPr>
              <w:spacing w:after="0"/>
              <w:rPr>
                <w:sz w:val="14"/>
                <w:szCs w:val="14"/>
                <w:color w:val="auto"/>
              </w:rPr>
            </w:pPr>
          </w:p>
        </w:tc>
        <w:tc>
          <w:tcPr>
            <w:tcW w:w="33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9"/>
                <w:szCs w:val="19"/>
                <w:color w:val="auto"/>
              </w:rPr>
              <w:t>Date</w:t>
            </w:r>
          </w:p>
        </w:tc>
        <w:tc>
          <w:tcPr>
            <w:tcW w:w="20" w:type="dxa"/>
            <w:vAlign w:val="bottom"/>
          </w:tcPr>
          <w:p>
            <w:pPr>
              <w:spacing w:after="0"/>
              <w:rPr>
                <w:sz w:val="14"/>
                <w:szCs w:val="14"/>
                <w:color w:val="auto"/>
              </w:rPr>
            </w:pPr>
          </w:p>
        </w:tc>
      </w:tr>
      <w:tr>
        <w:trPr>
          <w:trHeight w:val="283"/>
        </w:trPr>
        <w:tc>
          <w:tcPr>
            <w:tcW w:w="5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Chief Executive Officer</w:t>
            </w: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The foregoing is agreed to and accepted by:</w:t>
            </w: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KYLE D. KUVALANKA</w:t>
            </w: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23"/>
        </w:trPr>
        <w:tc>
          <w:tcPr>
            <w:tcW w:w="56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Kyle D. Kuvalanka</w:t>
            </w:r>
          </w:p>
        </w:tc>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8/13/15</w:t>
            </w:r>
          </w:p>
        </w:tc>
        <w:tc>
          <w:tcPr>
            <w:tcW w:w="20" w:type="dxa"/>
            <w:vAlign w:val="bottom"/>
          </w:tcPr>
          <w:p>
            <w:pPr>
              <w:spacing w:after="0"/>
              <w:rPr>
                <w:sz w:val="24"/>
                <w:szCs w:val="24"/>
                <w:color w:val="auto"/>
              </w:rPr>
            </w:pPr>
          </w:p>
        </w:tc>
      </w:tr>
      <w:tr>
        <w:trPr>
          <w:trHeight w:val="276"/>
        </w:trPr>
        <w:tc>
          <w:tcPr>
            <w:tcW w:w="560" w:type="dxa"/>
            <w:vAlign w:val="bottom"/>
          </w:tcPr>
          <w:p>
            <w:pPr>
              <w:spacing w:after="0"/>
              <w:rPr>
                <w:sz w:val="24"/>
                <w:szCs w:val="24"/>
                <w:color w:val="auto"/>
              </w:rPr>
            </w:pPr>
          </w:p>
        </w:tc>
        <w:tc>
          <w:tcPr>
            <w:tcW w:w="3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Kyle D. Kuvalanka</w:t>
            </w:r>
          </w:p>
        </w:tc>
        <w:tc>
          <w:tcPr>
            <w:tcW w:w="820" w:type="dxa"/>
            <w:vAlign w:val="bottom"/>
          </w:tcPr>
          <w:p>
            <w:pPr>
              <w:spacing w:after="0"/>
              <w:rPr>
                <w:sz w:val="24"/>
                <w:szCs w:val="24"/>
                <w:color w:val="auto"/>
              </w:rPr>
            </w:pPr>
          </w:p>
        </w:tc>
        <w:tc>
          <w:tcPr>
            <w:tcW w:w="3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w:t>
            </w:r>
          </w:p>
        </w:tc>
        <w:tc>
          <w:tcPr>
            <w:tcW w:w="20" w:type="dxa"/>
            <w:vAlign w:val="bottom"/>
          </w:tcPr>
          <w:p>
            <w:pPr>
              <w:spacing w:after="0"/>
              <w:rPr>
                <w:sz w:val="24"/>
                <w:szCs w:val="24"/>
                <w:color w:val="auto"/>
              </w:rPr>
            </w:pPr>
          </w:p>
        </w:tc>
      </w:tr>
      <w:tr>
        <w:trPr>
          <w:trHeight w:val="386"/>
        </w:trPr>
        <w:tc>
          <w:tcPr>
            <w:tcW w:w="56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6" w:right="1440" w:bottom="1440" w:gutter="0" w:footer="0" w:header="0"/>
        </w:sectPr>
      </w:pPr>
    </w:p>
    <w:bookmarkStart w:id="112" w:name="page113"/>
    <w:bookmarkEnd w:id="112"/>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4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EXECUTION COPY</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200" w:lineRule="exact"/>
        <w:rPr>
          <w:sz w:val="20"/>
          <w:szCs w:val="20"/>
          <w:color w:val="auto"/>
        </w:rPr>
      </w:pPr>
    </w:p>
    <w:p>
      <w:pPr>
        <w:spacing w:after="0" w:line="243" w:lineRule="exact"/>
        <w:rPr>
          <w:sz w:val="20"/>
          <w:szCs w:val="20"/>
          <w:color w:val="auto"/>
        </w:rPr>
      </w:pPr>
    </w:p>
    <w:p>
      <w:pPr>
        <w:jc w:val="both"/>
        <w:ind w:left="160" w:right="1019"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(“Agreement”) is dated as of November 6, 2015 (the “Effective Date”), between Blueprint Medicines Corporation, a Delaware corporation (the “Company”), and Jeffrey W. Albers (the “Executive”).</w:t>
      </w:r>
    </w:p>
    <w:p>
      <w:pPr>
        <w:spacing w:after="0" w:line="174" w:lineRule="exact"/>
        <w:rPr>
          <w:sz w:val="20"/>
          <w:szCs w:val="20"/>
          <w:color w:val="auto"/>
        </w:rPr>
      </w:pPr>
    </w:p>
    <w:p>
      <w:pPr>
        <w:ind w:left="160" w:right="199"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and the Executive previously entered in an offer letter agreement, dated May 29, 2014 (the “Prior Agreement”), which the Company and the Executive intend to replace in its entirety with this Agreement; and</w:t>
      </w:r>
    </w:p>
    <w:p>
      <w:pPr>
        <w:spacing w:after="0" w:line="174" w:lineRule="exact"/>
        <w:rPr>
          <w:sz w:val="20"/>
          <w:szCs w:val="20"/>
          <w:color w:val="auto"/>
        </w:rPr>
      </w:pPr>
    </w:p>
    <w:p>
      <w:pPr>
        <w:ind w:left="160" w:right="399" w:firstLine="648"/>
        <w:spacing w:after="0" w:line="282" w:lineRule="auto"/>
        <w:rPr>
          <w:sz w:val="20"/>
          <w:szCs w:val="20"/>
          <w:color w:val="auto"/>
        </w:rPr>
      </w:pPr>
      <w:r>
        <w:rPr>
          <w:rFonts w:ascii="Times New Roman" w:cs="Times New Roman" w:eastAsia="Times New Roman" w:hAnsi="Times New Roman"/>
          <w:sz w:val="21"/>
          <w:szCs w:val="21"/>
          <w:color w:val="auto"/>
        </w:rPr>
        <w:t>WHEREAS, the Company desires to continue to employ the Executive and the Executive desires to continue to be employed by the Company on the terms and conditions contained herein.</w:t>
      </w:r>
    </w:p>
    <w:p>
      <w:pPr>
        <w:spacing w:after="0" w:line="135" w:lineRule="exact"/>
        <w:rPr>
          <w:sz w:val="20"/>
          <w:szCs w:val="20"/>
          <w:color w:val="auto"/>
        </w:rPr>
      </w:pPr>
    </w:p>
    <w:p>
      <w:pPr>
        <w:ind w:left="160" w:right="25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4" w:lineRule="exact"/>
        <w:rPr>
          <w:sz w:val="20"/>
          <w:szCs w:val="20"/>
          <w:color w:val="auto"/>
        </w:rPr>
      </w:pPr>
    </w:p>
    <w:p>
      <w:pPr>
        <w:ind w:left="1480" w:hanging="681"/>
        <w:spacing w:after="0"/>
        <w:tabs>
          <w:tab w:leader="none" w:pos="14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 w:right="519" w:firstLine="1287"/>
        <w:spacing w:after="0" w:line="282" w:lineRule="auto"/>
        <w:tabs>
          <w:tab w:leader="none" w:pos="2155"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this Agreement shall commence on the Effective Date and continue until terminated in accordance with the provisions of Section 3 (the “Term”).</w:t>
      </w:r>
    </w:p>
    <w:p>
      <w:pPr>
        <w:spacing w:after="0" w:line="134" w:lineRule="exact"/>
        <w:rPr>
          <w:rFonts w:ascii="Times New Roman" w:cs="Times New Roman" w:eastAsia="Times New Roman" w:hAnsi="Times New Roman"/>
          <w:sz w:val="21"/>
          <w:szCs w:val="21"/>
          <w:color w:val="auto"/>
        </w:rPr>
      </w:pPr>
    </w:p>
    <w:p>
      <w:pPr>
        <w:ind w:left="160" w:right="279" w:firstLine="1287"/>
        <w:spacing w:after="0" w:line="248" w:lineRule="exact"/>
        <w:tabs>
          <w:tab w:leader="none" w:pos="216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as the Company’s President and Chief Executive Officer (“CEO”), and shall have supervision and control over and responsibility for the day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business and affairs of the Company and shall have such other powers and duties as may from time to time be prescribed by the Board of Directors of the Company (the “Board”), provided that such duties are consistent with the Executive’s position as CEO. The Executive shall report to the Board. The Executive shall devote his full working time and efforts to the business and affairs of the Company. Notwithstanding the foregoing, the Executive may serve on other boards of directors, with the approval of the Board, or engage in religious, charitable or other activities as long as such services and activities are approved by the Board and do not materially interfere with the Executive’s performance of his duties to the Company as provided in this Agreement.</w:t>
      </w:r>
    </w:p>
    <w:p>
      <w:pPr>
        <w:spacing w:after="0" w:line="178" w:lineRule="exact"/>
        <w:rPr>
          <w:rFonts w:ascii="Times New Roman" w:cs="Times New Roman" w:eastAsia="Times New Roman" w:hAnsi="Times New Roman"/>
          <w:sz w:val="22"/>
          <w:szCs w:val="22"/>
          <w:color w:val="auto"/>
        </w:rPr>
      </w:pPr>
    </w:p>
    <w:p>
      <w:pPr>
        <w:ind w:left="1480" w:hanging="681"/>
        <w:spacing w:after="0"/>
        <w:tabs>
          <w:tab w:leader="none" w:pos="14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140" w:hanging="693"/>
        <w:spacing w:after="0"/>
        <w:tabs>
          <w:tab w:leader="none" w:pos="21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Executive’s annual base salary shall</w:t>
      </w:r>
    </w:p>
    <w:p>
      <w:pPr>
        <w:spacing w:after="0" w:line="14" w:lineRule="exact"/>
        <w:rPr>
          <w:sz w:val="20"/>
          <w:szCs w:val="20"/>
          <w:color w:val="auto"/>
        </w:rPr>
      </w:pPr>
    </w:p>
    <w:p>
      <w:pPr>
        <w:ind w:left="160" w:right="359"/>
        <w:spacing w:after="0" w:line="233" w:lineRule="auto"/>
        <w:rPr>
          <w:sz w:val="20"/>
          <w:szCs w:val="20"/>
          <w:color w:val="auto"/>
        </w:rPr>
      </w:pPr>
      <w:r>
        <w:rPr>
          <w:rFonts w:ascii="Times New Roman" w:cs="Times New Roman" w:eastAsia="Times New Roman" w:hAnsi="Times New Roman"/>
          <w:sz w:val="22"/>
          <w:szCs w:val="22"/>
          <w:color w:val="auto"/>
        </w:rPr>
        <w:t>be $425,000. The Executive’s base salary shall be re-determined annually by the Board or the Compensation Committee and shall be subject to increase but not decrease while serving in this role. The annual base salary in effect at any given time is referred to herein as “Base Salary.” The Base Salary shall be payable in a manner that is consistent with the Company’s usual payroll practices for senior executives.</w:t>
      </w:r>
    </w:p>
    <w:p>
      <w:pPr>
        <w:spacing w:after="0" w:line="180" w:lineRule="exact"/>
        <w:rPr>
          <w:sz w:val="20"/>
          <w:szCs w:val="20"/>
          <w:color w:val="auto"/>
        </w:rPr>
      </w:pPr>
    </w:p>
    <w:p>
      <w:pPr>
        <w:ind w:left="160" w:right="219" w:firstLine="1287"/>
        <w:spacing w:after="0" w:line="258" w:lineRule="auto"/>
        <w:tabs>
          <w:tab w:leader="none" w:pos="2168"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During the Term, the Executive shall be eligible to receive cash incentive compensation as determined by the Board or the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255270</wp:posOffset>
            </wp:positionV>
            <wp:extent cx="554863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3" w:name="page114"/>
    <w:bookmarkEnd w:id="113"/>
    <w:p>
      <w:pPr>
        <w:ind w:left="160" w:right="239"/>
        <w:spacing w:after="0"/>
        <w:rPr>
          <w:sz w:val="20"/>
          <w:szCs w:val="20"/>
          <w:color w:val="auto"/>
        </w:rPr>
      </w:pPr>
      <w:r>
        <w:rPr>
          <w:rFonts w:ascii="Times New Roman" w:cs="Times New Roman" w:eastAsia="Times New Roman" w:hAnsi="Times New Roman"/>
          <w:sz w:val="22"/>
          <w:szCs w:val="22"/>
          <w:color w:val="auto"/>
        </w:rPr>
        <w:t>Committee from time to time. The Executive’s target annual incentive compensation shall be forty-five percent (45%) of his Base Salary (the “Target Incentive Compensation”). To earn incentive compensation, the Executive must be employed by the Company on the day such incentive compensation is paid.</w:t>
      </w:r>
    </w:p>
    <w:p>
      <w:pPr>
        <w:spacing w:after="0" w:line="177" w:lineRule="exact"/>
        <w:rPr>
          <w:sz w:val="20"/>
          <w:szCs w:val="20"/>
          <w:color w:val="auto"/>
        </w:rPr>
      </w:pPr>
    </w:p>
    <w:p>
      <w:pPr>
        <w:ind w:left="160" w:right="299" w:firstLine="1287"/>
        <w:spacing w:after="0" w:line="239" w:lineRule="auto"/>
        <w:tabs>
          <w:tab w:leader="none" w:pos="215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him during the Term in performing services hereunder, in accordance with the policies and procedures then in effect and established by the Company for its senior executive officers.</w:t>
      </w:r>
    </w:p>
    <w:p>
      <w:pPr>
        <w:spacing w:after="0" w:line="180" w:lineRule="exact"/>
        <w:rPr>
          <w:rFonts w:ascii="Times New Roman" w:cs="Times New Roman" w:eastAsia="Times New Roman" w:hAnsi="Times New Roman"/>
          <w:sz w:val="22"/>
          <w:szCs w:val="22"/>
          <w:color w:val="auto"/>
        </w:rPr>
      </w:pPr>
    </w:p>
    <w:p>
      <w:pPr>
        <w:ind w:left="160" w:right="159" w:firstLine="1287"/>
        <w:spacing w:after="0" w:line="244" w:lineRule="auto"/>
        <w:tabs>
          <w:tab w:leader="none" w:pos="216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During the Term, the Executive shall be eligible to participate in or receive benefits under the Company’s employee benefit plans in effect from time to time, subject to the terms of such plans.</w:t>
      </w:r>
    </w:p>
    <w:p>
      <w:pPr>
        <w:spacing w:after="0" w:line="173" w:lineRule="exact"/>
        <w:rPr>
          <w:rFonts w:ascii="Times New Roman" w:cs="Times New Roman" w:eastAsia="Times New Roman" w:hAnsi="Times New Roman"/>
          <w:sz w:val="22"/>
          <w:szCs w:val="22"/>
          <w:color w:val="auto"/>
        </w:rPr>
      </w:pPr>
    </w:p>
    <w:p>
      <w:pPr>
        <w:ind w:left="160" w:right="459" w:firstLine="1287"/>
        <w:spacing w:after="0" w:line="258" w:lineRule="auto"/>
        <w:tabs>
          <w:tab w:leader="none" w:pos="215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During the Term, the Executive shall be entitled to accrue paid vacation in accordance with the Company’s applicable policy.</w:t>
      </w:r>
    </w:p>
    <w:p>
      <w:pPr>
        <w:spacing w:after="0" w:line="158" w:lineRule="exact"/>
        <w:rPr>
          <w:rFonts w:ascii="Times New Roman" w:cs="Times New Roman" w:eastAsia="Times New Roman" w:hAnsi="Times New Roman"/>
          <w:sz w:val="22"/>
          <w:szCs w:val="22"/>
          <w:color w:val="auto"/>
        </w:rPr>
      </w:pPr>
    </w:p>
    <w:p>
      <w:pPr>
        <w:ind w:left="160" w:right="719" w:firstLine="639"/>
        <w:spacing w:after="0" w:line="258" w:lineRule="auto"/>
        <w:tabs>
          <w:tab w:leader="none" w:pos="148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During the Term, the Executive’s employment hereunder may be terminated without any breach of this Agreement under the following circumstances:</w:t>
      </w:r>
    </w:p>
    <w:p>
      <w:pPr>
        <w:spacing w:after="0" w:line="158" w:lineRule="exact"/>
        <w:rPr>
          <w:rFonts w:ascii="Times New Roman" w:cs="Times New Roman" w:eastAsia="Times New Roman" w:hAnsi="Times New Roman"/>
          <w:sz w:val="22"/>
          <w:szCs w:val="22"/>
          <w:color w:val="auto"/>
        </w:rPr>
      </w:pPr>
    </w:p>
    <w:p>
      <w:pPr>
        <w:ind w:left="2140" w:hanging="693"/>
        <w:spacing w:after="0"/>
        <w:tabs>
          <w:tab w:leader="none" w:pos="214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his</w:t>
      </w:r>
    </w:p>
    <w:p>
      <w:pPr>
        <w:spacing w:after="0" w:line="14" w:lineRule="exact"/>
        <w:rPr>
          <w:rFonts w:ascii="Times New Roman" w:cs="Times New Roman" w:eastAsia="Times New Roman" w:hAnsi="Times New Roman"/>
          <w:sz w:val="22"/>
          <w:szCs w:val="22"/>
          <w:color w:val="auto"/>
        </w:rPr>
      </w:pPr>
    </w:p>
    <w:p>
      <w:pPr>
        <w:ind w:left="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82" w:lineRule="exact"/>
        <w:rPr>
          <w:rFonts w:ascii="Times New Roman" w:cs="Times New Roman" w:eastAsia="Times New Roman" w:hAnsi="Times New Roman"/>
          <w:sz w:val="22"/>
          <w:szCs w:val="22"/>
          <w:color w:val="auto"/>
        </w:rPr>
      </w:pPr>
    </w:p>
    <w:p>
      <w:pPr>
        <w:ind w:left="160" w:right="159" w:firstLine="1287"/>
        <w:spacing w:after="0" w:line="244" w:lineRule="auto"/>
        <w:tabs>
          <w:tab w:leader="none" w:pos="2168"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the Americans with Disabilities Act, 42 U.S.C. §12101 </w:t>
      </w:r>
      <w:r>
        <w:rPr>
          <w:rFonts w:ascii="Times New Roman" w:cs="Times New Roman" w:eastAsia="Times New Roman" w:hAnsi="Times New Roman"/>
          <w:sz w:val="21"/>
          <w:szCs w:val="21"/>
          <w:i w:val="1"/>
          <w:iCs w:val="1"/>
          <w:color w:val="auto"/>
        </w:rPr>
        <w:t>et seq.</w:t>
      </w:r>
    </w:p>
    <w:p>
      <w:pPr>
        <w:spacing w:after="0" w:line="177" w:lineRule="exact"/>
        <w:rPr>
          <w:rFonts w:ascii="Times New Roman" w:cs="Times New Roman" w:eastAsia="Times New Roman" w:hAnsi="Times New Roman"/>
          <w:sz w:val="21"/>
          <w:szCs w:val="21"/>
          <w:color w:val="auto"/>
        </w:rPr>
      </w:pPr>
    </w:p>
    <w:p>
      <w:pPr>
        <w:jc w:val="both"/>
        <w:ind w:left="160" w:right="159" w:firstLine="1287"/>
        <w:spacing w:after="0" w:line="236" w:lineRule="auto"/>
        <w:tabs>
          <w:tab w:leader="none" w:pos="2155"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for Cause</w:t>
      </w:r>
      <w:r>
        <w:rPr>
          <w:rFonts w:ascii="Times New Roman" w:cs="Times New Roman" w:eastAsia="Times New Roman" w:hAnsi="Times New Roman"/>
          <w:sz w:val="22"/>
          <w:szCs w:val="22"/>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4" w:name="page115"/>
    <w:bookmarkEnd w:id="114"/>
    <w:p>
      <w:pPr>
        <w:ind w:left="160" w:right="159"/>
        <w:spacing w:after="0" w:line="245" w:lineRule="auto"/>
        <w:rPr>
          <w:sz w:val="20"/>
          <w:szCs w:val="20"/>
          <w:color w:val="auto"/>
        </w:rPr>
      </w:pPr>
      <w:r>
        <w:rPr>
          <w:rFonts w:ascii="Times New Roman" w:cs="Times New Roman" w:eastAsia="Times New Roman" w:hAnsi="Times New Roman"/>
          <w:sz w:val="21"/>
          <w:szCs w:val="21"/>
          <w:color w:val="auto"/>
        </w:rPr>
        <w:t>by the Executive of any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30 days following written notice of such non-performance from the Board; (iv) a material breach by the Executive of any of the provisions contained in Section 7 of this Agreement;</w:t>
      </w:r>
    </w:p>
    <w:p>
      <w:pPr>
        <w:spacing w:after="0" w:line="1" w:lineRule="exact"/>
        <w:rPr>
          <w:sz w:val="20"/>
          <w:szCs w:val="20"/>
          <w:color w:val="auto"/>
        </w:rPr>
      </w:pPr>
    </w:p>
    <w:p>
      <w:pPr>
        <w:ind w:left="160" w:right="379" w:hanging="9"/>
        <w:spacing w:after="0" w:line="233" w:lineRule="auto"/>
        <w:tabs>
          <w:tab w:leader="none" w:pos="46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7" w:lineRule="exact"/>
        <w:rPr>
          <w:rFonts w:ascii="Times New Roman" w:cs="Times New Roman" w:eastAsia="Times New Roman" w:hAnsi="Times New Roman"/>
          <w:sz w:val="22"/>
          <w:szCs w:val="22"/>
          <w:color w:val="auto"/>
        </w:rPr>
      </w:pPr>
    </w:p>
    <w:p>
      <w:pPr>
        <w:ind w:left="160" w:right="299" w:firstLine="1287"/>
        <w:spacing w:after="0" w:line="251" w:lineRule="auto"/>
        <w:tabs>
          <w:tab w:leader="none" w:pos="216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Without Cause</w:t>
      </w:r>
      <w:r>
        <w:rPr>
          <w:rFonts w:ascii="Times New Roman" w:cs="Times New Roman" w:eastAsia="Times New Roman" w:hAnsi="Times New Roman"/>
          <w:sz w:val="21"/>
          <w:szCs w:val="21"/>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68" w:lineRule="exact"/>
        <w:rPr>
          <w:rFonts w:ascii="Times New Roman" w:cs="Times New Roman" w:eastAsia="Times New Roman" w:hAnsi="Times New Roman"/>
          <w:sz w:val="21"/>
          <w:szCs w:val="21"/>
          <w:color w:val="auto"/>
        </w:rPr>
      </w:pPr>
    </w:p>
    <w:p>
      <w:pPr>
        <w:ind w:left="160" w:right="159" w:firstLine="1287"/>
        <w:spacing w:after="0" w:line="232" w:lineRule="auto"/>
        <w:tabs>
          <w:tab w:leader="none" w:pos="2155"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188" w:lineRule="exact"/>
        <w:rPr>
          <w:rFonts w:ascii="Times New Roman" w:cs="Times New Roman" w:eastAsia="Times New Roman" w:hAnsi="Times New Roman"/>
          <w:sz w:val="22"/>
          <w:szCs w:val="22"/>
          <w:color w:val="auto"/>
        </w:rPr>
      </w:pPr>
    </w:p>
    <w:p>
      <w:pPr>
        <w:ind w:left="160" w:right="299" w:firstLine="1287"/>
        <w:spacing w:after="0" w:line="238" w:lineRule="auto"/>
        <w:tabs>
          <w:tab w:leader="none" w:pos="2172"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5" w:name="page116"/>
    <w:bookmarkEnd w:id="115"/>
    <w:p>
      <w:pPr>
        <w:ind w:left="160" w:right="159" w:firstLine="1287"/>
        <w:spacing w:after="0" w:line="233" w:lineRule="auto"/>
        <w:tabs>
          <w:tab w:leader="none" w:pos="216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w:t>
      </w:r>
    </w:p>
    <w:p>
      <w:pPr>
        <w:spacing w:after="0" w:line="1" w:lineRule="exact"/>
        <w:rPr>
          <w:rFonts w:ascii="Times New Roman" w:cs="Times New Roman" w:eastAsia="Times New Roman" w:hAnsi="Times New Roman"/>
          <w:sz w:val="22"/>
          <w:szCs w:val="22"/>
          <w:color w:val="auto"/>
        </w:rPr>
      </w:pPr>
    </w:p>
    <w:p>
      <w:pPr>
        <w:ind w:left="160" w:right="259"/>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66" w:lineRule="exact"/>
        <w:rPr>
          <w:rFonts w:ascii="Times New Roman" w:cs="Times New Roman" w:eastAsia="Times New Roman" w:hAnsi="Times New Roman"/>
          <w:sz w:val="22"/>
          <w:szCs w:val="22"/>
          <w:color w:val="auto"/>
        </w:rPr>
      </w:pPr>
    </w:p>
    <w:p>
      <w:pPr>
        <w:ind w:left="1480" w:hanging="681"/>
        <w:spacing w:after="0"/>
        <w:tabs>
          <w:tab w:leader="none" w:pos="148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 w:right="179" w:firstLine="1287"/>
        <w:spacing w:after="0" w:line="234" w:lineRule="auto"/>
        <w:tabs>
          <w:tab w:leader="none" w:pos="2155"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84" w:lineRule="exact"/>
        <w:rPr>
          <w:rFonts w:ascii="Times New Roman" w:cs="Times New Roman" w:eastAsia="Times New Roman" w:hAnsi="Times New Roman"/>
          <w:sz w:val="22"/>
          <w:szCs w:val="22"/>
          <w:color w:val="auto"/>
        </w:rPr>
      </w:pPr>
    </w:p>
    <w:p>
      <w:pPr>
        <w:ind w:left="160" w:right="259" w:firstLine="1287"/>
        <w:spacing w:after="0" w:line="234" w:lineRule="auto"/>
        <w:tabs>
          <w:tab w:leader="none" w:pos="2168"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the Executive with Good Reason</w:t>
      </w:r>
      <w:r>
        <w:rPr>
          <w:rFonts w:ascii="Times New Roman" w:cs="Times New Roman" w:eastAsia="Times New Roman" w:hAnsi="Times New Roman"/>
          <w:sz w:val="22"/>
          <w:szCs w:val="22"/>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184" w:lineRule="exact"/>
        <w:rPr>
          <w:rFonts w:ascii="Times New Roman" w:cs="Times New Roman" w:eastAsia="Times New Roman" w:hAnsi="Times New Roman"/>
          <w:sz w:val="22"/>
          <w:szCs w:val="22"/>
          <w:color w:val="auto"/>
        </w:rPr>
      </w:pPr>
    </w:p>
    <w:p>
      <w:pPr>
        <w:ind w:left="2820" w:hanging="725"/>
        <w:spacing w:after="0"/>
        <w:tabs>
          <w:tab w:leader="none" w:pos="282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one (1)</w:t>
      </w:r>
    </w:p>
    <w:p>
      <w:pPr>
        <w:spacing w:after="0" w:line="14"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times the Executive’s Base Salary (the “Severance Amount”); and</w:t>
      </w:r>
    </w:p>
    <w:p>
      <w:pPr>
        <w:spacing w:after="0" w:line="182" w:lineRule="exact"/>
        <w:rPr>
          <w:rFonts w:ascii="Times New Roman" w:cs="Times New Roman" w:eastAsia="Times New Roman" w:hAnsi="Times New Roman"/>
          <w:sz w:val="22"/>
          <w:szCs w:val="22"/>
          <w:color w:val="auto"/>
        </w:rPr>
      </w:pPr>
    </w:p>
    <w:p>
      <w:pPr>
        <w:ind w:left="800" w:right="159" w:firstLine="1295"/>
        <w:spacing w:after="0" w:line="249" w:lineRule="auto"/>
        <w:tabs>
          <w:tab w:leader="none" w:pos="2847"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6" w:name="page117"/>
    <w:bookmarkEnd w:id="116"/>
    <w:p>
      <w:pPr>
        <w:ind w:left="160" w:right="299"/>
        <w:spacing w:after="0" w:line="242" w:lineRule="auto"/>
        <w:rPr>
          <w:sz w:val="20"/>
          <w:szCs w:val="20"/>
          <w:color w:val="auto"/>
        </w:rPr>
      </w:pPr>
      <w:r>
        <w:rPr>
          <w:rFonts w:ascii="Times New Roman" w:cs="Times New Roman" w:eastAsia="Times New Roman" w:hAnsi="Times New Roman"/>
          <w:sz w:val="22"/>
          <w:szCs w:val="22"/>
          <w:color w:val="auto"/>
        </w:rPr>
        <w:t>The amounts payable under this Section 4(b) shall be paid out in substantially equal installments in accordance with the Company’s payroll practice over twelve (12) months commencing within</w:t>
      </w:r>
    </w:p>
    <w:p>
      <w:pPr>
        <w:spacing w:after="0" w:line="1" w:lineRule="exact"/>
        <w:rPr>
          <w:sz w:val="20"/>
          <w:szCs w:val="20"/>
          <w:color w:val="auto"/>
        </w:rPr>
      </w:pPr>
    </w:p>
    <w:p>
      <w:pPr>
        <w:ind w:left="160" w:right="139"/>
        <w:spacing w:after="0" w:line="233" w:lineRule="auto"/>
        <w:rPr>
          <w:sz w:val="20"/>
          <w:szCs w:val="20"/>
          <w:color w:val="auto"/>
        </w:rPr>
      </w:pPr>
      <w:r>
        <w:rPr>
          <w:rFonts w:ascii="Times New Roman" w:cs="Times New Roman" w:eastAsia="Times New Roman" w:hAnsi="Times New Roman"/>
          <w:sz w:val="22"/>
          <w:szCs w:val="22"/>
          <w:color w:val="auto"/>
        </w:rPr>
        <w:t>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77" w:lineRule="exact"/>
        <w:rPr>
          <w:sz w:val="20"/>
          <w:szCs w:val="20"/>
          <w:color w:val="auto"/>
        </w:rPr>
      </w:pPr>
    </w:p>
    <w:p>
      <w:pPr>
        <w:ind w:left="160" w:right="199"/>
        <w:spacing w:after="0" w:line="235" w:lineRule="auto"/>
        <w:rPr>
          <w:sz w:val="20"/>
          <w:szCs w:val="20"/>
          <w:color w:val="auto"/>
        </w:rPr>
      </w:pPr>
      <w:r>
        <w:rPr>
          <w:rFonts w:ascii="Times New Roman" w:cs="Times New Roman" w:eastAsia="Times New Roman" w:hAnsi="Times New Roman"/>
          <w:sz w:val="22"/>
          <w:szCs w:val="22"/>
          <w:color w:val="auto"/>
        </w:rPr>
        <w:t>The receipt of any severance payments or benefits pursuant to Section 4 will be subject to Executive not violating the Restrictive Covenant Agreement (as defined below), the terms of which are hereby incorporated by reference. In the event Executive breaches the Restrictive Covenant Agreement, in addition to all other legal and equitable remedies, the Company shall have the right to terminate or suspend all continuing payments and benefits to which Executive may otherwise be entitled pursuant to Section 4 without affecting the Executive’s release or Executive’s obligations under the Separation Agreement and Release</w:t>
      </w:r>
    </w:p>
    <w:p>
      <w:pPr>
        <w:spacing w:after="0" w:line="184" w:lineRule="exact"/>
        <w:rPr>
          <w:sz w:val="20"/>
          <w:szCs w:val="20"/>
          <w:color w:val="auto"/>
        </w:rPr>
      </w:pPr>
    </w:p>
    <w:p>
      <w:pPr>
        <w:ind w:left="160" w:right="319" w:firstLine="639"/>
        <w:spacing w:after="0" w:line="244" w:lineRule="auto"/>
        <w:tabs>
          <w:tab w:leader="none" w:pos="1483"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Event Payment</w:t>
      </w:r>
      <w:r>
        <w:rPr>
          <w:rFonts w:ascii="Times New Roman" w:cs="Times New Roman" w:eastAsia="Times New Roman" w:hAnsi="Times New Roman"/>
          <w:sz w:val="21"/>
          <w:szCs w:val="21"/>
          <w:color w:val="auto"/>
        </w:rPr>
        <w:t>. The provisions of this Section 5 set forth certain terms of an agreement reached between the Executive and the Company regarding the Executive’s rights and obligations upon the occurrence of a Sale Event (as defined below).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w:t>
      </w:r>
    </w:p>
    <w:p>
      <w:pPr>
        <w:spacing w:after="0" w:line="2" w:lineRule="exact"/>
        <w:rPr>
          <w:rFonts w:ascii="Times New Roman" w:cs="Times New Roman" w:eastAsia="Times New Roman" w:hAnsi="Times New Roman"/>
          <w:sz w:val="21"/>
          <w:szCs w:val="21"/>
          <w:color w:val="auto"/>
        </w:rPr>
      </w:pPr>
    </w:p>
    <w:p>
      <w:pPr>
        <w:ind w:left="560" w:hanging="409"/>
        <w:spacing w:after="0"/>
        <w:tabs>
          <w:tab w:leader="none" w:pos="5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occurrence of a Sale Event.</w:t>
      </w:r>
    </w:p>
    <w:p>
      <w:pPr>
        <w:spacing w:after="0" w:line="182" w:lineRule="exact"/>
        <w:rPr>
          <w:rFonts w:ascii="Times New Roman" w:cs="Times New Roman" w:eastAsia="Times New Roman" w:hAnsi="Times New Roman"/>
          <w:sz w:val="22"/>
          <w:szCs w:val="22"/>
          <w:color w:val="auto"/>
        </w:rPr>
      </w:pPr>
    </w:p>
    <w:p>
      <w:pPr>
        <w:ind w:left="160" w:right="259" w:firstLine="1287"/>
        <w:spacing w:after="0" w:line="236" w:lineRule="auto"/>
        <w:tabs>
          <w:tab w:leader="none" w:pos="2155"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Event</w:t>
      </w:r>
      <w:r>
        <w:rPr>
          <w:rFonts w:ascii="Times New Roman" w:cs="Times New Roman" w:eastAsia="Times New Roman" w:hAnsi="Times New Roman"/>
          <w:sz w:val="22"/>
          <w:szCs w:val="22"/>
          <w:color w:val="auto"/>
        </w:rPr>
        <w:t>. During the Term, if within twelve (12) months after a Sale Event,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2" w:lineRule="exact"/>
        <w:rPr>
          <w:rFonts w:ascii="Times New Roman" w:cs="Times New Roman" w:eastAsia="Times New Roman" w:hAnsi="Times New Roman"/>
          <w:sz w:val="22"/>
          <w:szCs w:val="22"/>
          <w:color w:val="auto"/>
        </w:rPr>
      </w:pPr>
    </w:p>
    <w:p>
      <w:pPr>
        <w:ind w:left="800" w:right="139" w:firstLine="1295"/>
        <w:spacing w:after="0" w:line="238" w:lineRule="auto"/>
        <w:tabs>
          <w:tab w:leader="none" w:pos="2814" w:val="left"/>
        </w:tabs>
        <w:numPr>
          <w:ilvl w:val="3"/>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lump sum in cash in an amount equal to the sum of (A) one and one-half (1½) times the Executive’s current Base Salary (or the Executive’s Base Salary in effect immediately prior to the Sale Event, if higher) plus (B) one and one-half (1½) times the Executive’s Target Incentive Compensation; and</w:t>
      </w:r>
    </w:p>
    <w:p>
      <w:pPr>
        <w:spacing w:after="0" w:line="177" w:lineRule="exact"/>
        <w:rPr>
          <w:rFonts w:ascii="Times New Roman" w:cs="Times New Roman" w:eastAsia="Times New Roman" w:hAnsi="Times New Roman"/>
          <w:sz w:val="22"/>
          <w:szCs w:val="22"/>
          <w:color w:val="auto"/>
        </w:rPr>
      </w:pPr>
    </w:p>
    <w:p>
      <w:pPr>
        <w:ind w:left="800" w:right="259" w:firstLine="1295"/>
        <w:spacing w:after="0" w:line="238" w:lineRule="auto"/>
        <w:tabs>
          <w:tab w:leader="none" w:pos="2847" w:val="left"/>
        </w:tabs>
        <w:numPr>
          <w:ilvl w:val="3"/>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was participating in the Company’s group health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7" w:name="page118"/>
    <w:bookmarkEnd w:id="117"/>
    <w:p>
      <w:pPr>
        <w:ind w:left="800" w:right="199"/>
        <w:spacing w:after="0" w:line="259" w:lineRule="auto"/>
        <w:rPr>
          <w:sz w:val="20"/>
          <w:szCs w:val="20"/>
          <w:color w:val="auto"/>
        </w:rPr>
      </w:pPr>
      <w:r>
        <w:rPr>
          <w:rFonts w:ascii="Times New Roman" w:cs="Times New Roman" w:eastAsia="Times New Roman" w:hAnsi="Times New Roman"/>
          <w:sz w:val="22"/>
          <w:szCs w:val="22"/>
          <w:color w:val="auto"/>
        </w:rPr>
        <w:t>would have made to provide health insurance to the Executive if the Executive had remained employed by the Company; and</w:t>
      </w:r>
    </w:p>
    <w:p>
      <w:pPr>
        <w:spacing w:after="0" w:line="157" w:lineRule="exact"/>
        <w:rPr>
          <w:sz w:val="20"/>
          <w:szCs w:val="20"/>
          <w:color w:val="auto"/>
        </w:rPr>
      </w:pPr>
    </w:p>
    <w:p>
      <w:pPr>
        <w:ind w:left="800" w:right="139" w:firstLine="1295"/>
        <w:spacing w:after="0" w:line="248" w:lineRule="auto"/>
        <w:tabs>
          <w:tab w:leader="none" w:pos="2866"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71" w:lineRule="exact"/>
        <w:rPr>
          <w:sz w:val="20"/>
          <w:szCs w:val="20"/>
          <w:color w:val="auto"/>
        </w:rPr>
      </w:pPr>
    </w:p>
    <w:p>
      <w:pPr>
        <w:ind w:left="160" w:right="339"/>
        <w:spacing w:after="0" w:line="239" w:lineRule="auto"/>
        <w:rPr>
          <w:sz w:val="20"/>
          <w:szCs w:val="20"/>
          <w:color w:val="auto"/>
        </w:rPr>
      </w:pPr>
      <w:r>
        <w:rPr>
          <w:rFonts w:ascii="Times New Roman" w:cs="Times New Roman" w:eastAsia="Times New Roman" w:hAnsi="Times New Roman"/>
          <w:sz w:val="22"/>
          <w:szCs w:val="22"/>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1" w:lineRule="exact"/>
        <w:rPr>
          <w:sz w:val="20"/>
          <w:szCs w:val="20"/>
          <w:color w:val="auto"/>
        </w:rPr>
      </w:pPr>
    </w:p>
    <w:p>
      <w:pPr>
        <w:ind w:left="2160" w:hanging="713"/>
        <w:spacing w:after="0"/>
        <w:tabs>
          <w:tab w:leader="none" w:pos="21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Limitation.</w:t>
      </w:r>
    </w:p>
    <w:p>
      <w:pPr>
        <w:spacing w:after="0" w:line="206" w:lineRule="exact"/>
        <w:rPr>
          <w:rFonts w:ascii="Times New Roman" w:cs="Times New Roman" w:eastAsia="Times New Roman" w:hAnsi="Times New Roman"/>
          <w:sz w:val="22"/>
          <w:szCs w:val="22"/>
          <w:color w:val="auto"/>
        </w:rPr>
      </w:pPr>
    </w:p>
    <w:p>
      <w:pPr>
        <w:ind w:left="800" w:right="199" w:firstLine="1295"/>
        <w:spacing w:after="0" w:line="243" w:lineRule="auto"/>
        <w:tabs>
          <w:tab w:leader="none" w:pos="2814"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w:t>
      </w:r>
    </w:p>
    <w:p>
      <w:pPr>
        <w:spacing w:after="0" w:line="2" w:lineRule="exact"/>
        <w:rPr>
          <w:rFonts w:ascii="Times New Roman" w:cs="Times New Roman" w:eastAsia="Times New Roman" w:hAnsi="Times New Roman"/>
          <w:sz w:val="21"/>
          <w:szCs w:val="21"/>
          <w:color w:val="auto"/>
        </w:rPr>
      </w:pPr>
    </w:p>
    <w:p>
      <w:pPr>
        <w:ind w:left="800" w:right="159"/>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7" w:lineRule="exact"/>
        <w:rPr>
          <w:rFonts w:ascii="Times New Roman" w:cs="Times New Roman" w:eastAsia="Times New Roman" w:hAnsi="Times New Roman"/>
          <w:sz w:val="21"/>
          <w:szCs w:val="21"/>
          <w:color w:val="auto"/>
        </w:rPr>
      </w:pPr>
    </w:p>
    <w:p>
      <w:pPr>
        <w:ind w:left="800" w:right="199" w:firstLine="1295"/>
        <w:spacing w:after="0" w:line="238" w:lineRule="auto"/>
        <w:tabs>
          <w:tab w:leader="none" w:pos="2847"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8" w:name="page119"/>
    <w:bookmarkEnd w:id="118"/>
    <w:p>
      <w:pPr>
        <w:ind w:left="800" w:right="239"/>
        <w:spacing w:after="0"/>
        <w:rPr>
          <w:sz w:val="20"/>
          <w:szCs w:val="20"/>
          <w:color w:val="auto"/>
        </w:rPr>
      </w:pPr>
      <w:r>
        <w:rPr>
          <w:rFonts w:ascii="Times New Roman" w:cs="Times New Roman" w:eastAsia="Times New Roman" w:hAnsi="Times New Roman"/>
          <w:sz w:val="22"/>
          <w:szCs w:val="22"/>
          <w:color w:val="auto"/>
        </w:rPr>
        <w:t>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77" w:lineRule="exact"/>
        <w:rPr>
          <w:sz w:val="20"/>
          <w:szCs w:val="20"/>
          <w:color w:val="auto"/>
        </w:rPr>
      </w:pPr>
    </w:p>
    <w:p>
      <w:pPr>
        <w:ind w:left="800" w:right="219" w:firstLine="1295"/>
        <w:spacing w:after="0" w:line="235" w:lineRule="auto"/>
        <w:tabs>
          <w:tab w:leader="none" w:pos="286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3" w:lineRule="exact"/>
        <w:rPr>
          <w:rFonts w:ascii="Times New Roman" w:cs="Times New Roman" w:eastAsia="Times New Roman" w:hAnsi="Times New Roman"/>
          <w:sz w:val="22"/>
          <w:szCs w:val="22"/>
          <w:color w:val="auto"/>
        </w:rPr>
      </w:pPr>
    </w:p>
    <w:p>
      <w:pPr>
        <w:ind w:left="160" w:right="419" w:firstLine="1287"/>
        <w:spacing w:after="0" w:line="258" w:lineRule="auto"/>
        <w:tabs>
          <w:tab w:leader="none" w:pos="215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5, the following terms shall have the following meanings:</w:t>
      </w:r>
    </w:p>
    <w:p>
      <w:pPr>
        <w:spacing w:after="0" w:line="154" w:lineRule="exact"/>
        <w:rPr>
          <w:sz w:val="20"/>
          <w:szCs w:val="20"/>
          <w:color w:val="auto"/>
        </w:rPr>
      </w:pPr>
    </w:p>
    <w:p>
      <w:pPr>
        <w:ind w:left="160" w:right="15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“Sale Event” </w:t>
      </w:r>
      <w:r>
        <w:rPr>
          <w:rFonts w:ascii="Times New Roman" w:cs="Times New Roman" w:eastAsia="Times New Roman" w:hAnsi="Times New Roman"/>
          <w:sz w:val="22"/>
          <w:szCs w:val="22"/>
          <w:color w:val="auto"/>
        </w:rPr>
        <w:t>shall mean (i) the sale of all or substantially all of the assets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180" w:lineRule="exact"/>
        <w:rPr>
          <w:sz w:val="20"/>
          <w:szCs w:val="20"/>
          <w:color w:val="auto"/>
        </w:rPr>
      </w:pPr>
    </w:p>
    <w:p>
      <w:pPr>
        <w:ind w:left="160" w:right="139" w:firstLine="648"/>
        <w:spacing w:after="0" w:line="234" w:lineRule="auto"/>
        <w:rPr>
          <w:sz w:val="20"/>
          <w:szCs w:val="20"/>
          <w:color w:val="auto"/>
        </w:rPr>
      </w:pPr>
      <w:r>
        <w:rPr>
          <w:rFonts w:ascii="Times New Roman" w:cs="Times New Roman" w:eastAsia="Times New Roman" w:hAnsi="Times New Roman"/>
          <w:sz w:val="22"/>
          <w:szCs w:val="22"/>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9" w:name="page120"/>
    <w:bookmarkEnd w:id="119"/>
    <w:p>
      <w:pPr>
        <w:ind w:left="1480" w:hanging="681"/>
        <w:spacing w:after="0"/>
        <w:tabs>
          <w:tab w:leader="none" w:pos="14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 w:right="179" w:firstLine="1287"/>
        <w:spacing w:after="0" w:line="245" w:lineRule="auto"/>
        <w:tabs>
          <w:tab w:leader="none" w:pos="2155"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1" w:lineRule="exact"/>
        <w:rPr>
          <w:rFonts w:ascii="Times New Roman" w:cs="Times New Roman" w:eastAsia="Times New Roman" w:hAnsi="Times New Roman"/>
          <w:sz w:val="21"/>
          <w:szCs w:val="21"/>
          <w:color w:val="auto"/>
        </w:rPr>
      </w:pPr>
    </w:p>
    <w:p>
      <w:pPr>
        <w:ind w:left="160" w:right="239" w:firstLine="1287"/>
        <w:spacing w:after="0" w:line="246" w:lineRule="auto"/>
        <w:tabs>
          <w:tab w:leader="none" w:pos="2168"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6" w:lineRule="exact"/>
        <w:rPr>
          <w:rFonts w:ascii="Times New Roman" w:cs="Times New Roman" w:eastAsia="Times New Roman" w:hAnsi="Times New Roman"/>
          <w:sz w:val="21"/>
          <w:szCs w:val="21"/>
          <w:color w:val="auto"/>
        </w:rPr>
      </w:pPr>
    </w:p>
    <w:p>
      <w:pPr>
        <w:ind w:left="160" w:right="439" w:firstLine="1287"/>
        <w:spacing w:after="0" w:line="256" w:lineRule="exact"/>
        <w:tabs>
          <w:tab w:leader="none" w:pos="2155"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1(h).</w:t>
      </w:r>
    </w:p>
    <w:p>
      <w:pPr>
        <w:spacing w:after="0" w:line="154" w:lineRule="exact"/>
        <w:rPr>
          <w:rFonts w:ascii="Times New Roman" w:cs="Times New Roman" w:eastAsia="Times New Roman" w:hAnsi="Times New Roman"/>
          <w:sz w:val="21"/>
          <w:szCs w:val="21"/>
          <w:color w:val="auto"/>
        </w:rPr>
      </w:pPr>
    </w:p>
    <w:p>
      <w:pPr>
        <w:ind w:left="160" w:right="179" w:firstLine="1287"/>
        <w:spacing w:after="0" w:line="249" w:lineRule="exact"/>
        <w:tabs>
          <w:tab w:leader="none" w:pos="216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0" w:name="page121"/>
    <w:bookmarkEnd w:id="120"/>
    <w:p>
      <w:pPr>
        <w:ind w:left="160" w:right="319" w:firstLine="1287"/>
        <w:spacing w:after="0"/>
        <w:tabs>
          <w:tab w:leader="none" w:pos="2155"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7" w:lineRule="exact"/>
        <w:rPr>
          <w:rFonts w:ascii="Times New Roman" w:cs="Times New Roman" w:eastAsia="Times New Roman" w:hAnsi="Times New Roman"/>
          <w:sz w:val="22"/>
          <w:szCs w:val="22"/>
          <w:color w:val="auto"/>
        </w:rPr>
      </w:pPr>
    </w:p>
    <w:p>
      <w:pPr>
        <w:ind w:left="160" w:right="239" w:firstLine="639"/>
        <w:spacing w:after="0" w:line="238" w:lineRule="auto"/>
        <w:tabs>
          <w:tab w:leader="none" w:pos="148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Noncompetition and Cooperation</w:t>
      </w:r>
      <w:r>
        <w:rPr>
          <w:rFonts w:ascii="Times New Roman" w:cs="Times New Roman" w:eastAsia="Times New Roman" w:hAnsi="Times New Roman"/>
          <w:sz w:val="22"/>
          <w:szCs w:val="22"/>
          <w:color w:val="auto"/>
        </w:rPr>
        <w:t>. The Executive agrees to the terms of the Non-Solicitation, Non-Competition, Confidentiality and Assignment Agreement, dated as of July 21, 2014, by and between the Company and the Executive (the “Restrictive Covenant Agreement”), the terms of which are hereby are incorporated by reference as material terms of this Agreement.</w:t>
      </w:r>
    </w:p>
    <w:p>
      <w:pPr>
        <w:spacing w:after="0" w:line="177" w:lineRule="exact"/>
        <w:rPr>
          <w:rFonts w:ascii="Times New Roman" w:cs="Times New Roman" w:eastAsia="Times New Roman" w:hAnsi="Times New Roman"/>
          <w:sz w:val="22"/>
          <w:szCs w:val="22"/>
          <w:color w:val="auto"/>
        </w:rPr>
      </w:pPr>
    </w:p>
    <w:p>
      <w:pPr>
        <w:ind w:left="160" w:right="159" w:firstLine="639"/>
        <w:spacing w:after="0" w:line="232" w:lineRule="auto"/>
        <w:tabs>
          <w:tab w:leader="none" w:pos="148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of Disputes</w:t>
      </w:r>
      <w:r>
        <w:rPr>
          <w:rFonts w:ascii="Times New Roman" w:cs="Times New Roman" w:eastAsia="Times New Roman" w:hAnsi="Times New Roman"/>
          <w:sz w:val="22"/>
          <w:szCs w:val="22"/>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92" w:lineRule="exact"/>
        <w:rPr>
          <w:rFonts w:ascii="Times New Roman" w:cs="Times New Roman" w:eastAsia="Times New Roman" w:hAnsi="Times New Roman"/>
          <w:sz w:val="22"/>
          <w:szCs w:val="22"/>
          <w:color w:val="auto"/>
        </w:rPr>
      </w:pPr>
    </w:p>
    <w:p>
      <w:pPr>
        <w:ind w:left="160" w:right="199" w:firstLine="639"/>
        <w:spacing w:after="0" w:line="235" w:lineRule="auto"/>
        <w:tabs>
          <w:tab w:leader="none" w:pos="148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3" w:lineRule="exact"/>
        <w:rPr>
          <w:rFonts w:ascii="Times New Roman" w:cs="Times New Roman" w:eastAsia="Times New Roman" w:hAnsi="Times New Roman"/>
          <w:sz w:val="22"/>
          <w:szCs w:val="22"/>
          <w:color w:val="auto"/>
        </w:rPr>
      </w:pPr>
    </w:p>
    <w:p>
      <w:pPr>
        <w:ind w:left="160" w:right="479" w:firstLine="639"/>
        <w:spacing w:after="0" w:line="244" w:lineRule="auto"/>
        <w:tabs>
          <w:tab w:leader="none" w:pos="152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the Prior Agreement as well as all other prior agreements between the parties concerning such subject matter.</w:t>
      </w:r>
    </w:p>
    <w:p>
      <w:pPr>
        <w:spacing w:after="0" w:line="173" w:lineRule="exact"/>
        <w:rPr>
          <w:rFonts w:ascii="Times New Roman" w:cs="Times New Roman" w:eastAsia="Times New Roman" w:hAnsi="Times New Roman"/>
          <w:sz w:val="22"/>
          <w:szCs w:val="22"/>
          <w:color w:val="auto"/>
        </w:rPr>
      </w:pPr>
    </w:p>
    <w:p>
      <w:pPr>
        <w:ind w:left="160" w:right="339" w:firstLine="639"/>
        <w:spacing w:after="0" w:line="244" w:lineRule="auto"/>
        <w:tabs>
          <w:tab w:leader="none" w:pos="151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by the Company to the Executive under this Agreement shall be net of any tax or other amounts required to be withheld by the Company under applicable law.</w:t>
      </w:r>
    </w:p>
    <w:p>
      <w:pPr>
        <w:spacing w:after="0" w:line="173" w:lineRule="exact"/>
        <w:rPr>
          <w:rFonts w:ascii="Times New Roman" w:cs="Times New Roman" w:eastAsia="Times New Roman" w:hAnsi="Times New Roman"/>
          <w:sz w:val="22"/>
          <w:szCs w:val="22"/>
          <w:color w:val="auto"/>
        </w:rPr>
      </w:pPr>
    </w:p>
    <w:p>
      <w:pPr>
        <w:ind w:left="160" w:right="619" w:firstLine="639"/>
        <w:spacing w:after="0" w:line="258" w:lineRule="auto"/>
        <w:tabs>
          <w:tab w:leader="none" w:pos="152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to the Executive</w:t>
      </w:r>
      <w:r>
        <w:rPr>
          <w:rFonts w:ascii="Times New Roman" w:cs="Times New Roman" w:eastAsia="Times New Roman" w:hAnsi="Times New Roman"/>
          <w:sz w:val="22"/>
          <w:szCs w:val="22"/>
          <w:color w:val="auto"/>
        </w:rPr>
        <w:t>. This Agreement shall inure to the benefit of and be enforceable by the Executive’s personal representatives, executors, administrators, heirs,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1" w:name="page122"/>
    <w:bookmarkEnd w:id="121"/>
    <w:p>
      <w:pPr>
        <w:ind w:left="160" w:right="219"/>
        <w:spacing w:after="0" w:line="238" w:lineRule="auto"/>
        <w:rPr>
          <w:sz w:val="20"/>
          <w:szCs w:val="20"/>
          <w:color w:val="auto"/>
        </w:rPr>
      </w:pPr>
      <w:r>
        <w:rPr>
          <w:rFonts w:ascii="Times New Roman" w:cs="Times New Roman" w:eastAsia="Times New Roman" w:hAnsi="Times New Roman"/>
          <w:sz w:val="22"/>
          <w:szCs w:val="22"/>
          <w:color w:val="auto"/>
        </w:rPr>
        <w:t>distributees, devisees and legatees. In the event of the Executive’s death after his termination of employment but prior to the completion by the Company of all payments due him under this Agreement, the Company shall continue such payments to the Executive’s beneficiary designated in writing to the Company prior to his death (or to his estate, if the Executive fails to make such designation).</w:t>
      </w:r>
    </w:p>
    <w:p>
      <w:pPr>
        <w:spacing w:after="0" w:line="178" w:lineRule="exact"/>
        <w:rPr>
          <w:sz w:val="20"/>
          <w:szCs w:val="20"/>
          <w:color w:val="auto"/>
        </w:rPr>
      </w:pPr>
    </w:p>
    <w:p>
      <w:pPr>
        <w:ind w:left="160" w:right="199" w:firstLine="639"/>
        <w:spacing w:after="0" w:line="249" w:lineRule="auto"/>
        <w:tabs>
          <w:tab w:leader="none" w:pos="152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Times New Roman" w:cs="Times New Roman" w:eastAsia="Times New Roman" w:hAnsi="Times New Roman"/>
          <w:sz w:val="21"/>
          <w:szCs w:val="21"/>
          <w:color w:val="auto"/>
        </w:rPr>
      </w:pPr>
    </w:p>
    <w:p>
      <w:pPr>
        <w:ind w:left="160" w:right="579" w:firstLine="639"/>
        <w:spacing w:after="0" w:line="244" w:lineRule="auto"/>
        <w:tabs>
          <w:tab w:leader="none" w:pos="152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73" w:lineRule="exact"/>
        <w:rPr>
          <w:rFonts w:ascii="Times New Roman" w:cs="Times New Roman" w:eastAsia="Times New Roman" w:hAnsi="Times New Roman"/>
          <w:sz w:val="22"/>
          <w:szCs w:val="22"/>
          <w:color w:val="auto"/>
        </w:rPr>
      </w:pPr>
    </w:p>
    <w:p>
      <w:pPr>
        <w:ind w:left="160" w:right="199" w:firstLine="639"/>
        <w:spacing w:after="0" w:line="238" w:lineRule="auto"/>
        <w:tabs>
          <w:tab w:leader="none" w:pos="152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7" w:lineRule="exact"/>
        <w:rPr>
          <w:rFonts w:ascii="Times New Roman" w:cs="Times New Roman" w:eastAsia="Times New Roman" w:hAnsi="Times New Roman"/>
          <w:sz w:val="22"/>
          <w:szCs w:val="22"/>
          <w:color w:val="auto"/>
        </w:rPr>
      </w:pPr>
    </w:p>
    <w:p>
      <w:pPr>
        <w:ind w:left="160" w:right="219" w:firstLine="639"/>
        <w:spacing w:after="0" w:line="238" w:lineRule="auto"/>
        <w:tabs>
          <w:tab w:leader="none" w:pos="152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7" w:lineRule="exact"/>
        <w:rPr>
          <w:rFonts w:ascii="Times New Roman" w:cs="Times New Roman" w:eastAsia="Times New Roman" w:hAnsi="Times New Roman"/>
          <w:sz w:val="22"/>
          <w:szCs w:val="22"/>
          <w:color w:val="auto"/>
        </w:rPr>
      </w:pPr>
    </w:p>
    <w:p>
      <w:pPr>
        <w:ind w:left="160" w:right="759" w:firstLine="639"/>
        <w:spacing w:after="0" w:line="282" w:lineRule="auto"/>
        <w:tabs>
          <w:tab w:leader="none" w:pos="152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or modified only by a written instrument signed by the Executive and by a duly authorized representative of the Company.</w:t>
      </w:r>
    </w:p>
    <w:p>
      <w:pPr>
        <w:spacing w:after="0" w:line="134" w:lineRule="exact"/>
        <w:rPr>
          <w:rFonts w:ascii="Times New Roman" w:cs="Times New Roman" w:eastAsia="Times New Roman" w:hAnsi="Times New Roman"/>
          <w:sz w:val="21"/>
          <w:szCs w:val="21"/>
          <w:color w:val="auto"/>
        </w:rPr>
      </w:pPr>
    </w:p>
    <w:p>
      <w:pPr>
        <w:ind w:left="160" w:right="259" w:firstLine="639"/>
        <w:spacing w:after="0" w:line="238" w:lineRule="auto"/>
        <w:tabs>
          <w:tab w:leader="none" w:pos="152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77" w:lineRule="exact"/>
        <w:rPr>
          <w:rFonts w:ascii="Times New Roman" w:cs="Times New Roman" w:eastAsia="Times New Roman" w:hAnsi="Times New Roman"/>
          <w:sz w:val="22"/>
          <w:szCs w:val="22"/>
          <w:color w:val="auto"/>
        </w:rPr>
      </w:pPr>
    </w:p>
    <w:p>
      <w:pPr>
        <w:jc w:val="both"/>
        <w:ind w:left="160" w:right="159" w:firstLine="639"/>
        <w:spacing w:after="0" w:line="244" w:lineRule="auto"/>
        <w:tabs>
          <w:tab w:leader="none" w:pos="152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73" w:lineRule="exact"/>
        <w:rPr>
          <w:rFonts w:ascii="Times New Roman" w:cs="Times New Roman" w:eastAsia="Times New Roman" w:hAnsi="Times New Roman"/>
          <w:sz w:val="22"/>
          <w:szCs w:val="22"/>
          <w:color w:val="auto"/>
        </w:rPr>
      </w:pPr>
    </w:p>
    <w:p>
      <w:pPr>
        <w:jc w:val="both"/>
        <w:ind w:left="160" w:right="159" w:firstLine="639"/>
        <w:spacing w:after="0" w:line="239" w:lineRule="auto"/>
        <w:tabs>
          <w:tab w:leader="none" w:pos="152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to Company</w:t>
      </w:r>
      <w:r>
        <w:rPr>
          <w:rFonts w:ascii="Times New Roman" w:cs="Times New Roman" w:eastAsia="Times New Roman" w:hAnsi="Times New Roman"/>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2" w:name="page123"/>
    <w:bookmarkEnd w:id="122"/>
    <w:p>
      <w:pPr>
        <w:ind w:left="160" w:right="999"/>
        <w:spacing w:after="0" w:line="259" w:lineRule="auto"/>
        <w:rPr>
          <w:sz w:val="20"/>
          <w:szCs w:val="20"/>
          <w:color w:val="auto"/>
        </w:rPr>
      </w:pPr>
      <w:r>
        <w:rPr>
          <w:rFonts w:ascii="Times New Roman" w:cs="Times New Roman" w:eastAsia="Times New Roman" w:hAnsi="Times New Roman"/>
          <w:sz w:val="22"/>
          <w:szCs w:val="22"/>
          <w:color w:val="auto"/>
        </w:rPr>
        <w:t>place. Failure of the Company to obtain an assumption of this Agreement at or prior to the effectiveness of any succession shall be a material breach of this Agreement.</w:t>
      </w:r>
    </w:p>
    <w:p>
      <w:pPr>
        <w:spacing w:after="0" w:line="157" w:lineRule="exact"/>
        <w:rPr>
          <w:sz w:val="20"/>
          <w:szCs w:val="20"/>
          <w:color w:val="auto"/>
        </w:rPr>
      </w:pPr>
    </w:p>
    <w:p>
      <w:pPr>
        <w:ind w:left="160" w:right="299" w:firstLine="639"/>
        <w:spacing w:after="0" w:line="258" w:lineRule="auto"/>
        <w:tabs>
          <w:tab w:leader="none" w:pos="152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Gender Neutral</w:t>
      </w:r>
      <w:r>
        <w:rPr>
          <w:rFonts w:ascii="Times New Roman" w:cs="Times New Roman" w:eastAsia="Times New Roman" w:hAnsi="Times New Roman"/>
          <w:sz w:val="22"/>
          <w:szCs w:val="22"/>
          <w:color w:val="auto"/>
        </w:rPr>
        <w:t>. Wherever used herein, a pronoun in the masculine gender shall be considered as including the feminine gender unless the context clearly indicates otherwise.</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3" w:name="page124"/>
    <w:bookmarkEnd w:id="123"/>
    <w:p>
      <w:pPr>
        <w:ind w:left="160" w:right="43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date and year first above written.</w:t>
      </w:r>
    </w:p>
    <w:p>
      <w:pPr>
        <w:spacing w:after="0" w:line="154"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36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Christine Bellon</w:t>
            </w:r>
          </w:p>
        </w:tc>
      </w:tr>
      <w:tr>
        <w:trPr>
          <w:trHeight w:val="236"/>
        </w:trPr>
        <w:tc>
          <w:tcPr>
            <w:tcW w:w="7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1680" w:type="dxa"/>
            <w:vAlign w:val="bottom"/>
            <w:tcBorders>
              <w:top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Christine Bellon</w:t>
            </w:r>
          </w:p>
        </w:tc>
        <w:tc>
          <w:tcPr>
            <w:tcW w:w="1120" w:type="dxa"/>
            <w:vAlign w:val="bottom"/>
          </w:tcPr>
          <w:p>
            <w:pPr>
              <w:spacing w:after="0"/>
              <w:rPr>
                <w:sz w:val="20"/>
                <w:szCs w:val="20"/>
                <w:color w:val="auto"/>
              </w:rPr>
            </w:pPr>
          </w:p>
        </w:tc>
      </w:t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8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Vice President of Legal Affairs</w:t>
            </w:r>
          </w:p>
        </w:tc>
      </w:tr>
    </w:tbl>
    <w:p>
      <w:pPr>
        <w:spacing w:after="0" w:line="200" w:lineRule="exact"/>
        <w:rPr>
          <w:sz w:val="20"/>
          <w:szCs w:val="20"/>
          <w:color w:val="auto"/>
        </w:rPr>
      </w:pPr>
    </w:p>
    <w:p>
      <w:pPr>
        <w:spacing w:after="0" w:line="24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3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u w:val="single" w:color="auto"/>
          <w:color w:val="auto"/>
        </w:rPr>
        <w:t>/s/ Jeffrey W. Albers</w:t>
      </w:r>
    </w:p>
    <w:p>
      <w:pPr>
        <w:spacing w:after="0" w:line="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Jeffrey W. Albers</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236855</wp:posOffset>
            </wp:positionV>
            <wp:extent cx="554863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24" w:name="page125"/>
    <w:bookmarkEnd w:id="124"/>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4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EXECUTION COPY</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200" w:lineRule="exact"/>
        <w:rPr>
          <w:sz w:val="20"/>
          <w:szCs w:val="20"/>
          <w:color w:val="auto"/>
        </w:rPr>
      </w:pPr>
    </w:p>
    <w:p>
      <w:pPr>
        <w:spacing w:after="0" w:line="243" w:lineRule="exact"/>
        <w:rPr>
          <w:sz w:val="20"/>
          <w:szCs w:val="20"/>
          <w:color w:val="auto"/>
        </w:rPr>
      </w:pPr>
    </w:p>
    <w:p>
      <w:pPr>
        <w:jc w:val="both"/>
        <w:ind w:left="160" w:right="1019"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(“Agreement”) is dated as of November 6, 2015 (the “Effective Date”), between Blueprint Medicines Corporation, a Delaware corporation (the “Company”), and Christoph Lengauer (the “Executive”).</w:t>
      </w:r>
    </w:p>
    <w:p>
      <w:pPr>
        <w:spacing w:after="0" w:line="174" w:lineRule="exact"/>
        <w:rPr>
          <w:sz w:val="20"/>
          <w:szCs w:val="20"/>
          <w:color w:val="auto"/>
        </w:rPr>
      </w:pPr>
    </w:p>
    <w:p>
      <w:pPr>
        <w:ind w:left="160" w:right="199"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and the Executive previously entered in an offer letter agreement, dated November 22, 2011, as amended (the “Prior Agreement”), which the Company and the Executive intend to replace in its entirety with this Agreement; and</w:t>
      </w:r>
    </w:p>
    <w:p>
      <w:pPr>
        <w:spacing w:after="0" w:line="174" w:lineRule="exact"/>
        <w:rPr>
          <w:sz w:val="20"/>
          <w:szCs w:val="20"/>
          <w:color w:val="auto"/>
        </w:rPr>
      </w:pPr>
    </w:p>
    <w:p>
      <w:pPr>
        <w:ind w:left="160" w:right="399" w:firstLine="648"/>
        <w:spacing w:after="0" w:line="282" w:lineRule="auto"/>
        <w:rPr>
          <w:sz w:val="20"/>
          <w:szCs w:val="20"/>
          <w:color w:val="auto"/>
        </w:rPr>
      </w:pPr>
      <w:r>
        <w:rPr>
          <w:rFonts w:ascii="Times New Roman" w:cs="Times New Roman" w:eastAsia="Times New Roman" w:hAnsi="Times New Roman"/>
          <w:sz w:val="21"/>
          <w:szCs w:val="21"/>
          <w:color w:val="auto"/>
        </w:rPr>
        <w:t>WHEREAS, the Company desires to continue to employ the Executive and the Executive desires to continue to be employed by the Company on the terms and conditions contained herein.</w:t>
      </w:r>
    </w:p>
    <w:p>
      <w:pPr>
        <w:spacing w:after="0" w:line="135" w:lineRule="exact"/>
        <w:rPr>
          <w:sz w:val="20"/>
          <w:szCs w:val="20"/>
          <w:color w:val="auto"/>
        </w:rPr>
      </w:pPr>
    </w:p>
    <w:p>
      <w:pPr>
        <w:ind w:left="160" w:right="25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4" w:lineRule="exact"/>
        <w:rPr>
          <w:sz w:val="20"/>
          <w:szCs w:val="20"/>
          <w:color w:val="auto"/>
        </w:rPr>
      </w:pPr>
    </w:p>
    <w:p>
      <w:pPr>
        <w:ind w:left="1480" w:hanging="681"/>
        <w:spacing w:after="0"/>
        <w:tabs>
          <w:tab w:leader="none" w:pos="14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 w:right="519" w:firstLine="1287"/>
        <w:spacing w:after="0" w:line="282" w:lineRule="auto"/>
        <w:tabs>
          <w:tab w:leader="none" w:pos="2155" w:val="left"/>
        </w:tabs>
        <w:numPr>
          <w:ilvl w:val="1"/>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this Agreement shall commence on the Effective Date and continue until terminated in accordance with the provisions of Section 3 (the “Term”).</w:t>
      </w:r>
    </w:p>
    <w:p>
      <w:pPr>
        <w:spacing w:after="0" w:line="134" w:lineRule="exact"/>
        <w:rPr>
          <w:rFonts w:ascii="Times New Roman" w:cs="Times New Roman" w:eastAsia="Times New Roman" w:hAnsi="Times New Roman"/>
          <w:sz w:val="21"/>
          <w:szCs w:val="21"/>
          <w:color w:val="auto"/>
        </w:rPr>
      </w:pPr>
    </w:p>
    <w:p>
      <w:pPr>
        <w:ind w:left="160" w:right="159" w:firstLine="1287"/>
        <w:spacing w:after="0" w:line="234" w:lineRule="auto"/>
        <w:tabs>
          <w:tab w:leader="none" w:pos="2168"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as the Chief Scientific Officer of the Company, and shall have such duties as are consistent with such position. The Executive shall report to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his duties to the Company as provided in this Agreement.</w:t>
      </w:r>
    </w:p>
    <w:p>
      <w:pPr>
        <w:spacing w:after="0" w:line="184" w:lineRule="exact"/>
        <w:rPr>
          <w:rFonts w:ascii="Times New Roman" w:cs="Times New Roman" w:eastAsia="Times New Roman" w:hAnsi="Times New Roman"/>
          <w:sz w:val="22"/>
          <w:szCs w:val="22"/>
          <w:color w:val="auto"/>
        </w:rPr>
      </w:pPr>
    </w:p>
    <w:p>
      <w:pPr>
        <w:ind w:left="1480" w:hanging="681"/>
        <w:spacing w:after="0"/>
        <w:tabs>
          <w:tab w:leader="none" w:pos="14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140" w:hanging="693"/>
        <w:spacing w:after="0"/>
        <w:tabs>
          <w:tab w:leader="none" w:pos="21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Executive’s annual base salary shall be</w:t>
      </w:r>
    </w:p>
    <w:p>
      <w:pPr>
        <w:spacing w:after="0" w:line="14" w:lineRule="exact"/>
        <w:rPr>
          <w:sz w:val="20"/>
          <w:szCs w:val="20"/>
          <w:color w:val="auto"/>
        </w:rPr>
      </w:pPr>
    </w:p>
    <w:p>
      <w:pPr>
        <w:ind w:left="160" w:right="359"/>
        <w:spacing w:after="0" w:line="233" w:lineRule="auto"/>
        <w:rPr>
          <w:sz w:val="20"/>
          <w:szCs w:val="20"/>
          <w:color w:val="auto"/>
        </w:rPr>
      </w:pPr>
      <w:r>
        <w:rPr>
          <w:rFonts w:ascii="Times New Roman" w:cs="Times New Roman" w:eastAsia="Times New Roman" w:hAnsi="Times New Roman"/>
          <w:sz w:val="22"/>
          <w:szCs w:val="22"/>
          <w:color w:val="auto"/>
        </w:rPr>
        <w:t>$415,000. The Executive’s base salary shall be re-determined annually by the Board or the Compensation Committee and shall be subject to increase but not decrease while serving in this role. The annual base salary in effect at any given time is referred to herein as “Base Salary.” The Base Salary shall be payable in a manner that is consistent with the Company’s usual payroll practices for senior executives.</w:t>
      </w:r>
    </w:p>
    <w:p>
      <w:pPr>
        <w:spacing w:after="0" w:line="180" w:lineRule="exact"/>
        <w:rPr>
          <w:sz w:val="20"/>
          <w:szCs w:val="20"/>
          <w:color w:val="auto"/>
        </w:rPr>
      </w:pPr>
    </w:p>
    <w:p>
      <w:pPr>
        <w:ind w:left="160" w:right="179" w:firstLine="1287"/>
        <w:spacing w:after="0" w:line="239" w:lineRule="auto"/>
        <w:tabs>
          <w:tab w:leader="none" w:pos="216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During the Term, the Executive shall be eligible to receive cash incentive compensation as determined by the Board or the Compensation Committee from time to time. The Executive’s target annual incentive compensation shall be thirty-five percent (35%) of his Base Salary (the “Target Incentive Compensation”). To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269240</wp:posOffset>
            </wp:positionV>
            <wp:extent cx="554863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5" w:name="page126"/>
    <w:bookmarkEnd w:id="125"/>
    <w:p>
      <w:pPr>
        <w:ind w:left="160" w:right="159"/>
        <w:spacing w:after="0" w:line="259" w:lineRule="auto"/>
        <w:rPr>
          <w:sz w:val="20"/>
          <w:szCs w:val="20"/>
          <w:color w:val="auto"/>
        </w:rPr>
      </w:pPr>
      <w:r>
        <w:rPr>
          <w:rFonts w:ascii="Times New Roman" w:cs="Times New Roman" w:eastAsia="Times New Roman" w:hAnsi="Times New Roman"/>
          <w:sz w:val="22"/>
          <w:szCs w:val="22"/>
          <w:color w:val="auto"/>
        </w:rPr>
        <w:t>incentive compensation, the Executive must be employed by the Company on the day such incentive compensation is paid.</w:t>
      </w:r>
    </w:p>
    <w:p>
      <w:pPr>
        <w:spacing w:after="0" w:line="157" w:lineRule="exact"/>
        <w:rPr>
          <w:sz w:val="20"/>
          <w:szCs w:val="20"/>
          <w:color w:val="auto"/>
        </w:rPr>
      </w:pPr>
    </w:p>
    <w:p>
      <w:pPr>
        <w:ind w:left="160" w:right="299" w:firstLine="1287"/>
        <w:spacing w:after="0" w:line="239" w:lineRule="auto"/>
        <w:tabs>
          <w:tab w:leader="none" w:pos="2155"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him during the Term in performing services hereunder, in accordance with the policies and procedures then in effect and established by the Company for its senior executive officers.</w:t>
      </w:r>
    </w:p>
    <w:p>
      <w:pPr>
        <w:spacing w:after="0" w:line="180" w:lineRule="exact"/>
        <w:rPr>
          <w:rFonts w:ascii="Times New Roman" w:cs="Times New Roman" w:eastAsia="Times New Roman" w:hAnsi="Times New Roman"/>
          <w:sz w:val="22"/>
          <w:szCs w:val="22"/>
          <w:color w:val="auto"/>
        </w:rPr>
      </w:pPr>
    </w:p>
    <w:p>
      <w:pPr>
        <w:ind w:left="160" w:right="159" w:firstLine="1287"/>
        <w:spacing w:after="0" w:line="244" w:lineRule="auto"/>
        <w:tabs>
          <w:tab w:leader="none" w:pos="2168"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During the Term, the Executive shall be eligible to participate in or receive benefits under the Company’s employee benefit plans in effect from time to time, subject to the terms of such plans.</w:t>
      </w:r>
    </w:p>
    <w:p>
      <w:pPr>
        <w:spacing w:after="0" w:line="173" w:lineRule="exact"/>
        <w:rPr>
          <w:rFonts w:ascii="Times New Roman" w:cs="Times New Roman" w:eastAsia="Times New Roman" w:hAnsi="Times New Roman"/>
          <w:sz w:val="22"/>
          <w:szCs w:val="22"/>
          <w:color w:val="auto"/>
        </w:rPr>
      </w:pPr>
    </w:p>
    <w:p>
      <w:pPr>
        <w:ind w:left="160" w:right="459" w:firstLine="1287"/>
        <w:spacing w:after="0" w:line="258" w:lineRule="auto"/>
        <w:tabs>
          <w:tab w:leader="none" w:pos="2155"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During the Term, the Executive shall be entitled to accrue paid vacation in accordance with the Company’s applicable policy.</w:t>
      </w:r>
    </w:p>
    <w:p>
      <w:pPr>
        <w:spacing w:after="0" w:line="158" w:lineRule="exact"/>
        <w:rPr>
          <w:rFonts w:ascii="Times New Roman" w:cs="Times New Roman" w:eastAsia="Times New Roman" w:hAnsi="Times New Roman"/>
          <w:sz w:val="22"/>
          <w:szCs w:val="22"/>
          <w:color w:val="auto"/>
        </w:rPr>
      </w:pPr>
    </w:p>
    <w:p>
      <w:pPr>
        <w:ind w:left="160" w:right="719" w:firstLine="639"/>
        <w:spacing w:after="0" w:line="258" w:lineRule="auto"/>
        <w:tabs>
          <w:tab w:leader="none" w:pos="148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During the Term, the Executive’s employment hereunder may be terminated without any breach of this Agreement under the following circumstances:</w:t>
      </w:r>
    </w:p>
    <w:p>
      <w:pPr>
        <w:spacing w:after="0" w:line="158" w:lineRule="exact"/>
        <w:rPr>
          <w:rFonts w:ascii="Times New Roman" w:cs="Times New Roman" w:eastAsia="Times New Roman" w:hAnsi="Times New Roman"/>
          <w:sz w:val="22"/>
          <w:szCs w:val="22"/>
          <w:color w:val="auto"/>
        </w:rPr>
      </w:pPr>
    </w:p>
    <w:p>
      <w:pPr>
        <w:ind w:left="2140" w:hanging="693"/>
        <w:spacing w:after="0"/>
        <w:tabs>
          <w:tab w:leader="none" w:pos="214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his</w:t>
      </w:r>
    </w:p>
    <w:p>
      <w:pPr>
        <w:spacing w:after="0" w:line="14" w:lineRule="exact"/>
        <w:rPr>
          <w:rFonts w:ascii="Times New Roman" w:cs="Times New Roman" w:eastAsia="Times New Roman" w:hAnsi="Times New Roman"/>
          <w:sz w:val="22"/>
          <w:szCs w:val="22"/>
          <w:color w:val="auto"/>
        </w:rPr>
      </w:pPr>
    </w:p>
    <w:p>
      <w:pPr>
        <w:ind w:left="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82" w:lineRule="exact"/>
        <w:rPr>
          <w:rFonts w:ascii="Times New Roman" w:cs="Times New Roman" w:eastAsia="Times New Roman" w:hAnsi="Times New Roman"/>
          <w:sz w:val="22"/>
          <w:szCs w:val="22"/>
          <w:color w:val="auto"/>
        </w:rPr>
      </w:pPr>
    </w:p>
    <w:p>
      <w:pPr>
        <w:ind w:left="160" w:right="159" w:firstLine="1287"/>
        <w:spacing w:after="0" w:line="244" w:lineRule="auto"/>
        <w:tabs>
          <w:tab w:leader="none" w:pos="216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the Americans with Disabilities Act, 42 U.S.C. §12101 </w:t>
      </w:r>
      <w:r>
        <w:rPr>
          <w:rFonts w:ascii="Times New Roman" w:cs="Times New Roman" w:eastAsia="Times New Roman" w:hAnsi="Times New Roman"/>
          <w:sz w:val="21"/>
          <w:szCs w:val="21"/>
          <w:i w:val="1"/>
          <w:iCs w:val="1"/>
          <w:color w:val="auto"/>
        </w:rPr>
        <w:t>et seq.</w:t>
      </w:r>
    </w:p>
    <w:p>
      <w:pPr>
        <w:spacing w:after="0" w:line="177" w:lineRule="exact"/>
        <w:rPr>
          <w:rFonts w:ascii="Times New Roman" w:cs="Times New Roman" w:eastAsia="Times New Roman" w:hAnsi="Times New Roman"/>
          <w:sz w:val="21"/>
          <w:szCs w:val="21"/>
          <w:color w:val="auto"/>
        </w:rPr>
      </w:pPr>
    </w:p>
    <w:p>
      <w:pPr>
        <w:ind w:left="160" w:right="159" w:firstLine="1287"/>
        <w:spacing w:after="0" w:line="235" w:lineRule="auto"/>
        <w:tabs>
          <w:tab w:leader="none" w:pos="2155"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for Cause</w:t>
      </w:r>
      <w:r>
        <w:rPr>
          <w:rFonts w:ascii="Times New Roman" w:cs="Times New Roman" w:eastAsia="Times New Roman" w:hAnsi="Times New Roman"/>
          <w:sz w:val="22"/>
          <w:szCs w:val="22"/>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6" w:name="page127"/>
    <w:bookmarkEnd w:id="126"/>
    <w:p>
      <w:pPr>
        <w:ind w:left="160" w:right="259"/>
        <w:spacing w:after="0" w:line="234" w:lineRule="auto"/>
        <w:rPr>
          <w:sz w:val="20"/>
          <w:szCs w:val="20"/>
          <w:color w:val="auto"/>
        </w:rPr>
      </w:pPr>
      <w:r>
        <w:rPr>
          <w:rFonts w:ascii="Times New Roman" w:cs="Times New Roman" w:eastAsia="Times New Roman" w:hAnsi="Times New Roman"/>
          <w:sz w:val="22"/>
          <w:szCs w:val="22"/>
          <w:color w:val="auto"/>
        </w:rPr>
        <w:t>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7" w:lineRule="exact"/>
        <w:rPr>
          <w:sz w:val="20"/>
          <w:szCs w:val="20"/>
          <w:color w:val="auto"/>
        </w:rPr>
      </w:pPr>
    </w:p>
    <w:p>
      <w:pPr>
        <w:ind w:left="160" w:right="319" w:firstLine="1287"/>
        <w:spacing w:after="0" w:line="251" w:lineRule="auto"/>
        <w:tabs>
          <w:tab w:leader="none" w:pos="215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Without Cause</w:t>
      </w:r>
      <w:r>
        <w:rPr>
          <w:rFonts w:ascii="Times New Roman" w:cs="Times New Roman" w:eastAsia="Times New Roman" w:hAnsi="Times New Roman"/>
          <w:sz w:val="21"/>
          <w:szCs w:val="21"/>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68" w:lineRule="exact"/>
        <w:rPr>
          <w:rFonts w:ascii="Times New Roman" w:cs="Times New Roman" w:eastAsia="Times New Roman" w:hAnsi="Times New Roman"/>
          <w:sz w:val="21"/>
          <w:szCs w:val="21"/>
          <w:color w:val="auto"/>
        </w:rPr>
      </w:pPr>
    </w:p>
    <w:p>
      <w:pPr>
        <w:ind w:left="160" w:right="159" w:firstLine="1287"/>
        <w:spacing w:after="0" w:line="232" w:lineRule="auto"/>
        <w:tabs>
          <w:tab w:leader="none" w:pos="216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189" w:lineRule="exact"/>
        <w:rPr>
          <w:sz w:val="20"/>
          <w:szCs w:val="20"/>
          <w:color w:val="auto"/>
        </w:rPr>
      </w:pPr>
    </w:p>
    <w:p>
      <w:pPr>
        <w:ind w:left="160" w:right="299" w:firstLine="1287"/>
        <w:spacing w:after="0" w:line="238" w:lineRule="auto"/>
        <w:tabs>
          <w:tab w:leader="none" w:pos="216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27" w:name="page128"/>
    <w:bookmarkEnd w:id="127"/>
    <w:p>
      <w:pPr>
        <w:ind w:left="160" w:right="159" w:firstLine="1287"/>
        <w:spacing w:after="0" w:line="233" w:lineRule="auto"/>
        <w:tabs>
          <w:tab w:leader="none" w:pos="215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w:t>
      </w:r>
    </w:p>
    <w:p>
      <w:pPr>
        <w:spacing w:after="0" w:line="2" w:lineRule="exact"/>
        <w:rPr>
          <w:rFonts w:ascii="Times New Roman" w:cs="Times New Roman" w:eastAsia="Times New Roman" w:hAnsi="Times New Roman"/>
          <w:sz w:val="22"/>
          <w:szCs w:val="22"/>
          <w:color w:val="auto"/>
        </w:rPr>
      </w:pPr>
    </w:p>
    <w:p>
      <w:pPr>
        <w:ind w:left="160" w:right="259"/>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66" w:lineRule="exact"/>
        <w:rPr>
          <w:rFonts w:ascii="Times New Roman" w:cs="Times New Roman" w:eastAsia="Times New Roman" w:hAnsi="Times New Roman"/>
          <w:sz w:val="22"/>
          <w:szCs w:val="22"/>
          <w:color w:val="auto"/>
        </w:rPr>
      </w:pPr>
    </w:p>
    <w:p>
      <w:pPr>
        <w:ind w:left="1480" w:hanging="681"/>
        <w:spacing w:after="0"/>
        <w:tabs>
          <w:tab w:leader="none" w:pos="14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 w:right="179" w:firstLine="1287"/>
        <w:spacing w:after="0" w:line="234" w:lineRule="auto"/>
        <w:tabs>
          <w:tab w:leader="none" w:pos="2155"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84" w:lineRule="exact"/>
        <w:rPr>
          <w:rFonts w:ascii="Times New Roman" w:cs="Times New Roman" w:eastAsia="Times New Roman" w:hAnsi="Times New Roman"/>
          <w:sz w:val="22"/>
          <w:szCs w:val="22"/>
          <w:color w:val="auto"/>
        </w:rPr>
      </w:pPr>
    </w:p>
    <w:p>
      <w:pPr>
        <w:ind w:left="160" w:right="259" w:firstLine="1287"/>
        <w:spacing w:after="0" w:line="234" w:lineRule="auto"/>
        <w:tabs>
          <w:tab w:leader="none" w:pos="216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the Executive with Good Reason</w:t>
      </w:r>
      <w:r>
        <w:rPr>
          <w:rFonts w:ascii="Times New Roman" w:cs="Times New Roman" w:eastAsia="Times New Roman" w:hAnsi="Times New Roman"/>
          <w:sz w:val="22"/>
          <w:szCs w:val="22"/>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184" w:lineRule="exact"/>
        <w:rPr>
          <w:sz w:val="20"/>
          <w:szCs w:val="20"/>
          <w:color w:val="auto"/>
        </w:rPr>
      </w:pPr>
    </w:p>
    <w:p>
      <w:pPr>
        <w:ind w:left="2820" w:hanging="725"/>
        <w:spacing w:after="0"/>
        <w:tabs>
          <w:tab w:leader="none" w:pos="28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one (1)</w:t>
      </w:r>
    </w:p>
    <w:p>
      <w:pPr>
        <w:spacing w:after="0" w:line="14"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times the Executive’s Base Salary (the “Severance Amount”); and</w:t>
      </w:r>
    </w:p>
    <w:p>
      <w:pPr>
        <w:spacing w:after="0" w:line="182" w:lineRule="exact"/>
        <w:rPr>
          <w:sz w:val="20"/>
          <w:szCs w:val="20"/>
          <w:color w:val="auto"/>
        </w:rPr>
      </w:pPr>
    </w:p>
    <w:p>
      <w:pPr>
        <w:ind w:left="800" w:right="159" w:firstLine="1295"/>
        <w:spacing w:after="0" w:line="249" w:lineRule="auto"/>
        <w:tabs>
          <w:tab w:leader="none" w:pos="2814"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8" w:name="page129"/>
    <w:bookmarkEnd w:id="128"/>
    <w:p>
      <w:pPr>
        <w:ind w:left="160" w:right="299"/>
        <w:spacing w:after="0" w:line="242" w:lineRule="auto"/>
        <w:rPr>
          <w:sz w:val="20"/>
          <w:szCs w:val="20"/>
          <w:color w:val="auto"/>
        </w:rPr>
      </w:pPr>
      <w:r>
        <w:rPr>
          <w:rFonts w:ascii="Times New Roman" w:cs="Times New Roman" w:eastAsia="Times New Roman" w:hAnsi="Times New Roman"/>
          <w:sz w:val="22"/>
          <w:szCs w:val="22"/>
          <w:color w:val="auto"/>
        </w:rPr>
        <w:t>The amounts payable under this Section 4(b) shall be paid out in substantially equal installments in accordance with the Company’s payroll practice over twelve (12) months commencing within</w:t>
      </w:r>
    </w:p>
    <w:p>
      <w:pPr>
        <w:spacing w:after="0" w:line="1" w:lineRule="exact"/>
        <w:rPr>
          <w:sz w:val="20"/>
          <w:szCs w:val="20"/>
          <w:color w:val="auto"/>
        </w:rPr>
      </w:pPr>
    </w:p>
    <w:p>
      <w:pPr>
        <w:ind w:left="160" w:right="139"/>
        <w:spacing w:after="0" w:line="233" w:lineRule="auto"/>
        <w:rPr>
          <w:sz w:val="20"/>
          <w:szCs w:val="20"/>
          <w:color w:val="auto"/>
        </w:rPr>
      </w:pPr>
      <w:r>
        <w:rPr>
          <w:rFonts w:ascii="Times New Roman" w:cs="Times New Roman" w:eastAsia="Times New Roman" w:hAnsi="Times New Roman"/>
          <w:sz w:val="22"/>
          <w:szCs w:val="22"/>
          <w:color w:val="auto"/>
        </w:rPr>
        <w:t>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77" w:lineRule="exact"/>
        <w:rPr>
          <w:sz w:val="20"/>
          <w:szCs w:val="20"/>
          <w:color w:val="auto"/>
        </w:rPr>
      </w:pPr>
    </w:p>
    <w:p>
      <w:pPr>
        <w:ind w:left="160" w:right="199"/>
        <w:spacing w:after="0" w:line="235" w:lineRule="auto"/>
        <w:rPr>
          <w:sz w:val="20"/>
          <w:szCs w:val="20"/>
          <w:color w:val="auto"/>
        </w:rPr>
      </w:pPr>
      <w:r>
        <w:rPr>
          <w:rFonts w:ascii="Times New Roman" w:cs="Times New Roman" w:eastAsia="Times New Roman" w:hAnsi="Times New Roman"/>
          <w:sz w:val="22"/>
          <w:szCs w:val="22"/>
          <w:color w:val="auto"/>
        </w:rPr>
        <w:t>The receipt of any severance payments or benefits pursuant to Section 4 will be subject to Executive not violating the Restrictive Covenant Agreement (as defined below), the terms of which are hereby incorporated by reference. In the event Executive breaches the Restrictive Covenant Agreement, in addition to all other legal and equitable remedies, the Company shall have the right to terminate or suspend all continuing payments and benefits to which Executive may otherwise be entitled pursuant to Section 4 without affecting the Executive’s release or Executive’s obligations under the Separation Agreement and Release</w:t>
      </w:r>
    </w:p>
    <w:p>
      <w:pPr>
        <w:spacing w:after="0" w:line="184" w:lineRule="exact"/>
        <w:rPr>
          <w:sz w:val="20"/>
          <w:szCs w:val="20"/>
          <w:color w:val="auto"/>
        </w:rPr>
      </w:pPr>
    </w:p>
    <w:p>
      <w:pPr>
        <w:ind w:left="160" w:right="319" w:firstLine="639"/>
        <w:spacing w:after="0" w:line="244" w:lineRule="auto"/>
        <w:tabs>
          <w:tab w:leader="none" w:pos="1483"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Event Payment</w:t>
      </w:r>
      <w:r>
        <w:rPr>
          <w:rFonts w:ascii="Times New Roman" w:cs="Times New Roman" w:eastAsia="Times New Roman" w:hAnsi="Times New Roman"/>
          <w:sz w:val="21"/>
          <w:szCs w:val="21"/>
          <w:color w:val="auto"/>
        </w:rPr>
        <w:t>. The provisions of this Section 5 set forth certain terms of an agreement reached between the Executive and the Company regarding the Executive’s rights and obligations upon the occurrence of a Sale Event (as defined below).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w:t>
      </w:r>
    </w:p>
    <w:p>
      <w:pPr>
        <w:spacing w:after="0" w:line="2" w:lineRule="exact"/>
        <w:rPr>
          <w:rFonts w:ascii="Times New Roman" w:cs="Times New Roman" w:eastAsia="Times New Roman" w:hAnsi="Times New Roman"/>
          <w:sz w:val="21"/>
          <w:szCs w:val="21"/>
          <w:color w:val="auto"/>
        </w:rPr>
      </w:pPr>
    </w:p>
    <w:p>
      <w:pPr>
        <w:ind w:left="560" w:hanging="409"/>
        <w:spacing w:after="0"/>
        <w:tabs>
          <w:tab w:leader="none" w:pos="5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occurrence of a Sale Event.</w:t>
      </w:r>
    </w:p>
    <w:p>
      <w:pPr>
        <w:spacing w:after="0" w:line="182" w:lineRule="exact"/>
        <w:rPr>
          <w:rFonts w:ascii="Times New Roman" w:cs="Times New Roman" w:eastAsia="Times New Roman" w:hAnsi="Times New Roman"/>
          <w:sz w:val="22"/>
          <w:szCs w:val="22"/>
          <w:color w:val="auto"/>
        </w:rPr>
      </w:pPr>
    </w:p>
    <w:p>
      <w:pPr>
        <w:ind w:left="160" w:right="259" w:firstLine="1287"/>
        <w:spacing w:after="0" w:line="236" w:lineRule="auto"/>
        <w:tabs>
          <w:tab w:leader="none" w:pos="2155" w:val="left"/>
        </w:tabs>
        <w:numPr>
          <w:ilvl w:val="2"/>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Event</w:t>
      </w:r>
      <w:r>
        <w:rPr>
          <w:rFonts w:ascii="Times New Roman" w:cs="Times New Roman" w:eastAsia="Times New Roman" w:hAnsi="Times New Roman"/>
          <w:sz w:val="22"/>
          <w:szCs w:val="22"/>
          <w:color w:val="auto"/>
        </w:rPr>
        <w:t>. During the Term, if within twelve (12) months after a Sale Event,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2" w:lineRule="exact"/>
        <w:rPr>
          <w:rFonts w:ascii="Times New Roman" w:cs="Times New Roman" w:eastAsia="Times New Roman" w:hAnsi="Times New Roman"/>
          <w:sz w:val="22"/>
          <w:szCs w:val="22"/>
          <w:color w:val="auto"/>
        </w:rPr>
      </w:pPr>
    </w:p>
    <w:p>
      <w:pPr>
        <w:ind w:left="800" w:right="199" w:firstLine="1295"/>
        <w:spacing w:after="0" w:line="249" w:lineRule="auto"/>
        <w:tabs>
          <w:tab w:leader="none" w:pos="2814" w:val="left"/>
        </w:tabs>
        <w:numPr>
          <w:ilvl w:val="3"/>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the Executive a lump sum in cash in an amount equal to the sum of (A) one (1) times the Executive’s current Base Salary (or the Executive’s Base Salary in effect immediately prior to the Sale Event, if higher) plus (B) one</w:t>
      </w:r>
    </w:p>
    <w:p>
      <w:pPr>
        <w:spacing w:after="0" w:line="1" w:lineRule="exact"/>
        <w:rPr>
          <w:rFonts w:ascii="Times New Roman" w:cs="Times New Roman" w:eastAsia="Times New Roman" w:hAnsi="Times New Roman"/>
          <w:sz w:val="21"/>
          <w:szCs w:val="21"/>
          <w:color w:val="auto"/>
        </w:rPr>
      </w:pPr>
    </w:p>
    <w:p>
      <w:pPr>
        <w:ind w:left="8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 times the Executive’s Target Incentive Compensation; and</w:t>
      </w:r>
    </w:p>
    <w:p>
      <w:pPr>
        <w:spacing w:after="0" w:line="182" w:lineRule="exact"/>
        <w:rPr>
          <w:rFonts w:ascii="Times New Roman" w:cs="Times New Roman" w:eastAsia="Times New Roman" w:hAnsi="Times New Roman"/>
          <w:sz w:val="21"/>
          <w:szCs w:val="21"/>
          <w:color w:val="auto"/>
        </w:rPr>
      </w:pPr>
    </w:p>
    <w:p>
      <w:pPr>
        <w:ind w:left="800" w:right="139" w:firstLine="1295"/>
        <w:spacing w:after="0" w:line="235" w:lineRule="auto"/>
        <w:tabs>
          <w:tab w:leader="none" w:pos="2847" w:val="left"/>
        </w:tabs>
        <w:numPr>
          <w:ilvl w:val="3"/>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9" w:name="page130"/>
    <w:bookmarkEnd w:id="129"/>
    <w:p>
      <w:pPr>
        <w:ind w:left="800" w:right="139" w:firstLine="1295"/>
        <w:spacing w:after="0" w:line="248" w:lineRule="auto"/>
        <w:tabs>
          <w:tab w:leader="none" w:pos="286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72" w:lineRule="exact"/>
        <w:rPr>
          <w:sz w:val="20"/>
          <w:szCs w:val="20"/>
          <w:color w:val="auto"/>
        </w:rPr>
      </w:pPr>
    </w:p>
    <w:p>
      <w:pPr>
        <w:ind w:left="160" w:right="319"/>
        <w:spacing w:after="0" w:line="239" w:lineRule="auto"/>
        <w:rPr>
          <w:sz w:val="20"/>
          <w:szCs w:val="20"/>
          <w:color w:val="auto"/>
        </w:rPr>
      </w:pPr>
      <w:r>
        <w:rPr>
          <w:rFonts w:ascii="Times New Roman" w:cs="Times New Roman" w:eastAsia="Times New Roman" w:hAnsi="Times New Roman"/>
          <w:sz w:val="22"/>
          <w:szCs w:val="22"/>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1" w:lineRule="exact"/>
        <w:rPr>
          <w:sz w:val="20"/>
          <w:szCs w:val="20"/>
          <w:color w:val="auto"/>
        </w:rPr>
      </w:pPr>
    </w:p>
    <w:p>
      <w:pPr>
        <w:ind w:left="2140" w:hanging="693"/>
        <w:spacing w:after="0"/>
        <w:tabs>
          <w:tab w:leader="none" w:pos="21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Limitation.</w:t>
      </w:r>
    </w:p>
    <w:p>
      <w:pPr>
        <w:spacing w:after="0" w:line="206" w:lineRule="exact"/>
        <w:rPr>
          <w:rFonts w:ascii="Times New Roman" w:cs="Times New Roman" w:eastAsia="Times New Roman" w:hAnsi="Times New Roman"/>
          <w:sz w:val="22"/>
          <w:szCs w:val="22"/>
          <w:color w:val="auto"/>
        </w:rPr>
      </w:pPr>
    </w:p>
    <w:p>
      <w:pPr>
        <w:ind w:left="800" w:right="199" w:firstLine="1295"/>
        <w:spacing w:after="0" w:line="243" w:lineRule="auto"/>
        <w:tabs>
          <w:tab w:leader="none" w:pos="2814"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w:t>
      </w:r>
    </w:p>
    <w:p>
      <w:pPr>
        <w:spacing w:after="0" w:line="2" w:lineRule="exact"/>
        <w:rPr>
          <w:rFonts w:ascii="Times New Roman" w:cs="Times New Roman" w:eastAsia="Times New Roman" w:hAnsi="Times New Roman"/>
          <w:sz w:val="21"/>
          <w:szCs w:val="21"/>
          <w:color w:val="auto"/>
        </w:rPr>
      </w:pPr>
    </w:p>
    <w:p>
      <w:pPr>
        <w:ind w:left="800" w:right="159"/>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7" w:lineRule="exact"/>
        <w:rPr>
          <w:rFonts w:ascii="Times New Roman" w:cs="Times New Roman" w:eastAsia="Times New Roman" w:hAnsi="Times New Roman"/>
          <w:sz w:val="21"/>
          <w:szCs w:val="21"/>
          <w:color w:val="auto"/>
        </w:rPr>
      </w:pPr>
    </w:p>
    <w:p>
      <w:pPr>
        <w:ind w:left="800" w:right="199" w:firstLine="1295"/>
        <w:spacing w:after="0" w:line="235" w:lineRule="auto"/>
        <w:tabs>
          <w:tab w:leader="none" w:pos="2847"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0" w:name="page131"/>
    <w:bookmarkEnd w:id="130"/>
    <w:p>
      <w:pPr>
        <w:ind w:left="800" w:right="799"/>
        <w:spacing w:after="0" w:line="282" w:lineRule="auto"/>
        <w:rPr>
          <w:sz w:val="20"/>
          <w:szCs w:val="20"/>
          <w:color w:val="auto"/>
        </w:rPr>
      </w:pPr>
      <w:r>
        <w:rPr>
          <w:rFonts w:ascii="Times New Roman" w:cs="Times New Roman" w:eastAsia="Times New Roman" w:hAnsi="Times New Roman"/>
          <w:sz w:val="21"/>
          <w:szCs w:val="21"/>
          <w:color w:val="auto"/>
        </w:rPr>
        <w:t>taxation in each applicable state and locality, net of the maximum reduction in federal income taxes which could be obtained from deduction of such state and local taxes.</w:t>
      </w:r>
    </w:p>
    <w:p>
      <w:pPr>
        <w:spacing w:after="0" w:line="135" w:lineRule="exact"/>
        <w:rPr>
          <w:sz w:val="20"/>
          <w:szCs w:val="20"/>
          <w:color w:val="auto"/>
        </w:rPr>
      </w:pPr>
    </w:p>
    <w:p>
      <w:pPr>
        <w:ind w:left="800" w:right="219" w:firstLine="1295"/>
        <w:spacing w:after="0" w:line="235" w:lineRule="auto"/>
        <w:tabs>
          <w:tab w:leader="none" w:pos="286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3" w:lineRule="exact"/>
        <w:rPr>
          <w:rFonts w:ascii="Times New Roman" w:cs="Times New Roman" w:eastAsia="Times New Roman" w:hAnsi="Times New Roman"/>
          <w:sz w:val="22"/>
          <w:szCs w:val="22"/>
          <w:color w:val="auto"/>
        </w:rPr>
      </w:pPr>
    </w:p>
    <w:p>
      <w:pPr>
        <w:ind w:left="160" w:right="419" w:firstLine="1287"/>
        <w:spacing w:after="0" w:line="258" w:lineRule="auto"/>
        <w:tabs>
          <w:tab w:leader="none" w:pos="2168"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5, the following terms shall have the following meanings:</w:t>
      </w:r>
    </w:p>
    <w:p>
      <w:pPr>
        <w:spacing w:after="0" w:line="154" w:lineRule="exact"/>
        <w:rPr>
          <w:sz w:val="20"/>
          <w:szCs w:val="20"/>
          <w:color w:val="auto"/>
        </w:rPr>
      </w:pPr>
    </w:p>
    <w:p>
      <w:pPr>
        <w:ind w:left="160" w:right="15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“Sale Event” </w:t>
      </w:r>
      <w:r>
        <w:rPr>
          <w:rFonts w:ascii="Times New Roman" w:cs="Times New Roman" w:eastAsia="Times New Roman" w:hAnsi="Times New Roman"/>
          <w:sz w:val="22"/>
          <w:szCs w:val="22"/>
          <w:color w:val="auto"/>
        </w:rPr>
        <w:t>shall mean (i) the sale of all or substantially all of the assets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180" w:lineRule="exact"/>
        <w:rPr>
          <w:sz w:val="20"/>
          <w:szCs w:val="20"/>
          <w:color w:val="auto"/>
        </w:rPr>
      </w:pPr>
    </w:p>
    <w:p>
      <w:pPr>
        <w:ind w:left="160" w:right="139" w:firstLine="648"/>
        <w:spacing w:after="0" w:line="234" w:lineRule="auto"/>
        <w:rPr>
          <w:sz w:val="20"/>
          <w:szCs w:val="20"/>
          <w:color w:val="auto"/>
        </w:rPr>
      </w:pPr>
      <w:r>
        <w:rPr>
          <w:rFonts w:ascii="Times New Roman" w:cs="Times New Roman" w:eastAsia="Times New Roman" w:hAnsi="Times New Roman"/>
          <w:sz w:val="22"/>
          <w:szCs w:val="22"/>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177" w:lineRule="exact"/>
        <w:rPr>
          <w:sz w:val="20"/>
          <w:szCs w:val="20"/>
          <w:color w:val="auto"/>
        </w:rPr>
      </w:pPr>
    </w:p>
    <w:p>
      <w:pPr>
        <w:ind w:left="1480" w:hanging="681"/>
        <w:spacing w:after="0"/>
        <w:tabs>
          <w:tab w:leader="none" w:pos="14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 w:right="259" w:firstLine="1287"/>
        <w:spacing w:after="0" w:line="258" w:lineRule="auto"/>
        <w:tabs>
          <w:tab w:leader="none" w:pos="2155"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the Executive’s separation from service within the meaning of Section 409A of the Code, the</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1" w:name="page132"/>
    <w:bookmarkEnd w:id="131"/>
    <w:p>
      <w:pPr>
        <w:ind w:left="160" w:right="179"/>
        <w:spacing w:after="0" w:line="245" w:lineRule="auto"/>
        <w:rPr>
          <w:sz w:val="20"/>
          <w:szCs w:val="20"/>
          <w:color w:val="auto"/>
        </w:rPr>
      </w:pPr>
      <w:r>
        <w:rPr>
          <w:rFonts w:ascii="Times New Roman" w:cs="Times New Roman" w:eastAsia="Times New Roman" w:hAnsi="Times New Roman"/>
          <w:sz w:val="21"/>
          <w:szCs w:val="21"/>
          <w:color w:val="auto"/>
        </w:rPr>
        <w:t>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9" w:lineRule="exact"/>
        <w:rPr>
          <w:sz w:val="20"/>
          <w:szCs w:val="20"/>
          <w:color w:val="auto"/>
        </w:rPr>
      </w:pPr>
    </w:p>
    <w:p>
      <w:pPr>
        <w:ind w:left="160" w:right="239" w:firstLine="1287"/>
        <w:spacing w:after="0" w:line="246" w:lineRule="auto"/>
        <w:tabs>
          <w:tab w:leader="none" w:pos="2168"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6" w:lineRule="exact"/>
        <w:rPr>
          <w:rFonts w:ascii="Times New Roman" w:cs="Times New Roman" w:eastAsia="Times New Roman" w:hAnsi="Times New Roman"/>
          <w:sz w:val="21"/>
          <w:szCs w:val="21"/>
          <w:color w:val="auto"/>
        </w:rPr>
      </w:pPr>
    </w:p>
    <w:p>
      <w:pPr>
        <w:ind w:left="160" w:right="439" w:firstLine="1287"/>
        <w:spacing w:after="0" w:line="256" w:lineRule="exact"/>
        <w:tabs>
          <w:tab w:leader="none" w:pos="2155"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1(h).</w:t>
      </w:r>
    </w:p>
    <w:p>
      <w:pPr>
        <w:spacing w:after="0" w:line="154" w:lineRule="exact"/>
        <w:rPr>
          <w:rFonts w:ascii="Times New Roman" w:cs="Times New Roman" w:eastAsia="Times New Roman" w:hAnsi="Times New Roman"/>
          <w:sz w:val="21"/>
          <w:szCs w:val="21"/>
          <w:color w:val="auto"/>
        </w:rPr>
      </w:pPr>
    </w:p>
    <w:p>
      <w:pPr>
        <w:ind w:left="160" w:right="179" w:firstLine="1287"/>
        <w:spacing w:after="0" w:line="249" w:lineRule="exact"/>
        <w:tabs>
          <w:tab w:leader="none" w:pos="216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8" w:lineRule="exact"/>
        <w:rPr>
          <w:rFonts w:ascii="Times New Roman" w:cs="Times New Roman" w:eastAsia="Times New Roman" w:hAnsi="Times New Roman"/>
          <w:sz w:val="22"/>
          <w:szCs w:val="22"/>
          <w:color w:val="auto"/>
        </w:rPr>
      </w:pPr>
    </w:p>
    <w:p>
      <w:pPr>
        <w:ind w:left="160" w:right="319" w:firstLine="1287"/>
        <w:spacing w:after="0" w:line="239" w:lineRule="auto"/>
        <w:tabs>
          <w:tab w:leader="none" w:pos="2155"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2" w:name="page133"/>
    <w:bookmarkEnd w:id="132"/>
    <w:p>
      <w:pPr>
        <w:ind w:left="160" w:right="239" w:firstLine="639"/>
        <w:spacing w:after="0" w:line="238" w:lineRule="auto"/>
        <w:tabs>
          <w:tab w:leader="none" w:pos="148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Noncompetition and Cooperation</w:t>
      </w:r>
      <w:r>
        <w:rPr>
          <w:rFonts w:ascii="Times New Roman" w:cs="Times New Roman" w:eastAsia="Times New Roman" w:hAnsi="Times New Roman"/>
          <w:sz w:val="22"/>
          <w:szCs w:val="22"/>
          <w:color w:val="auto"/>
        </w:rPr>
        <w:t>. The Executive agrees to the terms of the Non-Solicitation, Non-Competition, Confidentiality and Assignment Agreement, dated as of November 25, 2011, by and between the Company and the Executive (the “Restrictive Covenant Agreement”), the terms of which are hereby are incorporated by reference as material terms of this Agreement.</w:t>
      </w:r>
    </w:p>
    <w:p>
      <w:pPr>
        <w:spacing w:after="0" w:line="178" w:lineRule="exact"/>
        <w:rPr>
          <w:sz w:val="20"/>
          <w:szCs w:val="20"/>
          <w:color w:val="auto"/>
        </w:rPr>
      </w:pPr>
    </w:p>
    <w:p>
      <w:pPr>
        <w:ind w:left="160" w:right="159" w:firstLine="639"/>
        <w:spacing w:after="0" w:line="232" w:lineRule="auto"/>
        <w:tabs>
          <w:tab w:leader="none" w:pos="148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of Disputes</w:t>
      </w:r>
      <w:r>
        <w:rPr>
          <w:rFonts w:ascii="Times New Roman" w:cs="Times New Roman" w:eastAsia="Times New Roman" w:hAnsi="Times New Roman"/>
          <w:sz w:val="22"/>
          <w:szCs w:val="22"/>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93" w:lineRule="exact"/>
        <w:rPr>
          <w:sz w:val="20"/>
          <w:szCs w:val="20"/>
          <w:color w:val="auto"/>
        </w:rPr>
      </w:pPr>
    </w:p>
    <w:p>
      <w:pPr>
        <w:ind w:left="160" w:right="199" w:firstLine="639"/>
        <w:spacing w:after="0" w:line="235" w:lineRule="auto"/>
        <w:tabs>
          <w:tab w:leader="none" w:pos="148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3" w:lineRule="exact"/>
        <w:rPr>
          <w:rFonts w:ascii="Times New Roman" w:cs="Times New Roman" w:eastAsia="Times New Roman" w:hAnsi="Times New Roman"/>
          <w:sz w:val="22"/>
          <w:szCs w:val="22"/>
          <w:color w:val="auto"/>
        </w:rPr>
      </w:pPr>
    </w:p>
    <w:p>
      <w:pPr>
        <w:jc w:val="both"/>
        <w:ind w:left="160" w:right="519" w:firstLine="639"/>
        <w:spacing w:after="0" w:line="244" w:lineRule="auto"/>
        <w:tabs>
          <w:tab w:leader="none" w:pos="148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the Prior Agreement as well as all other prior agreements between the parties concerning such subject matter.</w:t>
      </w:r>
    </w:p>
    <w:p>
      <w:pPr>
        <w:spacing w:after="0" w:line="173" w:lineRule="exact"/>
        <w:rPr>
          <w:rFonts w:ascii="Times New Roman" w:cs="Times New Roman" w:eastAsia="Times New Roman" w:hAnsi="Times New Roman"/>
          <w:sz w:val="22"/>
          <w:szCs w:val="22"/>
          <w:color w:val="auto"/>
        </w:rPr>
      </w:pPr>
    </w:p>
    <w:p>
      <w:pPr>
        <w:ind w:left="160" w:right="339" w:firstLine="639"/>
        <w:spacing w:after="0" w:line="244" w:lineRule="auto"/>
        <w:tabs>
          <w:tab w:leader="none" w:pos="152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by the Company to the Executive under this Agreement shall be net of any tax or other amounts required to be withheld by the Company under applicable law.</w:t>
      </w:r>
    </w:p>
    <w:p>
      <w:pPr>
        <w:spacing w:after="0" w:line="173" w:lineRule="exact"/>
        <w:rPr>
          <w:rFonts w:ascii="Times New Roman" w:cs="Times New Roman" w:eastAsia="Times New Roman" w:hAnsi="Times New Roman"/>
          <w:sz w:val="22"/>
          <w:szCs w:val="22"/>
          <w:color w:val="auto"/>
        </w:rPr>
      </w:pPr>
    </w:p>
    <w:p>
      <w:pPr>
        <w:ind w:left="160" w:right="219" w:firstLine="639"/>
        <w:spacing w:after="0" w:line="235" w:lineRule="auto"/>
        <w:tabs>
          <w:tab w:leader="none" w:pos="151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to the Executive</w:t>
      </w:r>
      <w:r>
        <w:rPr>
          <w:rFonts w:ascii="Times New Roman" w:cs="Times New Roman" w:eastAsia="Times New Roman" w:hAnsi="Times New Roman"/>
          <w:sz w:val="22"/>
          <w:szCs w:val="22"/>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him under this Agreement, the Company shall continue such payments to the Executive’s beneficiary designated in writing to the Company prior to his death (or to his estate, if the Executive fails to make such designation).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3" w:name="page134"/>
    <w:bookmarkEnd w:id="133"/>
    <w:p>
      <w:pPr>
        <w:ind w:left="160" w:right="199" w:firstLine="639"/>
        <w:spacing w:after="0" w:line="249" w:lineRule="auto"/>
        <w:tabs>
          <w:tab w:leader="none" w:pos="152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Times New Roman" w:cs="Times New Roman" w:eastAsia="Times New Roman" w:hAnsi="Times New Roman"/>
          <w:sz w:val="21"/>
          <w:szCs w:val="21"/>
          <w:color w:val="auto"/>
        </w:rPr>
      </w:pPr>
    </w:p>
    <w:p>
      <w:pPr>
        <w:ind w:left="160" w:right="579" w:firstLine="639"/>
        <w:spacing w:after="0" w:line="244" w:lineRule="auto"/>
        <w:tabs>
          <w:tab w:leader="none" w:pos="15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73" w:lineRule="exact"/>
        <w:rPr>
          <w:rFonts w:ascii="Times New Roman" w:cs="Times New Roman" w:eastAsia="Times New Roman" w:hAnsi="Times New Roman"/>
          <w:sz w:val="22"/>
          <w:szCs w:val="22"/>
          <w:color w:val="auto"/>
        </w:rPr>
      </w:pPr>
    </w:p>
    <w:p>
      <w:pPr>
        <w:ind w:left="160" w:right="199" w:firstLine="639"/>
        <w:spacing w:after="0" w:line="238" w:lineRule="auto"/>
        <w:tabs>
          <w:tab w:leader="none" w:pos="15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7" w:lineRule="exact"/>
        <w:rPr>
          <w:rFonts w:ascii="Times New Roman" w:cs="Times New Roman" w:eastAsia="Times New Roman" w:hAnsi="Times New Roman"/>
          <w:sz w:val="22"/>
          <w:szCs w:val="22"/>
          <w:color w:val="auto"/>
        </w:rPr>
      </w:pPr>
    </w:p>
    <w:p>
      <w:pPr>
        <w:ind w:left="160" w:right="219" w:firstLine="639"/>
        <w:spacing w:after="0" w:line="238" w:lineRule="auto"/>
        <w:tabs>
          <w:tab w:leader="none" w:pos="15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7" w:lineRule="exact"/>
        <w:rPr>
          <w:rFonts w:ascii="Times New Roman" w:cs="Times New Roman" w:eastAsia="Times New Roman" w:hAnsi="Times New Roman"/>
          <w:sz w:val="22"/>
          <w:szCs w:val="22"/>
          <w:color w:val="auto"/>
        </w:rPr>
      </w:pPr>
    </w:p>
    <w:p>
      <w:pPr>
        <w:ind w:left="160" w:right="759" w:firstLine="639"/>
        <w:spacing w:after="0" w:line="282" w:lineRule="auto"/>
        <w:tabs>
          <w:tab w:leader="none" w:pos="152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or modified only by a written instrument signed by the Executive and by a duly authorized representative of the Company.</w:t>
      </w:r>
    </w:p>
    <w:p>
      <w:pPr>
        <w:spacing w:after="0" w:line="134" w:lineRule="exact"/>
        <w:rPr>
          <w:rFonts w:ascii="Times New Roman" w:cs="Times New Roman" w:eastAsia="Times New Roman" w:hAnsi="Times New Roman"/>
          <w:sz w:val="21"/>
          <w:szCs w:val="21"/>
          <w:color w:val="auto"/>
        </w:rPr>
      </w:pPr>
    </w:p>
    <w:p>
      <w:pPr>
        <w:ind w:left="160" w:right="259" w:firstLine="639"/>
        <w:spacing w:after="0" w:line="238" w:lineRule="auto"/>
        <w:tabs>
          <w:tab w:leader="none" w:pos="15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77" w:lineRule="exact"/>
        <w:rPr>
          <w:rFonts w:ascii="Times New Roman" w:cs="Times New Roman" w:eastAsia="Times New Roman" w:hAnsi="Times New Roman"/>
          <w:sz w:val="22"/>
          <w:szCs w:val="22"/>
          <w:color w:val="auto"/>
        </w:rPr>
      </w:pPr>
    </w:p>
    <w:p>
      <w:pPr>
        <w:jc w:val="both"/>
        <w:ind w:left="160" w:right="159" w:firstLine="639"/>
        <w:spacing w:after="0" w:line="244" w:lineRule="auto"/>
        <w:tabs>
          <w:tab w:leader="none" w:pos="15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73" w:lineRule="exact"/>
        <w:rPr>
          <w:rFonts w:ascii="Times New Roman" w:cs="Times New Roman" w:eastAsia="Times New Roman" w:hAnsi="Times New Roman"/>
          <w:sz w:val="22"/>
          <w:szCs w:val="22"/>
          <w:color w:val="auto"/>
        </w:rPr>
      </w:pPr>
    </w:p>
    <w:p>
      <w:pPr>
        <w:ind w:left="160" w:right="159" w:firstLine="639"/>
        <w:spacing w:after="0" w:line="236" w:lineRule="auto"/>
        <w:tabs>
          <w:tab w:leader="none" w:pos="15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to Company</w:t>
      </w:r>
      <w:r>
        <w:rPr>
          <w:rFonts w:ascii="Times New Roman" w:cs="Times New Roman" w:eastAsia="Times New Roman" w:hAnsi="Times New Roman"/>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2" w:lineRule="exact"/>
        <w:rPr>
          <w:rFonts w:ascii="Times New Roman" w:cs="Times New Roman" w:eastAsia="Times New Roman" w:hAnsi="Times New Roman"/>
          <w:sz w:val="22"/>
          <w:szCs w:val="22"/>
          <w:color w:val="auto"/>
        </w:rPr>
      </w:pPr>
    </w:p>
    <w:p>
      <w:pPr>
        <w:ind w:left="160" w:right="299" w:firstLine="639"/>
        <w:spacing w:after="0" w:line="258" w:lineRule="auto"/>
        <w:tabs>
          <w:tab w:leader="none" w:pos="152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Gender Neutral</w:t>
      </w:r>
      <w:r>
        <w:rPr>
          <w:rFonts w:ascii="Times New Roman" w:cs="Times New Roman" w:eastAsia="Times New Roman" w:hAnsi="Times New Roman"/>
          <w:sz w:val="22"/>
          <w:szCs w:val="22"/>
          <w:color w:val="auto"/>
        </w:rPr>
        <w:t>. Wherever used herein, a pronoun in the masculine gender shall be considered as including the feminine gender unless the context clearly indicates otherwise.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234315</wp:posOffset>
            </wp:positionV>
            <wp:extent cx="554863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4" w:name="page135"/>
    <w:bookmarkEnd w:id="134"/>
    <w:p>
      <w:pPr>
        <w:ind w:left="160" w:right="43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date and year first above written.</w:t>
      </w:r>
    </w:p>
    <w:p>
      <w:pPr>
        <w:spacing w:after="0" w:line="154"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36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Jeffrey W. Albers</w:t>
            </w:r>
          </w:p>
        </w:tc>
      </w:tr>
      <w:tr>
        <w:trPr>
          <w:trHeight w:val="236"/>
        </w:trPr>
        <w:tc>
          <w:tcPr>
            <w:tcW w:w="7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1780" w:type="dxa"/>
            <w:vAlign w:val="bottom"/>
            <w:tcBorders>
              <w:top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Jeffrey W. Albers</w:t>
            </w:r>
          </w:p>
        </w:tc>
        <w:tc>
          <w:tcPr>
            <w:tcW w:w="1620" w:type="dxa"/>
            <w:vAlign w:val="bottom"/>
          </w:tcPr>
          <w:p>
            <w:pPr>
              <w:spacing w:after="0"/>
              <w:rPr>
                <w:sz w:val="20"/>
                <w:szCs w:val="20"/>
                <w:color w:val="auto"/>
              </w:rPr>
            </w:pPr>
          </w:p>
        </w:tc>
      </w:t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u w:val="single" w:color="auto"/>
          <w:color w:val="auto"/>
        </w:rPr>
        <w:t>/s/ Christoph Lengauer</w:t>
      </w:r>
    </w:p>
    <w:p>
      <w:pPr>
        <w:spacing w:after="0" w:line="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Christoph Lengauer</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236855</wp:posOffset>
            </wp:positionV>
            <wp:extent cx="554863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35" w:name="page136"/>
    <w:bookmarkEnd w:id="135"/>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43"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EXECUTION COPY</w:t>
      </w:r>
    </w:p>
    <w:p>
      <w:pPr>
        <w:spacing w:after="0" w:line="2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200" w:lineRule="exact"/>
        <w:rPr>
          <w:sz w:val="20"/>
          <w:szCs w:val="20"/>
          <w:color w:val="auto"/>
        </w:rPr>
      </w:pPr>
    </w:p>
    <w:p>
      <w:pPr>
        <w:spacing w:after="0" w:line="243" w:lineRule="exact"/>
        <w:rPr>
          <w:sz w:val="20"/>
          <w:szCs w:val="20"/>
          <w:color w:val="auto"/>
        </w:rPr>
      </w:pPr>
    </w:p>
    <w:p>
      <w:pPr>
        <w:jc w:val="both"/>
        <w:ind w:left="160" w:right="1019" w:firstLine="648"/>
        <w:spacing w:after="0" w:line="244" w:lineRule="auto"/>
        <w:rPr>
          <w:sz w:val="20"/>
          <w:szCs w:val="20"/>
          <w:color w:val="auto"/>
        </w:rPr>
      </w:pPr>
      <w:r>
        <w:rPr>
          <w:rFonts w:ascii="Times New Roman" w:cs="Times New Roman" w:eastAsia="Times New Roman" w:hAnsi="Times New Roman"/>
          <w:sz w:val="22"/>
          <w:szCs w:val="22"/>
          <w:color w:val="auto"/>
        </w:rPr>
        <w:t>This Employment Agreement (“Agreement”) is dated as of November 6, 2015 (the “Effective Date”), between Blueprint Medicines Corporation, a Delaware corporation (the “Company”), and Anthony L. Boral (the “Executive”).</w:t>
      </w:r>
    </w:p>
    <w:p>
      <w:pPr>
        <w:spacing w:after="0" w:line="174" w:lineRule="exact"/>
        <w:rPr>
          <w:sz w:val="20"/>
          <w:szCs w:val="20"/>
          <w:color w:val="auto"/>
        </w:rPr>
      </w:pPr>
    </w:p>
    <w:p>
      <w:pPr>
        <w:jc w:val="both"/>
        <w:ind w:left="160" w:right="199" w:firstLine="648"/>
        <w:spacing w:after="0" w:line="244" w:lineRule="auto"/>
        <w:rPr>
          <w:sz w:val="20"/>
          <w:szCs w:val="20"/>
          <w:color w:val="auto"/>
        </w:rPr>
      </w:pPr>
      <w:r>
        <w:rPr>
          <w:rFonts w:ascii="Times New Roman" w:cs="Times New Roman" w:eastAsia="Times New Roman" w:hAnsi="Times New Roman"/>
          <w:sz w:val="22"/>
          <w:szCs w:val="22"/>
          <w:color w:val="auto"/>
        </w:rPr>
        <w:t>WHEREAS, the Company and the Executive previously entered in an offer letter agreement, dated November 20, 2014 (the “Prior Agreement”), which the Company and the Executive intend to replace in its entirety with this Agreement; and</w:t>
      </w:r>
    </w:p>
    <w:p>
      <w:pPr>
        <w:spacing w:after="0" w:line="174" w:lineRule="exact"/>
        <w:rPr>
          <w:sz w:val="20"/>
          <w:szCs w:val="20"/>
          <w:color w:val="auto"/>
        </w:rPr>
      </w:pPr>
    </w:p>
    <w:p>
      <w:pPr>
        <w:ind w:left="160" w:right="399" w:firstLine="648"/>
        <w:spacing w:after="0" w:line="282" w:lineRule="auto"/>
        <w:rPr>
          <w:sz w:val="20"/>
          <w:szCs w:val="20"/>
          <w:color w:val="auto"/>
        </w:rPr>
      </w:pPr>
      <w:r>
        <w:rPr>
          <w:rFonts w:ascii="Times New Roman" w:cs="Times New Roman" w:eastAsia="Times New Roman" w:hAnsi="Times New Roman"/>
          <w:sz w:val="21"/>
          <w:szCs w:val="21"/>
          <w:color w:val="auto"/>
        </w:rPr>
        <w:t>WHEREAS, the Company desires to continue to employ the Executive and the Executive desires to continue to be employed by the Company on the terms and conditions contained herein.</w:t>
      </w:r>
    </w:p>
    <w:p>
      <w:pPr>
        <w:spacing w:after="0" w:line="135" w:lineRule="exact"/>
        <w:rPr>
          <w:sz w:val="20"/>
          <w:szCs w:val="20"/>
          <w:color w:val="auto"/>
        </w:rPr>
      </w:pPr>
    </w:p>
    <w:p>
      <w:pPr>
        <w:ind w:left="160" w:right="259" w:firstLine="648"/>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4" w:lineRule="exact"/>
        <w:rPr>
          <w:sz w:val="20"/>
          <w:szCs w:val="20"/>
          <w:color w:val="auto"/>
        </w:rPr>
      </w:pPr>
    </w:p>
    <w:p>
      <w:pPr>
        <w:ind w:left="1480" w:hanging="681"/>
        <w:spacing w:after="0"/>
        <w:tabs>
          <w:tab w:leader="none" w:pos="14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 w:right="519" w:firstLine="1287"/>
        <w:spacing w:after="0" w:line="282" w:lineRule="auto"/>
        <w:tabs>
          <w:tab w:leader="none" w:pos="2155"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this Agreement shall commence on the Effective Date and continue until terminated in accordance with the provisions of Section 3 (the “Term”).</w:t>
      </w:r>
    </w:p>
    <w:p>
      <w:pPr>
        <w:spacing w:after="0" w:line="134" w:lineRule="exact"/>
        <w:rPr>
          <w:rFonts w:ascii="Times New Roman" w:cs="Times New Roman" w:eastAsia="Times New Roman" w:hAnsi="Times New Roman"/>
          <w:sz w:val="21"/>
          <w:szCs w:val="21"/>
          <w:color w:val="auto"/>
        </w:rPr>
      </w:pPr>
    </w:p>
    <w:p>
      <w:pPr>
        <w:ind w:left="160" w:right="199" w:firstLine="1287"/>
        <w:spacing w:after="0" w:line="234" w:lineRule="auto"/>
        <w:tabs>
          <w:tab w:leader="none" w:pos="216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as the Senior Vice President, Clinical Development of the Company, and shall have such duties as are consistent with such position. The Executive shall report to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his duties to the Company as provided in this Agreement.</w:t>
      </w:r>
    </w:p>
    <w:p>
      <w:pPr>
        <w:spacing w:after="0" w:line="184" w:lineRule="exact"/>
        <w:rPr>
          <w:rFonts w:ascii="Times New Roman" w:cs="Times New Roman" w:eastAsia="Times New Roman" w:hAnsi="Times New Roman"/>
          <w:sz w:val="22"/>
          <w:szCs w:val="22"/>
          <w:color w:val="auto"/>
        </w:rPr>
      </w:pPr>
    </w:p>
    <w:p>
      <w:pPr>
        <w:ind w:left="1480" w:hanging="681"/>
        <w:spacing w:after="0"/>
        <w:tabs>
          <w:tab w:leader="none" w:pos="148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2140" w:hanging="693"/>
        <w:spacing w:after="0"/>
        <w:tabs>
          <w:tab w:leader="none" w:pos="2140"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Executive’s annual base salary shall be</w:t>
      </w:r>
    </w:p>
    <w:p>
      <w:pPr>
        <w:spacing w:after="0" w:line="14" w:lineRule="exact"/>
        <w:rPr>
          <w:sz w:val="20"/>
          <w:szCs w:val="20"/>
          <w:color w:val="auto"/>
        </w:rPr>
      </w:pPr>
    </w:p>
    <w:p>
      <w:pPr>
        <w:ind w:left="160" w:right="359"/>
        <w:spacing w:after="0" w:line="233" w:lineRule="auto"/>
        <w:rPr>
          <w:sz w:val="20"/>
          <w:szCs w:val="20"/>
          <w:color w:val="auto"/>
        </w:rPr>
      </w:pPr>
      <w:r>
        <w:rPr>
          <w:rFonts w:ascii="Times New Roman" w:cs="Times New Roman" w:eastAsia="Times New Roman" w:hAnsi="Times New Roman"/>
          <w:sz w:val="22"/>
          <w:szCs w:val="22"/>
          <w:color w:val="auto"/>
        </w:rPr>
        <w:t>$325,000. The Executive’s base salary shall be re-determined annually by the Board or the Compensation Committee and shall be subject to increase but not decrease while serving in this role. The annual base salary in effect at any given time is referred to herein as “Base Salary.” The Base Salary shall be payable in a manner that is consistent with the Company’s usual payroll practices for senior executives.</w:t>
      </w:r>
    </w:p>
    <w:p>
      <w:pPr>
        <w:spacing w:after="0" w:line="180" w:lineRule="exact"/>
        <w:rPr>
          <w:sz w:val="20"/>
          <w:szCs w:val="20"/>
          <w:color w:val="auto"/>
        </w:rPr>
      </w:pPr>
    </w:p>
    <w:p>
      <w:pPr>
        <w:ind w:left="160" w:right="219" w:firstLine="1287"/>
        <w:spacing w:after="0" w:line="239" w:lineRule="auto"/>
        <w:tabs>
          <w:tab w:leader="none" w:pos="216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During the Term, the Executive shall be eligible to receive cash incentive compensation as determined by the Board or the Compensation Committee from time to time. The Executive’s target annual incentive compensation shall be thirty percent (30%) of his Base Salary (the “Target Incentive Compensation”). To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269240</wp:posOffset>
            </wp:positionV>
            <wp:extent cx="554863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6" w:name="page137"/>
    <w:bookmarkEnd w:id="136"/>
    <w:p>
      <w:pPr>
        <w:ind w:left="160" w:right="159"/>
        <w:spacing w:after="0" w:line="259" w:lineRule="auto"/>
        <w:rPr>
          <w:sz w:val="20"/>
          <w:szCs w:val="20"/>
          <w:color w:val="auto"/>
        </w:rPr>
      </w:pPr>
      <w:r>
        <w:rPr>
          <w:rFonts w:ascii="Times New Roman" w:cs="Times New Roman" w:eastAsia="Times New Roman" w:hAnsi="Times New Roman"/>
          <w:sz w:val="22"/>
          <w:szCs w:val="22"/>
          <w:color w:val="auto"/>
        </w:rPr>
        <w:t>incentive compensation, the Executive must be employed by the Company on the day such incentive compensation is paid.</w:t>
      </w:r>
    </w:p>
    <w:p>
      <w:pPr>
        <w:spacing w:after="0" w:line="157" w:lineRule="exact"/>
        <w:rPr>
          <w:sz w:val="20"/>
          <w:szCs w:val="20"/>
          <w:color w:val="auto"/>
        </w:rPr>
      </w:pPr>
    </w:p>
    <w:p>
      <w:pPr>
        <w:ind w:left="160" w:right="299" w:firstLine="1287"/>
        <w:spacing w:after="0" w:line="239" w:lineRule="auto"/>
        <w:tabs>
          <w:tab w:leader="none" w:pos="215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him during the Term in performing services hereunder, in accordance with the policies and procedures then in effect and established by the Company for its senior executive officers.</w:t>
      </w:r>
    </w:p>
    <w:p>
      <w:pPr>
        <w:spacing w:after="0" w:line="180" w:lineRule="exact"/>
        <w:rPr>
          <w:rFonts w:ascii="Times New Roman" w:cs="Times New Roman" w:eastAsia="Times New Roman" w:hAnsi="Times New Roman"/>
          <w:sz w:val="22"/>
          <w:szCs w:val="22"/>
          <w:color w:val="auto"/>
        </w:rPr>
      </w:pPr>
    </w:p>
    <w:p>
      <w:pPr>
        <w:ind w:left="160" w:right="159" w:firstLine="1287"/>
        <w:spacing w:after="0" w:line="244" w:lineRule="auto"/>
        <w:tabs>
          <w:tab w:leader="none" w:pos="2168"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During the Term, the Executive shall be eligible to participate in or receive benefits under the Company’s employee benefit plans in effect from time to time, subject to the terms of such plans.</w:t>
      </w:r>
    </w:p>
    <w:p>
      <w:pPr>
        <w:spacing w:after="0" w:line="173" w:lineRule="exact"/>
        <w:rPr>
          <w:rFonts w:ascii="Times New Roman" w:cs="Times New Roman" w:eastAsia="Times New Roman" w:hAnsi="Times New Roman"/>
          <w:sz w:val="22"/>
          <w:szCs w:val="22"/>
          <w:color w:val="auto"/>
        </w:rPr>
      </w:pPr>
    </w:p>
    <w:p>
      <w:pPr>
        <w:ind w:left="160" w:right="459" w:firstLine="1287"/>
        <w:spacing w:after="0" w:line="258" w:lineRule="auto"/>
        <w:tabs>
          <w:tab w:leader="none" w:pos="215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Vacations</w:t>
      </w:r>
      <w:r>
        <w:rPr>
          <w:rFonts w:ascii="Times New Roman" w:cs="Times New Roman" w:eastAsia="Times New Roman" w:hAnsi="Times New Roman"/>
          <w:sz w:val="22"/>
          <w:szCs w:val="22"/>
          <w:color w:val="auto"/>
        </w:rPr>
        <w:t>. During the Term, the Executive shall be entitled to accrue paid vacation in accordance with the Company’s applicable policy.</w:t>
      </w:r>
    </w:p>
    <w:p>
      <w:pPr>
        <w:spacing w:after="0" w:line="158" w:lineRule="exact"/>
        <w:rPr>
          <w:rFonts w:ascii="Times New Roman" w:cs="Times New Roman" w:eastAsia="Times New Roman" w:hAnsi="Times New Roman"/>
          <w:sz w:val="22"/>
          <w:szCs w:val="22"/>
          <w:color w:val="auto"/>
        </w:rPr>
      </w:pPr>
    </w:p>
    <w:p>
      <w:pPr>
        <w:ind w:left="160" w:right="719" w:firstLine="639"/>
        <w:spacing w:after="0" w:line="258" w:lineRule="auto"/>
        <w:tabs>
          <w:tab w:leader="none" w:pos="148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During the Term, the Executive’s employment hereunder may be terminated without any breach of this Agreement under the following circumstances:</w:t>
      </w:r>
    </w:p>
    <w:p>
      <w:pPr>
        <w:spacing w:after="0" w:line="158" w:lineRule="exact"/>
        <w:rPr>
          <w:rFonts w:ascii="Times New Roman" w:cs="Times New Roman" w:eastAsia="Times New Roman" w:hAnsi="Times New Roman"/>
          <w:sz w:val="22"/>
          <w:szCs w:val="22"/>
          <w:color w:val="auto"/>
        </w:rPr>
      </w:pPr>
    </w:p>
    <w:p>
      <w:pPr>
        <w:ind w:left="2140" w:hanging="693"/>
        <w:spacing w:after="0"/>
        <w:tabs>
          <w:tab w:leader="none" w:pos="214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his</w:t>
      </w:r>
    </w:p>
    <w:p>
      <w:pPr>
        <w:spacing w:after="0" w:line="14" w:lineRule="exact"/>
        <w:rPr>
          <w:rFonts w:ascii="Times New Roman" w:cs="Times New Roman" w:eastAsia="Times New Roman" w:hAnsi="Times New Roman"/>
          <w:sz w:val="22"/>
          <w:szCs w:val="22"/>
          <w:color w:val="auto"/>
        </w:rPr>
      </w:pPr>
    </w:p>
    <w:p>
      <w:pPr>
        <w:ind w:left="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82" w:lineRule="exact"/>
        <w:rPr>
          <w:rFonts w:ascii="Times New Roman" w:cs="Times New Roman" w:eastAsia="Times New Roman" w:hAnsi="Times New Roman"/>
          <w:sz w:val="22"/>
          <w:szCs w:val="22"/>
          <w:color w:val="auto"/>
        </w:rPr>
      </w:pPr>
    </w:p>
    <w:p>
      <w:pPr>
        <w:ind w:left="160" w:right="159" w:firstLine="1287"/>
        <w:spacing w:after="0" w:line="244" w:lineRule="auto"/>
        <w:tabs>
          <w:tab w:leader="none" w:pos="2168"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the Americans with Disabilities Act, 42 U.S.C. §12101 </w:t>
      </w:r>
      <w:r>
        <w:rPr>
          <w:rFonts w:ascii="Times New Roman" w:cs="Times New Roman" w:eastAsia="Times New Roman" w:hAnsi="Times New Roman"/>
          <w:sz w:val="21"/>
          <w:szCs w:val="21"/>
          <w:i w:val="1"/>
          <w:iCs w:val="1"/>
          <w:color w:val="auto"/>
        </w:rPr>
        <w:t>et seq.</w:t>
      </w:r>
    </w:p>
    <w:p>
      <w:pPr>
        <w:spacing w:after="0" w:line="177" w:lineRule="exact"/>
        <w:rPr>
          <w:rFonts w:ascii="Times New Roman" w:cs="Times New Roman" w:eastAsia="Times New Roman" w:hAnsi="Times New Roman"/>
          <w:sz w:val="21"/>
          <w:szCs w:val="21"/>
          <w:color w:val="auto"/>
        </w:rPr>
      </w:pPr>
    </w:p>
    <w:p>
      <w:pPr>
        <w:ind w:left="160" w:right="159" w:firstLine="1287"/>
        <w:spacing w:after="0" w:line="235" w:lineRule="auto"/>
        <w:tabs>
          <w:tab w:leader="none" w:pos="2155"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Company for Cause</w:t>
      </w:r>
      <w:r>
        <w:rPr>
          <w:rFonts w:ascii="Times New Roman" w:cs="Times New Roman" w:eastAsia="Times New Roman" w:hAnsi="Times New Roman"/>
          <w:sz w:val="22"/>
          <w:szCs w:val="22"/>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7" w:name="page138"/>
    <w:bookmarkEnd w:id="137"/>
    <w:p>
      <w:pPr>
        <w:ind w:left="160" w:right="259"/>
        <w:spacing w:after="0" w:line="234" w:lineRule="auto"/>
        <w:rPr>
          <w:sz w:val="20"/>
          <w:szCs w:val="20"/>
          <w:color w:val="auto"/>
        </w:rPr>
      </w:pPr>
      <w:r>
        <w:rPr>
          <w:rFonts w:ascii="Times New Roman" w:cs="Times New Roman" w:eastAsia="Times New Roman" w:hAnsi="Times New Roman"/>
          <w:sz w:val="22"/>
          <w:szCs w:val="22"/>
          <w:color w:val="auto"/>
        </w:rPr>
        <w:t>injury or reputational harm to the Company or any of its subsidiaries and affiliates if he were retained in his position; (iii) continued non-performance by the Executive of his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77" w:lineRule="exact"/>
        <w:rPr>
          <w:sz w:val="20"/>
          <w:szCs w:val="20"/>
          <w:color w:val="auto"/>
        </w:rPr>
      </w:pPr>
    </w:p>
    <w:p>
      <w:pPr>
        <w:ind w:left="160" w:right="319" w:firstLine="1287"/>
        <w:spacing w:after="0" w:line="251" w:lineRule="auto"/>
        <w:tabs>
          <w:tab w:leader="none" w:pos="2155"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Without Cause</w:t>
      </w:r>
      <w:r>
        <w:rPr>
          <w:rFonts w:ascii="Times New Roman" w:cs="Times New Roman" w:eastAsia="Times New Roman" w:hAnsi="Times New Roman"/>
          <w:sz w:val="21"/>
          <w:szCs w:val="21"/>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68" w:lineRule="exact"/>
        <w:rPr>
          <w:rFonts w:ascii="Times New Roman" w:cs="Times New Roman" w:eastAsia="Times New Roman" w:hAnsi="Times New Roman"/>
          <w:sz w:val="21"/>
          <w:szCs w:val="21"/>
          <w:color w:val="auto"/>
        </w:rPr>
      </w:pPr>
    </w:p>
    <w:p>
      <w:pPr>
        <w:ind w:left="160" w:right="159" w:firstLine="1287"/>
        <w:spacing w:after="0" w:line="232" w:lineRule="auto"/>
        <w:tabs>
          <w:tab w:leader="none" w:pos="216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189" w:lineRule="exact"/>
        <w:rPr>
          <w:sz w:val="20"/>
          <w:szCs w:val="20"/>
          <w:color w:val="auto"/>
        </w:rPr>
      </w:pPr>
    </w:p>
    <w:p>
      <w:pPr>
        <w:ind w:left="160" w:right="299" w:firstLine="1287"/>
        <w:spacing w:after="0" w:line="238" w:lineRule="auto"/>
        <w:tabs>
          <w:tab w:leader="none" w:pos="216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8" w:name="page139"/>
    <w:bookmarkEnd w:id="138"/>
    <w:p>
      <w:pPr>
        <w:ind w:left="160" w:right="159" w:firstLine="1287"/>
        <w:spacing w:after="0" w:line="233" w:lineRule="auto"/>
        <w:tabs>
          <w:tab w:leader="none" w:pos="215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w:t>
      </w:r>
    </w:p>
    <w:p>
      <w:pPr>
        <w:spacing w:after="0" w:line="1" w:lineRule="exact"/>
        <w:rPr>
          <w:rFonts w:ascii="Times New Roman" w:cs="Times New Roman" w:eastAsia="Times New Roman" w:hAnsi="Times New Roman"/>
          <w:sz w:val="22"/>
          <w:szCs w:val="22"/>
          <w:color w:val="auto"/>
        </w:rPr>
      </w:pPr>
    </w:p>
    <w:p>
      <w:pPr>
        <w:ind w:left="160" w:right="259"/>
        <w:spacing w:after="0" w:line="25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66" w:lineRule="exact"/>
        <w:rPr>
          <w:rFonts w:ascii="Times New Roman" w:cs="Times New Roman" w:eastAsia="Times New Roman" w:hAnsi="Times New Roman"/>
          <w:sz w:val="22"/>
          <w:szCs w:val="22"/>
          <w:color w:val="auto"/>
        </w:rPr>
      </w:pPr>
    </w:p>
    <w:p>
      <w:pPr>
        <w:ind w:left="1480" w:hanging="681"/>
        <w:spacing w:after="0"/>
        <w:tabs>
          <w:tab w:leader="none" w:pos="14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 w:right="179" w:firstLine="1287"/>
        <w:spacing w:after="0" w:line="234" w:lineRule="auto"/>
        <w:tabs>
          <w:tab w:leader="none" w:pos="2155"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Generally</w:t>
      </w:r>
      <w:r>
        <w:rPr>
          <w:rFonts w:ascii="Times New Roman" w:cs="Times New Roman" w:eastAsia="Times New Roman" w:hAnsi="Times New Roman"/>
          <w:sz w:val="22"/>
          <w:szCs w:val="22"/>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84" w:lineRule="exact"/>
        <w:rPr>
          <w:rFonts w:ascii="Times New Roman" w:cs="Times New Roman" w:eastAsia="Times New Roman" w:hAnsi="Times New Roman"/>
          <w:sz w:val="22"/>
          <w:szCs w:val="22"/>
          <w:color w:val="auto"/>
        </w:rPr>
      </w:pPr>
    </w:p>
    <w:p>
      <w:pPr>
        <w:ind w:left="160" w:right="259" w:firstLine="1287"/>
        <w:spacing w:after="0" w:line="234" w:lineRule="auto"/>
        <w:tabs>
          <w:tab w:leader="none" w:pos="216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the Executive with Good Reason</w:t>
      </w:r>
      <w:r>
        <w:rPr>
          <w:rFonts w:ascii="Times New Roman" w:cs="Times New Roman" w:eastAsia="Times New Roman" w:hAnsi="Times New Roman"/>
          <w:sz w:val="22"/>
          <w:szCs w:val="22"/>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184" w:lineRule="exact"/>
        <w:rPr>
          <w:sz w:val="20"/>
          <w:szCs w:val="20"/>
          <w:color w:val="auto"/>
        </w:rPr>
      </w:pPr>
    </w:p>
    <w:p>
      <w:pPr>
        <w:ind w:left="2820" w:hanging="725"/>
        <w:spacing w:after="0"/>
        <w:tabs>
          <w:tab w:leader="none" w:pos="282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one (1)</w:t>
      </w:r>
    </w:p>
    <w:p>
      <w:pPr>
        <w:spacing w:after="0" w:line="14"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times the Executive’s Base Salary (the “Severance Amount”); and</w:t>
      </w:r>
    </w:p>
    <w:p>
      <w:pPr>
        <w:spacing w:after="0" w:line="182" w:lineRule="exact"/>
        <w:rPr>
          <w:sz w:val="20"/>
          <w:szCs w:val="20"/>
          <w:color w:val="auto"/>
        </w:rPr>
      </w:pPr>
    </w:p>
    <w:p>
      <w:pPr>
        <w:ind w:left="800" w:right="159" w:firstLine="1295"/>
        <w:spacing w:after="0" w:line="249" w:lineRule="auto"/>
        <w:tabs>
          <w:tab w:leader="none" w:pos="2814"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9" w:name="page140"/>
    <w:bookmarkEnd w:id="139"/>
    <w:p>
      <w:pPr>
        <w:ind w:left="160" w:right="299"/>
        <w:spacing w:after="0" w:line="242" w:lineRule="auto"/>
        <w:rPr>
          <w:sz w:val="20"/>
          <w:szCs w:val="20"/>
          <w:color w:val="auto"/>
        </w:rPr>
      </w:pPr>
      <w:r>
        <w:rPr>
          <w:rFonts w:ascii="Times New Roman" w:cs="Times New Roman" w:eastAsia="Times New Roman" w:hAnsi="Times New Roman"/>
          <w:sz w:val="22"/>
          <w:szCs w:val="22"/>
          <w:color w:val="auto"/>
        </w:rPr>
        <w:t>The amounts payable under this Section 4(b) shall be paid out in substantially equal installments in accordance with the Company’s payroll practice over twelve (12) months commencing within</w:t>
      </w:r>
    </w:p>
    <w:p>
      <w:pPr>
        <w:spacing w:after="0" w:line="1" w:lineRule="exact"/>
        <w:rPr>
          <w:sz w:val="20"/>
          <w:szCs w:val="20"/>
          <w:color w:val="auto"/>
        </w:rPr>
      </w:pPr>
    </w:p>
    <w:p>
      <w:pPr>
        <w:ind w:left="160" w:right="139"/>
        <w:spacing w:after="0" w:line="233" w:lineRule="auto"/>
        <w:rPr>
          <w:sz w:val="20"/>
          <w:szCs w:val="20"/>
          <w:color w:val="auto"/>
        </w:rPr>
      </w:pPr>
      <w:r>
        <w:rPr>
          <w:rFonts w:ascii="Times New Roman" w:cs="Times New Roman" w:eastAsia="Times New Roman" w:hAnsi="Times New Roman"/>
          <w:sz w:val="22"/>
          <w:szCs w:val="22"/>
          <w:color w:val="auto"/>
        </w:rPr>
        <w:t>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77" w:lineRule="exact"/>
        <w:rPr>
          <w:sz w:val="20"/>
          <w:szCs w:val="20"/>
          <w:color w:val="auto"/>
        </w:rPr>
      </w:pPr>
    </w:p>
    <w:p>
      <w:pPr>
        <w:ind w:left="160" w:right="199"/>
        <w:spacing w:after="0" w:line="235" w:lineRule="auto"/>
        <w:rPr>
          <w:sz w:val="20"/>
          <w:szCs w:val="20"/>
          <w:color w:val="auto"/>
        </w:rPr>
      </w:pPr>
      <w:r>
        <w:rPr>
          <w:rFonts w:ascii="Times New Roman" w:cs="Times New Roman" w:eastAsia="Times New Roman" w:hAnsi="Times New Roman"/>
          <w:sz w:val="22"/>
          <w:szCs w:val="22"/>
          <w:color w:val="auto"/>
        </w:rPr>
        <w:t>The receipt of any severance payments or benefits pursuant to Section 4 will be subject to Executive not violating the Restrictive Covenant Agreement (as defined below), the terms of which are hereby incorporated by reference. In the event Executive breaches the Restrictive Covenant Agreement, in addition to all other legal and equitable remedies, the Company shall have the right to terminate or suspend all continuing payments and benefits to which Executive may otherwise be entitled pursuant to Section 4 without affecting the Executive’s release or Executive’s obligations under the Separation Agreement and Release</w:t>
      </w:r>
    </w:p>
    <w:p>
      <w:pPr>
        <w:spacing w:after="0" w:line="184" w:lineRule="exact"/>
        <w:rPr>
          <w:sz w:val="20"/>
          <w:szCs w:val="20"/>
          <w:color w:val="auto"/>
        </w:rPr>
      </w:pPr>
    </w:p>
    <w:p>
      <w:pPr>
        <w:ind w:left="160" w:right="319" w:firstLine="639"/>
        <w:spacing w:after="0" w:line="244" w:lineRule="auto"/>
        <w:tabs>
          <w:tab w:leader="none" w:pos="1483"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Sale Event Payment</w:t>
      </w:r>
      <w:r>
        <w:rPr>
          <w:rFonts w:ascii="Times New Roman" w:cs="Times New Roman" w:eastAsia="Times New Roman" w:hAnsi="Times New Roman"/>
          <w:sz w:val="21"/>
          <w:szCs w:val="21"/>
          <w:color w:val="auto"/>
        </w:rPr>
        <w:t>. The provisions of this Section 5 set forth certain terms of an agreement reached between the Executive and the Company regarding the Executive’s rights and obligations upon the occurrence of a Sale Event (as defined below).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w:t>
      </w:r>
    </w:p>
    <w:p>
      <w:pPr>
        <w:spacing w:after="0" w:line="2" w:lineRule="exact"/>
        <w:rPr>
          <w:rFonts w:ascii="Times New Roman" w:cs="Times New Roman" w:eastAsia="Times New Roman" w:hAnsi="Times New Roman"/>
          <w:sz w:val="21"/>
          <w:szCs w:val="21"/>
          <w:color w:val="auto"/>
        </w:rPr>
      </w:pPr>
    </w:p>
    <w:p>
      <w:pPr>
        <w:ind w:left="560" w:hanging="409"/>
        <w:spacing w:after="0"/>
        <w:tabs>
          <w:tab w:leader="none" w:pos="5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occurrence of a Sale Event.</w:t>
      </w:r>
    </w:p>
    <w:p>
      <w:pPr>
        <w:spacing w:after="0" w:line="182" w:lineRule="exact"/>
        <w:rPr>
          <w:rFonts w:ascii="Times New Roman" w:cs="Times New Roman" w:eastAsia="Times New Roman" w:hAnsi="Times New Roman"/>
          <w:sz w:val="22"/>
          <w:szCs w:val="22"/>
          <w:color w:val="auto"/>
        </w:rPr>
      </w:pPr>
    </w:p>
    <w:p>
      <w:pPr>
        <w:ind w:left="160" w:right="259" w:firstLine="1287"/>
        <w:spacing w:after="0" w:line="236" w:lineRule="auto"/>
        <w:tabs>
          <w:tab w:leader="none" w:pos="2155" w:val="left"/>
        </w:tabs>
        <w:numPr>
          <w:ilvl w:val="2"/>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Event</w:t>
      </w:r>
      <w:r>
        <w:rPr>
          <w:rFonts w:ascii="Times New Roman" w:cs="Times New Roman" w:eastAsia="Times New Roman" w:hAnsi="Times New Roman"/>
          <w:sz w:val="22"/>
          <w:szCs w:val="22"/>
          <w:color w:val="auto"/>
        </w:rPr>
        <w:t>. During the Term, if within twelve (12) months after a Sale Event,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82" w:lineRule="exact"/>
        <w:rPr>
          <w:rFonts w:ascii="Times New Roman" w:cs="Times New Roman" w:eastAsia="Times New Roman" w:hAnsi="Times New Roman"/>
          <w:sz w:val="22"/>
          <w:szCs w:val="22"/>
          <w:color w:val="auto"/>
        </w:rPr>
      </w:pPr>
    </w:p>
    <w:p>
      <w:pPr>
        <w:ind w:left="800" w:right="559" w:firstLine="1295"/>
        <w:spacing w:after="0" w:line="239" w:lineRule="auto"/>
        <w:tabs>
          <w:tab w:leader="none" w:pos="2814" w:val="left"/>
        </w:tabs>
        <w:numPr>
          <w:ilvl w:val="3"/>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lump sum in cash in an amount equal to the sum of (A) one (1) times the Executive’s current Base Salary (or the Executive’s Base Salary in effect immediately prior to the Sale Event, if higher) plus (B) one (1) times the Executive’s Target Incentive Compensation; and</w:t>
      </w:r>
    </w:p>
    <w:p>
      <w:pPr>
        <w:spacing w:after="0" w:line="180" w:lineRule="exact"/>
        <w:rPr>
          <w:rFonts w:ascii="Times New Roman" w:cs="Times New Roman" w:eastAsia="Times New Roman" w:hAnsi="Times New Roman"/>
          <w:sz w:val="22"/>
          <w:szCs w:val="22"/>
          <w:color w:val="auto"/>
        </w:rPr>
      </w:pPr>
    </w:p>
    <w:p>
      <w:pPr>
        <w:ind w:left="800" w:right="159" w:firstLine="1295"/>
        <w:spacing w:after="0" w:line="235" w:lineRule="auto"/>
        <w:tabs>
          <w:tab w:leader="none" w:pos="2847" w:val="left"/>
        </w:tabs>
        <w:numPr>
          <w:ilvl w:val="3"/>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0" w:name="page141"/>
    <w:bookmarkEnd w:id="140"/>
    <w:p>
      <w:pPr>
        <w:ind w:left="800" w:right="139" w:firstLine="1295"/>
        <w:spacing w:after="0" w:line="248" w:lineRule="auto"/>
        <w:tabs>
          <w:tab w:leader="none" w:pos="286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72" w:lineRule="exact"/>
        <w:rPr>
          <w:sz w:val="20"/>
          <w:szCs w:val="20"/>
          <w:color w:val="auto"/>
        </w:rPr>
      </w:pPr>
    </w:p>
    <w:p>
      <w:pPr>
        <w:ind w:left="160" w:right="339"/>
        <w:spacing w:after="0" w:line="239" w:lineRule="auto"/>
        <w:rPr>
          <w:sz w:val="20"/>
          <w:szCs w:val="20"/>
          <w:color w:val="auto"/>
        </w:rPr>
      </w:pPr>
      <w:r>
        <w:rPr>
          <w:rFonts w:ascii="Times New Roman" w:cs="Times New Roman" w:eastAsia="Times New Roman" w:hAnsi="Times New Roman"/>
          <w:sz w:val="22"/>
          <w:szCs w:val="22"/>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1" w:lineRule="exact"/>
        <w:rPr>
          <w:sz w:val="20"/>
          <w:szCs w:val="20"/>
          <w:color w:val="auto"/>
        </w:rPr>
      </w:pPr>
    </w:p>
    <w:p>
      <w:pPr>
        <w:ind w:left="2140" w:hanging="693"/>
        <w:spacing w:after="0"/>
        <w:tabs>
          <w:tab w:leader="none" w:pos="21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Limitation.</w:t>
      </w:r>
    </w:p>
    <w:p>
      <w:pPr>
        <w:spacing w:after="0" w:line="206" w:lineRule="exact"/>
        <w:rPr>
          <w:rFonts w:ascii="Times New Roman" w:cs="Times New Roman" w:eastAsia="Times New Roman" w:hAnsi="Times New Roman"/>
          <w:sz w:val="22"/>
          <w:szCs w:val="22"/>
          <w:color w:val="auto"/>
        </w:rPr>
      </w:pPr>
    </w:p>
    <w:p>
      <w:pPr>
        <w:ind w:left="800" w:right="199" w:firstLine="1295"/>
        <w:spacing w:after="0" w:line="243" w:lineRule="auto"/>
        <w:tabs>
          <w:tab w:leader="none" w:pos="2814"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w:t>
      </w:r>
    </w:p>
    <w:p>
      <w:pPr>
        <w:spacing w:after="0" w:line="2" w:lineRule="exact"/>
        <w:rPr>
          <w:rFonts w:ascii="Times New Roman" w:cs="Times New Roman" w:eastAsia="Times New Roman" w:hAnsi="Times New Roman"/>
          <w:sz w:val="21"/>
          <w:szCs w:val="21"/>
          <w:color w:val="auto"/>
        </w:rPr>
      </w:pPr>
    </w:p>
    <w:p>
      <w:pPr>
        <w:ind w:left="800" w:right="159"/>
        <w:spacing w:after="0" w:line="23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7" w:lineRule="exact"/>
        <w:rPr>
          <w:rFonts w:ascii="Times New Roman" w:cs="Times New Roman" w:eastAsia="Times New Roman" w:hAnsi="Times New Roman"/>
          <w:sz w:val="21"/>
          <w:szCs w:val="21"/>
          <w:color w:val="auto"/>
        </w:rPr>
      </w:pPr>
    </w:p>
    <w:p>
      <w:pPr>
        <w:ind w:left="800" w:right="199" w:firstLine="1295"/>
        <w:spacing w:after="0" w:line="235" w:lineRule="auto"/>
        <w:tabs>
          <w:tab w:leader="none" w:pos="2847"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w:t>
      </w: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1" w:name="page142"/>
    <w:bookmarkEnd w:id="141"/>
    <w:p>
      <w:pPr>
        <w:ind w:left="800" w:right="799"/>
        <w:spacing w:after="0" w:line="282" w:lineRule="auto"/>
        <w:rPr>
          <w:sz w:val="20"/>
          <w:szCs w:val="20"/>
          <w:color w:val="auto"/>
        </w:rPr>
      </w:pPr>
      <w:r>
        <w:rPr>
          <w:rFonts w:ascii="Times New Roman" w:cs="Times New Roman" w:eastAsia="Times New Roman" w:hAnsi="Times New Roman"/>
          <w:sz w:val="21"/>
          <w:szCs w:val="21"/>
          <w:color w:val="auto"/>
        </w:rPr>
        <w:t>taxation in each applicable state and locality, net of the maximum reduction in federal income taxes which could be obtained from deduction of such state and local taxes.</w:t>
      </w:r>
    </w:p>
    <w:p>
      <w:pPr>
        <w:spacing w:after="0" w:line="135" w:lineRule="exact"/>
        <w:rPr>
          <w:sz w:val="20"/>
          <w:szCs w:val="20"/>
          <w:color w:val="auto"/>
        </w:rPr>
      </w:pPr>
    </w:p>
    <w:p>
      <w:pPr>
        <w:ind w:left="800" w:right="219" w:firstLine="1295"/>
        <w:spacing w:after="0" w:line="235" w:lineRule="auto"/>
        <w:tabs>
          <w:tab w:leader="none" w:pos="2866"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3" w:lineRule="exact"/>
        <w:rPr>
          <w:rFonts w:ascii="Times New Roman" w:cs="Times New Roman" w:eastAsia="Times New Roman" w:hAnsi="Times New Roman"/>
          <w:sz w:val="22"/>
          <w:szCs w:val="22"/>
          <w:color w:val="auto"/>
        </w:rPr>
      </w:pPr>
    </w:p>
    <w:p>
      <w:pPr>
        <w:ind w:left="160" w:right="419" w:firstLine="1287"/>
        <w:spacing w:after="0" w:line="258" w:lineRule="auto"/>
        <w:tabs>
          <w:tab w:leader="none" w:pos="216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5, the following terms shall have the following meanings:</w:t>
      </w:r>
    </w:p>
    <w:p>
      <w:pPr>
        <w:spacing w:after="0" w:line="154" w:lineRule="exact"/>
        <w:rPr>
          <w:sz w:val="20"/>
          <w:szCs w:val="20"/>
          <w:color w:val="auto"/>
        </w:rPr>
      </w:pPr>
    </w:p>
    <w:p>
      <w:pPr>
        <w:ind w:left="160" w:right="159"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“Sale Event” </w:t>
      </w:r>
      <w:r>
        <w:rPr>
          <w:rFonts w:ascii="Times New Roman" w:cs="Times New Roman" w:eastAsia="Times New Roman" w:hAnsi="Times New Roman"/>
          <w:sz w:val="22"/>
          <w:szCs w:val="22"/>
          <w:color w:val="auto"/>
        </w:rPr>
        <w:t>shall mean (i) the sale of all or substantially all of the assets of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180" w:lineRule="exact"/>
        <w:rPr>
          <w:sz w:val="20"/>
          <w:szCs w:val="20"/>
          <w:color w:val="auto"/>
        </w:rPr>
      </w:pPr>
    </w:p>
    <w:p>
      <w:pPr>
        <w:ind w:left="160" w:right="139" w:firstLine="648"/>
        <w:spacing w:after="0" w:line="234" w:lineRule="auto"/>
        <w:rPr>
          <w:sz w:val="20"/>
          <w:szCs w:val="20"/>
          <w:color w:val="auto"/>
        </w:rPr>
      </w:pPr>
      <w:r>
        <w:rPr>
          <w:rFonts w:ascii="Times New Roman" w:cs="Times New Roman" w:eastAsia="Times New Roman" w:hAnsi="Times New Roman"/>
          <w:sz w:val="22"/>
          <w:szCs w:val="22"/>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177" w:lineRule="exact"/>
        <w:rPr>
          <w:sz w:val="20"/>
          <w:szCs w:val="20"/>
          <w:color w:val="auto"/>
        </w:rPr>
      </w:pPr>
    </w:p>
    <w:p>
      <w:pPr>
        <w:ind w:left="1480" w:hanging="681"/>
        <w:spacing w:after="0"/>
        <w:tabs>
          <w:tab w:leader="none" w:pos="14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60" w:right="259" w:firstLine="1287"/>
        <w:spacing w:after="0" w:line="258" w:lineRule="auto"/>
        <w:tabs>
          <w:tab w:leader="none" w:pos="2155"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the Executive’s separation from service within the meaning of Section 409A of the Code, the</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2" w:name="page143"/>
    <w:bookmarkEnd w:id="142"/>
    <w:p>
      <w:pPr>
        <w:ind w:left="160" w:right="179"/>
        <w:spacing w:after="0" w:line="245" w:lineRule="auto"/>
        <w:rPr>
          <w:sz w:val="20"/>
          <w:szCs w:val="20"/>
          <w:color w:val="auto"/>
        </w:rPr>
      </w:pPr>
      <w:r>
        <w:rPr>
          <w:rFonts w:ascii="Times New Roman" w:cs="Times New Roman" w:eastAsia="Times New Roman" w:hAnsi="Times New Roman"/>
          <w:sz w:val="21"/>
          <w:szCs w:val="21"/>
          <w:color w:val="auto"/>
        </w:rPr>
        <w:t>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9" w:lineRule="exact"/>
        <w:rPr>
          <w:sz w:val="20"/>
          <w:szCs w:val="20"/>
          <w:color w:val="auto"/>
        </w:rPr>
      </w:pPr>
    </w:p>
    <w:p>
      <w:pPr>
        <w:ind w:left="160" w:right="239" w:firstLine="1287"/>
        <w:spacing w:after="0" w:line="246" w:lineRule="auto"/>
        <w:tabs>
          <w:tab w:leader="none" w:pos="2168"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6" w:lineRule="exact"/>
        <w:rPr>
          <w:rFonts w:ascii="Times New Roman" w:cs="Times New Roman" w:eastAsia="Times New Roman" w:hAnsi="Times New Roman"/>
          <w:sz w:val="21"/>
          <w:szCs w:val="21"/>
          <w:color w:val="auto"/>
        </w:rPr>
      </w:pPr>
    </w:p>
    <w:p>
      <w:pPr>
        <w:ind w:left="160" w:right="439" w:firstLine="1287"/>
        <w:spacing w:after="0" w:line="256" w:lineRule="exact"/>
        <w:tabs>
          <w:tab w:leader="none" w:pos="2155"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1(h).</w:t>
      </w:r>
    </w:p>
    <w:p>
      <w:pPr>
        <w:spacing w:after="0" w:line="154" w:lineRule="exact"/>
        <w:rPr>
          <w:rFonts w:ascii="Times New Roman" w:cs="Times New Roman" w:eastAsia="Times New Roman" w:hAnsi="Times New Roman"/>
          <w:sz w:val="21"/>
          <w:szCs w:val="21"/>
          <w:color w:val="auto"/>
        </w:rPr>
      </w:pPr>
    </w:p>
    <w:p>
      <w:pPr>
        <w:ind w:left="160" w:right="179" w:firstLine="1287"/>
        <w:spacing w:after="0" w:line="249" w:lineRule="exact"/>
        <w:tabs>
          <w:tab w:leader="none" w:pos="216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8" w:lineRule="exact"/>
        <w:rPr>
          <w:rFonts w:ascii="Times New Roman" w:cs="Times New Roman" w:eastAsia="Times New Roman" w:hAnsi="Times New Roman"/>
          <w:sz w:val="22"/>
          <w:szCs w:val="22"/>
          <w:color w:val="auto"/>
        </w:rPr>
      </w:pPr>
    </w:p>
    <w:p>
      <w:pPr>
        <w:ind w:left="160" w:right="319" w:firstLine="1287"/>
        <w:spacing w:after="0" w:line="239" w:lineRule="auto"/>
        <w:tabs>
          <w:tab w:leader="none" w:pos="2155"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3" w:name="page144"/>
    <w:bookmarkEnd w:id="143"/>
    <w:p>
      <w:pPr>
        <w:ind w:left="160" w:right="239" w:firstLine="639"/>
        <w:spacing w:after="0" w:line="238" w:lineRule="auto"/>
        <w:tabs>
          <w:tab w:leader="none" w:pos="148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Noncompetition and Cooperation</w:t>
      </w:r>
      <w:r>
        <w:rPr>
          <w:rFonts w:ascii="Times New Roman" w:cs="Times New Roman" w:eastAsia="Times New Roman" w:hAnsi="Times New Roman"/>
          <w:sz w:val="22"/>
          <w:szCs w:val="22"/>
          <w:color w:val="auto"/>
        </w:rPr>
        <w:t>. The Executive agrees to the terms of the Non-Solicitation, Non-Competition, Confidentiality and Assignment Agreement, dated as of November 22, 2014, by and between the Company and the Executive (the “Restrictive Covenant Agreement”), the terms of which are hereby are incorporated by reference as material terms of this Agreement.</w:t>
      </w:r>
    </w:p>
    <w:p>
      <w:pPr>
        <w:spacing w:after="0" w:line="178" w:lineRule="exact"/>
        <w:rPr>
          <w:sz w:val="20"/>
          <w:szCs w:val="20"/>
          <w:color w:val="auto"/>
        </w:rPr>
      </w:pPr>
    </w:p>
    <w:p>
      <w:pPr>
        <w:ind w:left="160" w:right="159" w:firstLine="639"/>
        <w:spacing w:after="0" w:line="232" w:lineRule="auto"/>
        <w:tabs>
          <w:tab w:leader="none" w:pos="148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Arbitration of Disputes</w:t>
      </w:r>
      <w:r>
        <w:rPr>
          <w:rFonts w:ascii="Times New Roman" w:cs="Times New Roman" w:eastAsia="Times New Roman" w:hAnsi="Times New Roman"/>
          <w:sz w:val="22"/>
          <w:szCs w:val="22"/>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93" w:lineRule="exact"/>
        <w:rPr>
          <w:sz w:val="20"/>
          <w:szCs w:val="20"/>
          <w:color w:val="auto"/>
        </w:rPr>
      </w:pPr>
    </w:p>
    <w:p>
      <w:pPr>
        <w:ind w:left="160" w:right="199" w:firstLine="639"/>
        <w:spacing w:after="0" w:line="235" w:lineRule="auto"/>
        <w:tabs>
          <w:tab w:leader="none" w:pos="148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3" w:lineRule="exact"/>
        <w:rPr>
          <w:rFonts w:ascii="Times New Roman" w:cs="Times New Roman" w:eastAsia="Times New Roman" w:hAnsi="Times New Roman"/>
          <w:sz w:val="22"/>
          <w:szCs w:val="22"/>
          <w:color w:val="auto"/>
        </w:rPr>
      </w:pPr>
    </w:p>
    <w:p>
      <w:pPr>
        <w:jc w:val="both"/>
        <w:ind w:left="160" w:right="519" w:firstLine="639"/>
        <w:spacing w:after="0" w:line="244" w:lineRule="auto"/>
        <w:tabs>
          <w:tab w:leader="none" w:pos="1483"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the Prior Agreement as well as all other prior agreements between the parties concerning such subject matter.</w:t>
      </w:r>
    </w:p>
    <w:p>
      <w:pPr>
        <w:spacing w:after="0" w:line="173" w:lineRule="exact"/>
        <w:rPr>
          <w:rFonts w:ascii="Times New Roman" w:cs="Times New Roman" w:eastAsia="Times New Roman" w:hAnsi="Times New Roman"/>
          <w:sz w:val="22"/>
          <w:szCs w:val="22"/>
          <w:color w:val="auto"/>
        </w:rPr>
      </w:pPr>
    </w:p>
    <w:p>
      <w:pPr>
        <w:ind w:left="160" w:right="339" w:firstLine="639"/>
        <w:spacing w:after="0" w:line="244" w:lineRule="auto"/>
        <w:tabs>
          <w:tab w:leader="none" w:pos="1524"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payments made by the Company to the Executive under this Agreement shall be net of any tax or other amounts required to be withheld by the Company under applicable law.</w:t>
      </w:r>
    </w:p>
    <w:p>
      <w:pPr>
        <w:spacing w:after="0" w:line="173" w:lineRule="exact"/>
        <w:rPr>
          <w:rFonts w:ascii="Times New Roman" w:cs="Times New Roman" w:eastAsia="Times New Roman" w:hAnsi="Times New Roman"/>
          <w:sz w:val="22"/>
          <w:szCs w:val="22"/>
          <w:color w:val="auto"/>
        </w:rPr>
      </w:pPr>
    </w:p>
    <w:p>
      <w:pPr>
        <w:ind w:left="160" w:right="219" w:firstLine="639"/>
        <w:spacing w:after="0" w:line="235" w:lineRule="auto"/>
        <w:tabs>
          <w:tab w:leader="none" w:pos="151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to the Executive</w:t>
      </w:r>
      <w:r>
        <w:rPr>
          <w:rFonts w:ascii="Times New Roman" w:cs="Times New Roman" w:eastAsia="Times New Roman" w:hAnsi="Times New Roman"/>
          <w:sz w:val="22"/>
          <w:szCs w:val="22"/>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him under this Agreement, the Company shall continue such payments to the Executive’s beneficiary designated in writing to the Company prior to his death (or to his estate, if the Executive fails to make such designation).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4" w:name="page145"/>
    <w:bookmarkEnd w:id="144"/>
    <w:p>
      <w:pPr>
        <w:ind w:left="160" w:right="199" w:firstLine="639"/>
        <w:spacing w:after="0" w:line="249" w:lineRule="auto"/>
        <w:tabs>
          <w:tab w:leader="none" w:pos="152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Times New Roman" w:cs="Times New Roman" w:eastAsia="Times New Roman" w:hAnsi="Times New Roman"/>
          <w:sz w:val="21"/>
          <w:szCs w:val="21"/>
          <w:color w:val="auto"/>
        </w:rPr>
      </w:pPr>
    </w:p>
    <w:p>
      <w:pPr>
        <w:ind w:left="160" w:right="579" w:firstLine="639"/>
        <w:spacing w:after="0" w:line="244" w:lineRule="auto"/>
        <w:tabs>
          <w:tab w:leader="none" w:pos="152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73" w:lineRule="exact"/>
        <w:rPr>
          <w:rFonts w:ascii="Times New Roman" w:cs="Times New Roman" w:eastAsia="Times New Roman" w:hAnsi="Times New Roman"/>
          <w:sz w:val="22"/>
          <w:szCs w:val="22"/>
          <w:color w:val="auto"/>
        </w:rPr>
      </w:pPr>
    </w:p>
    <w:p>
      <w:pPr>
        <w:ind w:left="160" w:right="199" w:firstLine="639"/>
        <w:spacing w:after="0" w:line="238" w:lineRule="auto"/>
        <w:tabs>
          <w:tab w:leader="none" w:pos="152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7" w:lineRule="exact"/>
        <w:rPr>
          <w:rFonts w:ascii="Times New Roman" w:cs="Times New Roman" w:eastAsia="Times New Roman" w:hAnsi="Times New Roman"/>
          <w:sz w:val="22"/>
          <w:szCs w:val="22"/>
          <w:color w:val="auto"/>
        </w:rPr>
      </w:pPr>
    </w:p>
    <w:p>
      <w:pPr>
        <w:ind w:left="160" w:right="219" w:firstLine="639"/>
        <w:spacing w:after="0" w:line="238" w:lineRule="auto"/>
        <w:tabs>
          <w:tab w:leader="none" w:pos="152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7" w:lineRule="exact"/>
        <w:rPr>
          <w:rFonts w:ascii="Times New Roman" w:cs="Times New Roman" w:eastAsia="Times New Roman" w:hAnsi="Times New Roman"/>
          <w:sz w:val="22"/>
          <w:szCs w:val="22"/>
          <w:color w:val="auto"/>
        </w:rPr>
      </w:pPr>
    </w:p>
    <w:p>
      <w:pPr>
        <w:ind w:left="160" w:right="759" w:firstLine="639"/>
        <w:spacing w:after="0" w:line="282" w:lineRule="auto"/>
        <w:tabs>
          <w:tab w:leader="none" w:pos="152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This Agreement may be amended or modified only by a written instrument signed by the Executive and by a duly authorized representative of the Company.</w:t>
      </w:r>
    </w:p>
    <w:p>
      <w:pPr>
        <w:spacing w:after="0" w:line="134" w:lineRule="exact"/>
        <w:rPr>
          <w:rFonts w:ascii="Times New Roman" w:cs="Times New Roman" w:eastAsia="Times New Roman" w:hAnsi="Times New Roman"/>
          <w:sz w:val="21"/>
          <w:szCs w:val="21"/>
          <w:color w:val="auto"/>
        </w:rPr>
      </w:pPr>
    </w:p>
    <w:p>
      <w:pPr>
        <w:ind w:left="160" w:right="259" w:firstLine="639"/>
        <w:spacing w:after="0" w:line="238" w:lineRule="auto"/>
        <w:tabs>
          <w:tab w:leader="none" w:pos="152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77" w:lineRule="exact"/>
        <w:rPr>
          <w:rFonts w:ascii="Times New Roman" w:cs="Times New Roman" w:eastAsia="Times New Roman" w:hAnsi="Times New Roman"/>
          <w:sz w:val="22"/>
          <w:szCs w:val="22"/>
          <w:color w:val="auto"/>
        </w:rPr>
      </w:pPr>
    </w:p>
    <w:p>
      <w:pPr>
        <w:jc w:val="both"/>
        <w:ind w:left="160" w:right="159" w:firstLine="639"/>
        <w:spacing w:after="0" w:line="244" w:lineRule="auto"/>
        <w:tabs>
          <w:tab w:leader="none" w:pos="152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73" w:lineRule="exact"/>
        <w:rPr>
          <w:rFonts w:ascii="Times New Roman" w:cs="Times New Roman" w:eastAsia="Times New Roman" w:hAnsi="Times New Roman"/>
          <w:sz w:val="22"/>
          <w:szCs w:val="22"/>
          <w:color w:val="auto"/>
        </w:rPr>
      </w:pPr>
    </w:p>
    <w:p>
      <w:pPr>
        <w:ind w:left="160" w:right="159" w:firstLine="639"/>
        <w:spacing w:after="0" w:line="236" w:lineRule="auto"/>
        <w:tabs>
          <w:tab w:leader="none" w:pos="152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 to Company</w:t>
      </w:r>
      <w:r>
        <w:rPr>
          <w:rFonts w:ascii="Times New Roman" w:cs="Times New Roman" w:eastAsia="Times New Roman" w:hAnsi="Times New Roman"/>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2" w:lineRule="exact"/>
        <w:rPr>
          <w:rFonts w:ascii="Times New Roman" w:cs="Times New Roman" w:eastAsia="Times New Roman" w:hAnsi="Times New Roman"/>
          <w:sz w:val="22"/>
          <w:szCs w:val="22"/>
          <w:color w:val="auto"/>
        </w:rPr>
      </w:pPr>
    </w:p>
    <w:p>
      <w:pPr>
        <w:ind w:left="160" w:right="299" w:firstLine="639"/>
        <w:spacing w:after="0" w:line="258" w:lineRule="auto"/>
        <w:tabs>
          <w:tab w:leader="none" w:pos="152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Gender Neutral</w:t>
      </w:r>
      <w:r>
        <w:rPr>
          <w:rFonts w:ascii="Times New Roman" w:cs="Times New Roman" w:eastAsia="Times New Roman" w:hAnsi="Times New Roman"/>
          <w:sz w:val="22"/>
          <w:szCs w:val="22"/>
          <w:color w:val="auto"/>
        </w:rPr>
        <w:t>. Wherever used herein, a pronoun in the masculine gender shall be considered as including the feminine gender unless the context clearly indicates otherwise.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217170</wp:posOffset>
            </wp:positionV>
            <wp:extent cx="554863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5" w:name="page146"/>
    <w:bookmarkEnd w:id="145"/>
    <w:p>
      <w:pPr>
        <w:ind w:left="160" w:right="439" w:firstLine="648"/>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date and year first above written.</w:t>
      </w:r>
    </w:p>
    <w:p>
      <w:pPr>
        <w:spacing w:after="0" w:line="154"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36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Jeffrey W. Albers</w:t>
            </w:r>
          </w:p>
        </w:tc>
      </w:tr>
      <w:tr>
        <w:trPr>
          <w:trHeight w:val="236"/>
        </w:trPr>
        <w:tc>
          <w:tcPr>
            <w:tcW w:w="7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Name:</w:t>
            </w:r>
          </w:p>
        </w:tc>
        <w:tc>
          <w:tcPr>
            <w:tcW w:w="1780" w:type="dxa"/>
            <w:vAlign w:val="bottom"/>
            <w:tcBorders>
              <w:top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Jeffrey W. Albers</w:t>
            </w:r>
          </w:p>
        </w:tc>
        <w:tc>
          <w:tcPr>
            <w:tcW w:w="1580" w:type="dxa"/>
            <w:vAlign w:val="bottom"/>
          </w:tcPr>
          <w:p>
            <w:pPr>
              <w:spacing w:after="0"/>
              <w:rPr>
                <w:sz w:val="20"/>
                <w:szCs w:val="20"/>
                <w:color w:val="auto"/>
              </w:rPr>
            </w:pPr>
          </w:p>
        </w:tc>
      </w:t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3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u w:val="single" w:color="auto"/>
          <w:color w:val="auto"/>
        </w:rPr>
        <w:t>/s/ Anthony L. Boral</w:t>
      </w:r>
    </w:p>
    <w:p>
      <w:pPr>
        <w:spacing w:after="0" w:line="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Anthony L. Boral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236855</wp:posOffset>
            </wp:positionV>
            <wp:extent cx="554863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6" w:name="page147"/>
    <w:bookmarkEnd w:id="146"/>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 Jeffrey W. Albers, certify that:</w:t>
      </w:r>
    </w:p>
    <w:p>
      <w:pPr>
        <w:spacing w:after="0" w:line="185" w:lineRule="exact"/>
        <w:rPr>
          <w:sz w:val="20"/>
          <w:szCs w:val="20"/>
          <w:color w:val="auto"/>
        </w:rPr>
      </w:pPr>
    </w:p>
    <w:p>
      <w:pPr>
        <w:ind w:left="1480" w:hanging="681"/>
        <w:spacing w:after="0"/>
        <w:tabs>
          <w:tab w:leader="none" w:pos="14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184" w:lineRule="exact"/>
        <w:rPr>
          <w:rFonts w:ascii="Times New Roman" w:cs="Times New Roman" w:eastAsia="Times New Roman" w:hAnsi="Times New Roman"/>
          <w:sz w:val="18"/>
          <w:szCs w:val="18"/>
          <w:color w:val="auto"/>
        </w:rPr>
      </w:pPr>
    </w:p>
    <w:p>
      <w:pPr>
        <w:ind w:left="160" w:right="159" w:firstLine="639"/>
        <w:spacing w:after="0" w:line="226" w:lineRule="auto"/>
        <w:tabs>
          <w:tab w:leader="none" w:pos="148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160" w:right="219" w:firstLine="639"/>
        <w:spacing w:after="0" w:line="226" w:lineRule="auto"/>
        <w:tabs>
          <w:tab w:leader="none" w:pos="148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160" w:right="419" w:firstLine="639"/>
        <w:spacing w:after="0" w:line="226" w:lineRule="auto"/>
        <w:tabs>
          <w:tab w:leader="none" w:pos="148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20" w:lineRule="auto"/>
        <w:tabs>
          <w:tab w:leader="none" w:pos="213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18"/>
          <w:szCs w:val="18"/>
          <w:color w:val="auto"/>
        </w:rPr>
      </w:pPr>
    </w:p>
    <w:p>
      <w:pPr>
        <w:ind w:left="2140" w:hanging="693"/>
        <w:spacing w:after="0"/>
        <w:tabs>
          <w:tab w:leader="none" w:pos="21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49313);</w:t>
      </w:r>
    </w:p>
    <w:p>
      <w:pPr>
        <w:spacing w:after="0" w:line="164" w:lineRule="exact"/>
        <w:rPr>
          <w:rFonts w:ascii="Times New Roman" w:cs="Times New Roman" w:eastAsia="Times New Roman" w:hAnsi="Times New Roman"/>
          <w:sz w:val="18"/>
          <w:szCs w:val="18"/>
          <w:color w:val="auto"/>
        </w:rPr>
      </w:pPr>
    </w:p>
    <w:p>
      <w:pPr>
        <w:ind w:left="800" w:right="259" w:firstLine="647"/>
        <w:spacing w:after="0" w:line="226" w:lineRule="auto"/>
        <w:tabs>
          <w:tab w:leader="none" w:pos="212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800" w:right="159" w:firstLine="647"/>
        <w:spacing w:after="0" w:line="220" w:lineRule="auto"/>
        <w:tabs>
          <w:tab w:leader="none" w:pos="213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8"/>
          <w:szCs w:val="18"/>
          <w:color w:val="auto"/>
        </w:rPr>
      </w:pPr>
    </w:p>
    <w:p>
      <w:pPr>
        <w:jc w:val="both"/>
        <w:ind w:left="160" w:right="319" w:firstLine="639"/>
        <w:spacing w:after="0" w:line="226" w:lineRule="auto"/>
        <w:tabs>
          <w:tab w:leader="none" w:pos="148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800" w:right="219" w:firstLine="647"/>
        <w:spacing w:after="0" w:line="226" w:lineRule="auto"/>
        <w:tabs>
          <w:tab w:leader="none" w:pos="2138"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800" w:right="239" w:firstLine="647"/>
        <w:spacing w:after="0" w:line="237" w:lineRule="auto"/>
        <w:tabs>
          <w:tab w:leader="none" w:pos="2135"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16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9, 2015</w:t>
      </w:r>
      <w:r>
        <w:rPr>
          <w:sz w:val="20"/>
          <w:szCs w:val="20"/>
          <w:color w:val="auto"/>
        </w:rPr>
        <w:tab/>
      </w:r>
      <w:r>
        <w:rPr>
          <w:rFonts w:ascii="Times New Roman" w:cs="Times New Roman" w:eastAsia="Times New Roman" w:hAnsi="Times New Roman"/>
          <w:sz w:val="17"/>
          <w:szCs w:val="17"/>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0</wp:posOffset>
            </wp:positionV>
            <wp:extent cx="26073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5" w:lineRule="auto"/>
        <w:rPr>
          <w:sz w:val="20"/>
          <w:szCs w:val="20"/>
          <w:color w:val="auto"/>
        </w:rPr>
      </w:pPr>
      <w:r>
        <w:rPr>
          <w:rFonts w:ascii="Times New Roman" w:cs="Times New Roman" w:eastAsia="Times New Roman" w:hAnsi="Times New Roman"/>
          <w:sz w:val="18"/>
          <w:szCs w:val="18"/>
          <w:color w:val="auto"/>
        </w:rPr>
        <w:t>Jeffrey W. Albers</w:t>
      </w:r>
    </w:p>
    <w:p>
      <w:pPr>
        <w:ind w:left="476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7" w:name="page148"/>
    <w:bookmarkEnd w:id="147"/>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185" w:lineRule="exact"/>
        <w:rPr>
          <w:sz w:val="20"/>
          <w:szCs w:val="20"/>
          <w:color w:val="auto"/>
        </w:rPr>
      </w:pPr>
    </w:p>
    <w:p>
      <w:pPr>
        <w:ind w:left="1480" w:hanging="681"/>
        <w:spacing w:after="0"/>
        <w:tabs>
          <w:tab w:leader="none" w:pos="14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184" w:lineRule="exact"/>
        <w:rPr>
          <w:rFonts w:ascii="Times New Roman" w:cs="Times New Roman" w:eastAsia="Times New Roman" w:hAnsi="Times New Roman"/>
          <w:sz w:val="18"/>
          <w:szCs w:val="18"/>
          <w:color w:val="auto"/>
        </w:rPr>
      </w:pPr>
    </w:p>
    <w:p>
      <w:pPr>
        <w:ind w:left="160" w:right="159" w:firstLine="639"/>
        <w:spacing w:after="0" w:line="226" w:lineRule="auto"/>
        <w:tabs>
          <w:tab w:leader="none" w:pos="148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160" w:right="219" w:firstLine="639"/>
        <w:spacing w:after="0" w:line="226" w:lineRule="auto"/>
        <w:tabs>
          <w:tab w:leader="none" w:pos="148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160" w:right="419" w:firstLine="639"/>
        <w:spacing w:after="0" w:line="226" w:lineRule="auto"/>
        <w:tabs>
          <w:tab w:leader="none" w:pos="148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20" w:lineRule="auto"/>
        <w:tabs>
          <w:tab w:leader="none" w:pos="213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18"/>
          <w:szCs w:val="18"/>
          <w:color w:val="auto"/>
        </w:rPr>
      </w:pPr>
    </w:p>
    <w:p>
      <w:pPr>
        <w:ind w:left="2140" w:hanging="693"/>
        <w:spacing w:after="0"/>
        <w:tabs>
          <w:tab w:leader="none" w:pos="21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49313);</w:t>
      </w:r>
    </w:p>
    <w:p>
      <w:pPr>
        <w:spacing w:after="0" w:line="164" w:lineRule="exact"/>
        <w:rPr>
          <w:rFonts w:ascii="Times New Roman" w:cs="Times New Roman" w:eastAsia="Times New Roman" w:hAnsi="Times New Roman"/>
          <w:sz w:val="18"/>
          <w:szCs w:val="18"/>
          <w:color w:val="auto"/>
        </w:rPr>
      </w:pPr>
    </w:p>
    <w:p>
      <w:pPr>
        <w:ind w:left="800" w:right="259" w:firstLine="647"/>
        <w:spacing w:after="0" w:line="226" w:lineRule="auto"/>
        <w:tabs>
          <w:tab w:leader="none" w:pos="212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800" w:right="159" w:firstLine="647"/>
        <w:spacing w:after="0" w:line="220" w:lineRule="auto"/>
        <w:tabs>
          <w:tab w:leader="none" w:pos="213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8"/>
          <w:szCs w:val="18"/>
          <w:color w:val="auto"/>
        </w:rPr>
      </w:pPr>
    </w:p>
    <w:p>
      <w:pPr>
        <w:jc w:val="both"/>
        <w:ind w:left="160" w:right="319" w:firstLine="639"/>
        <w:spacing w:after="0" w:line="226" w:lineRule="auto"/>
        <w:tabs>
          <w:tab w:leader="none" w:pos="148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800" w:right="219" w:firstLine="647"/>
        <w:spacing w:after="0" w:line="226" w:lineRule="auto"/>
        <w:tabs>
          <w:tab w:leader="none" w:pos="2138"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800" w:right="239" w:firstLine="647"/>
        <w:spacing w:after="0" w:line="237" w:lineRule="auto"/>
        <w:tabs>
          <w:tab w:leader="none" w:pos="2135"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160"/>
        <w:spacing w:after="0"/>
        <w:tabs>
          <w:tab w:leader="none" w:pos="4460" w:val="left"/>
        </w:tabs>
        <w:rPr>
          <w:sz w:val="20"/>
          <w:szCs w:val="20"/>
          <w:color w:val="auto"/>
        </w:rPr>
      </w:pPr>
      <w:r>
        <w:rPr>
          <w:rFonts w:ascii="Times New Roman" w:cs="Times New Roman" w:eastAsia="Times New Roman" w:hAnsi="Times New Roman"/>
          <w:sz w:val="18"/>
          <w:szCs w:val="18"/>
          <w:color w:val="auto"/>
        </w:rPr>
        <w:t>Date: November 9, 2015</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0</wp:posOffset>
            </wp:positionV>
            <wp:extent cx="26155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5" w:lineRule="auto"/>
        <w:rPr>
          <w:sz w:val="20"/>
          <w:szCs w:val="20"/>
          <w:color w:val="auto"/>
        </w:rPr>
      </w:pPr>
      <w:r>
        <w:rPr>
          <w:rFonts w:ascii="Times New Roman" w:cs="Times New Roman" w:eastAsia="Times New Roman" w:hAnsi="Times New Roman"/>
          <w:sz w:val="18"/>
          <w:szCs w:val="18"/>
          <w:color w:val="auto"/>
        </w:rPr>
        <w:t>Michael Landsittel</w:t>
      </w:r>
    </w:p>
    <w:p>
      <w:pPr>
        <w:ind w:left="4760"/>
        <w:spacing w:after="0" w:line="204" w:lineRule="auto"/>
        <w:rPr>
          <w:sz w:val="20"/>
          <w:szCs w:val="20"/>
          <w:color w:val="auto"/>
        </w:rPr>
      </w:pPr>
      <w:r>
        <w:rPr>
          <w:rFonts w:ascii="Times New Roman" w:cs="Times New Roman" w:eastAsia="Times New Roman" w:hAnsi="Times New Roman"/>
          <w:sz w:val="18"/>
          <w:szCs w:val="18"/>
          <w:color w:val="auto"/>
        </w:rPr>
        <w:t>Senior Director of Finance</w:t>
      </w:r>
    </w:p>
    <w:p>
      <w:pPr>
        <w:ind w:left="4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left="1440" w:right="2100"/>
        <w:spacing w:after="0" w:line="227"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7"/>
          <w:szCs w:val="17"/>
          <w:color w:val="auto"/>
        </w:rPr>
        <w:t>In connection with the Quarterly Report on Form 10-Q of Blueprint Medicines Corporation (the “Company”) for the period ended September 30, 2015 as filed with the Securities and Exchange Commission on the date hereof (the “Report”), each of the undersigned officers of the Company hereby certifies, pursuant to 18 U.S.C. Section 1350, that to his knowledge:</w:t>
      </w:r>
    </w:p>
    <w:p>
      <w:pPr>
        <w:spacing w:after="0" w:line="159" w:lineRule="exact"/>
        <w:rPr>
          <w:sz w:val="20"/>
          <w:szCs w:val="20"/>
          <w:color w:val="auto"/>
        </w:rPr>
      </w:pPr>
    </w:p>
    <w:p>
      <w:pPr>
        <w:ind w:left="1300" w:right="180" w:hanging="568"/>
        <w:spacing w:after="0" w:line="237" w:lineRule="auto"/>
        <w:tabs>
          <w:tab w:leader="none" w:pos="132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1300" w:right="100" w:hanging="568"/>
        <w:spacing w:after="0" w:line="237" w:lineRule="auto"/>
        <w:tabs>
          <w:tab w:leader="none" w:pos="132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0" w:lineRule="exact"/>
        <w:rPr>
          <w:sz w:val="20"/>
          <w:szCs w:val="20"/>
          <w:color w:val="auto"/>
        </w:rPr>
      </w:pPr>
    </w:p>
    <w:p>
      <w:pPr>
        <w:spacing w:after="0"/>
        <w:tabs>
          <w:tab w:leader="none" w:pos="4600" w:val="left"/>
        </w:tabs>
        <w:rPr>
          <w:sz w:val="20"/>
          <w:szCs w:val="20"/>
          <w:color w:val="auto"/>
        </w:rPr>
      </w:pPr>
      <w:r>
        <w:rPr>
          <w:rFonts w:ascii="Times New Roman" w:cs="Times New Roman" w:eastAsia="Times New Roman" w:hAnsi="Times New Roman"/>
          <w:sz w:val="18"/>
          <w:szCs w:val="18"/>
          <w:color w:val="auto"/>
        </w:rPr>
        <w:t>Date: November 9, 2015</w:t>
      </w:r>
      <w:r>
        <w:rPr>
          <w:sz w:val="20"/>
          <w:szCs w:val="20"/>
          <w:color w:val="auto"/>
        </w:rPr>
        <w:tab/>
      </w:r>
      <w:r>
        <w:rPr>
          <w:rFonts w:ascii="Times New Roman" w:cs="Times New Roman" w:eastAsia="Times New Roman" w:hAnsi="Times New Roman"/>
          <w:sz w:val="17"/>
          <w:szCs w:val="17"/>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0</wp:posOffset>
            </wp:positionV>
            <wp:extent cx="26498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ind w:left="4900"/>
        <w:spacing w:after="0" w:line="205" w:lineRule="auto"/>
        <w:rPr>
          <w:sz w:val="20"/>
          <w:szCs w:val="20"/>
          <w:color w:val="auto"/>
        </w:rPr>
      </w:pPr>
      <w:r>
        <w:rPr>
          <w:rFonts w:ascii="Times New Roman" w:cs="Times New Roman" w:eastAsia="Times New Roman" w:hAnsi="Times New Roman"/>
          <w:sz w:val="18"/>
          <w:szCs w:val="18"/>
          <w:color w:val="auto"/>
        </w:rPr>
        <w:t>Jeffrey W. Albers</w:t>
      </w:r>
    </w:p>
    <w:p>
      <w:pPr>
        <w:ind w:left="490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38" w:lineRule="exact"/>
        <w:rPr>
          <w:sz w:val="20"/>
          <w:szCs w:val="20"/>
          <w:color w:val="auto"/>
        </w:rPr>
      </w:pPr>
    </w:p>
    <w:p>
      <w:pPr>
        <w:spacing w:after="0"/>
        <w:tabs>
          <w:tab w:leader="none" w:pos="4580" w:val="left"/>
        </w:tabs>
        <w:rPr>
          <w:sz w:val="20"/>
          <w:szCs w:val="20"/>
          <w:color w:val="auto"/>
        </w:rPr>
      </w:pPr>
      <w:r>
        <w:rPr>
          <w:rFonts w:ascii="Times New Roman" w:cs="Times New Roman" w:eastAsia="Times New Roman" w:hAnsi="Times New Roman"/>
          <w:sz w:val="18"/>
          <w:szCs w:val="18"/>
          <w:color w:val="auto"/>
        </w:rPr>
        <w:t>Date: November 9, 2015</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0</wp:posOffset>
            </wp:positionV>
            <wp:extent cx="26587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line="205" w:lineRule="auto"/>
        <w:rPr>
          <w:sz w:val="20"/>
          <w:szCs w:val="20"/>
          <w:color w:val="auto"/>
        </w:rPr>
      </w:pPr>
      <w:r>
        <w:rPr>
          <w:rFonts w:ascii="Times New Roman" w:cs="Times New Roman" w:eastAsia="Times New Roman" w:hAnsi="Times New Roman"/>
          <w:sz w:val="18"/>
          <w:szCs w:val="18"/>
          <w:color w:val="auto"/>
        </w:rPr>
        <w:t>Michael Landsittel</w:t>
      </w:r>
    </w:p>
    <w:p>
      <w:pPr>
        <w:ind w:left="4880"/>
        <w:spacing w:after="0" w:line="204" w:lineRule="auto"/>
        <w:rPr>
          <w:sz w:val="20"/>
          <w:szCs w:val="20"/>
          <w:color w:val="auto"/>
        </w:rPr>
      </w:pPr>
      <w:r>
        <w:rPr>
          <w:rFonts w:ascii="Times New Roman" w:cs="Times New Roman" w:eastAsia="Times New Roman" w:hAnsi="Times New Roman"/>
          <w:sz w:val="18"/>
          <w:szCs w:val="18"/>
          <w:color w:val="auto"/>
        </w:rPr>
        <w:t>Senior Director of Finance</w:t>
      </w:r>
    </w:p>
    <w:p>
      <w:pPr>
        <w:ind w:left="48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
      <w:numFmt w:val="bullet"/>
      <w:start w:val="1"/>
    </w:lvl>
  </w:abstractNum>
  <w:abstractNum w:abstractNumId="1">
    <w:nsid w:val="6590700B"/>
    <w:multiLevelType w:val="hybridMultilevel"/>
    <w:lvl w:ilvl="0">
      <w:lvlJc w:val="left"/>
      <w:lvlText w:val=" "/>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1."/>
      <w:numFmt w:val="decimal"/>
      <w:start w:val="1"/>
    </w:lvl>
  </w:abstractNum>
  <w:abstractNum w:abstractNumId="21">
    <w:nsid w:val="1A32234B"/>
    <w:multiLevelType w:val="hybridMultilevel"/>
    <w:lvl w:ilvl="0">
      <w:lvlJc w:val="left"/>
      <w:lvlText w:val="%1."/>
      <w:numFmt w:val="upperLetter"/>
      <w:start w:val="1"/>
    </w:lvl>
  </w:abstractNum>
  <w:abstractNum w:abstractNumId="22">
    <w:nsid w:val="3B0FD379"/>
    <w:multiLevelType w:val="hybridMultilevel"/>
    <w:lvl w:ilvl="0">
      <w:lvlJc w:val="left"/>
      <w:lvlText w:val="(%1)"/>
      <w:numFmt w:val="lowerLetter"/>
      <w:start w:val="1"/>
    </w:lvl>
  </w:abstractNum>
  <w:abstractNum w:abstractNumId="23">
    <w:nsid w:val="68EB2F63"/>
    <w:multiLevelType w:val="hybridMultilevel"/>
    <w:lvl w:ilvl="0">
      <w:lvlJc w:val="left"/>
      <w:lvlText w:val="(%1)"/>
      <w:numFmt w:val="lowerLetter"/>
      <w:start w:val="2"/>
    </w:lvl>
    <w:lvl w:ilvl="1">
      <w:lvlJc w:val="left"/>
      <w:lvlText w:val="%2."/>
      <w:numFmt w:val="upperLetter"/>
      <w:start w:val="2"/>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1."/>
      <w:numFmt w:val="decimal"/>
      <w:start w:val="1"/>
    </w:lvl>
  </w:abstractNum>
  <w:abstractNum w:abstractNumId="26">
    <w:nsid w:val="6A5EE64"/>
    <w:multiLevelType w:val="hybridMultilevel"/>
    <w:lvl w:ilvl="0">
      <w:lvlJc w:val="left"/>
      <w:lvlText w:val="%1."/>
      <w:numFmt w:val="decimal"/>
      <w:start w:val="2"/>
    </w:lvl>
    <w:lvl w:ilvl="1">
      <w:lvlJc w:val="left"/>
      <w:lvlText w:val="(%2)"/>
      <w:numFmt w:val="lowerLetter"/>
      <w:start w:val="1"/>
    </w:lvl>
  </w:abstractNum>
  <w:abstractNum w:abstractNumId="27">
    <w:nsid w:val="14330624"/>
    <w:multiLevelType w:val="hybridMultilevel"/>
    <w:lvl w:ilvl="0">
      <w:lvlJc w:val="left"/>
      <w:lvlText w:val="%1"/>
      <w:numFmt w:val="decimal"/>
      <w:start w:val="1"/>
    </w:lvl>
    <w:lvl w:ilvl="1">
      <w:lvlJc w:val="left"/>
      <w:lvlText w:val="(%2)"/>
      <w:numFmt w:val="lowerLetter"/>
      <w:start w:val="3"/>
    </w:lvl>
  </w:abstractNum>
  <w:abstractNum w:abstractNumId="28">
    <w:nsid w:val="7FFFCA11"/>
    <w:multiLevelType w:val="hybridMultilevel"/>
    <w:lvl w:ilvl="0">
      <w:lvlJc w:val="left"/>
      <w:lvlText w:val="%1."/>
      <w:numFmt w:val="decimal"/>
      <w:start w:val="4"/>
    </w:lvl>
    <w:lvl w:ilvl="1">
      <w:lvlJc w:val="left"/>
      <w:lvlText w:val="%2"/>
      <w:numFmt w:val="lowerLetter"/>
      <w:start w:val="1"/>
    </w:lvl>
  </w:abstractNum>
  <w:abstractNum w:abstractNumId="29">
    <w:nsid w:val="1A27709E"/>
    <w:multiLevelType w:val="hybridMultilevel"/>
    <w:lvl w:ilvl="0">
      <w:lvlJc w:val="left"/>
      <w:lvlText w:val="%1."/>
      <w:numFmt w:val="decimal"/>
      <w:start w:val="5"/>
    </w:lvl>
  </w:abstractNum>
  <w:abstractNum w:abstractNumId="30">
    <w:nsid w:val="71EA1109"/>
    <w:multiLevelType w:val="hybridMultilevel"/>
    <w:lvl w:ilvl="0">
      <w:lvlJc w:val="left"/>
      <w:lvlText w:val="(%1)"/>
      <w:numFmt w:val="lowerLetter"/>
      <w:start w:val="1"/>
    </w:lvl>
  </w:abstractNum>
  <w:abstractNum w:abstractNumId="31">
    <w:nsid w:val="100F59DC"/>
    <w:multiLevelType w:val="hybridMultilevel"/>
    <w:lvl w:ilvl="0">
      <w:lvlJc w:val="left"/>
      <w:lvlText w:val="%1."/>
      <w:numFmt w:val="decimal"/>
      <w:start w:val="1"/>
    </w:lvl>
  </w:abstractNum>
  <w:abstractNum w:abstractNumId="32">
    <w:nsid w:val="7FB7E0AA"/>
    <w:multiLevelType w:val="hybridMultilevel"/>
    <w:lvl w:ilvl="0">
      <w:lvlJc w:val="left"/>
      <w:lvlText w:val="(%1)"/>
      <w:numFmt w:val="lowerLetter"/>
      <w:start w:val="1"/>
    </w:lvl>
    <w:lvl w:ilvl="1">
      <w:lvlJc w:val="left"/>
      <w:lvlText w:val="(%2)"/>
      <w:numFmt w:val="decimal"/>
      <w:start w:val="1"/>
    </w:lvl>
  </w:abstractNum>
  <w:abstractNum w:abstractNumId="33">
    <w:nsid w:val="6EB5BD4"/>
    <w:multiLevelType w:val="hybridMultilevel"/>
    <w:lvl w:ilvl="0">
      <w:lvlJc w:val="left"/>
      <w:lvlText w:val="(%1)"/>
      <w:numFmt w:val="decimal"/>
      <w:start w:val="2"/>
    </w:lvl>
    <w:lvl w:ilvl="1">
      <w:lvlJc w:val="left"/>
      <w:lvlText w:val="(%2)"/>
      <w:numFmt w:val="upperLetter"/>
      <w:start w:val="1"/>
    </w:lvl>
  </w:abstractNum>
  <w:abstractNum w:abstractNumId="34">
    <w:nsid w:val="6F6DD9AC"/>
    <w:multiLevelType w:val="hybridMultilevel"/>
    <w:lvl w:ilvl="0">
      <w:lvlJc w:val="left"/>
      <w:lvlText w:val="%1"/>
      <w:numFmt w:val="lowerRoman"/>
      <w:start w:val="1"/>
    </w:lvl>
    <w:lvl w:ilvl="1">
      <w:lvlJc w:val="left"/>
      <w:lvlText w:val="(%2)"/>
      <w:numFmt w:val="upperLetter"/>
      <w:start w:val="3"/>
    </w:lvl>
  </w:abstractNum>
  <w:abstractNum w:abstractNumId="35">
    <w:nsid w:val="94211F2"/>
    <w:multiLevelType w:val="hybridMultilevel"/>
    <w:lvl w:ilvl="0">
      <w:lvlJc w:val="left"/>
      <w:lvlText w:val="(%1)"/>
      <w:numFmt w:val="lowerRoman"/>
      <w:start w:val="10"/>
    </w:lvl>
    <w:lvl w:ilvl="1">
      <w:lvlJc w:val="left"/>
      <w:lvlText w:val="%2"/>
      <w:numFmt w:val="upperLetter"/>
      <w:start w:val="1"/>
    </w:lvl>
  </w:abstractNum>
  <w:abstractNum w:abstractNumId="36">
    <w:nsid w:val="885E1B"/>
    <w:multiLevelType w:val="hybridMultilevel"/>
    <w:lvl w:ilvl="0">
      <w:lvlJc w:val="left"/>
      <w:lvlText w:val="(%1)"/>
      <w:numFmt w:val="upperLetter"/>
      <w:start w:val="4"/>
    </w:lvl>
  </w:abstractNum>
  <w:abstractNum w:abstractNumId="37">
    <w:nsid w:val="76272110"/>
    <w:multiLevelType w:val="hybridMultilevel"/>
    <w:lvl w:ilvl="0">
      <w:lvlJc w:val="left"/>
      <w:lvlText w:val="%1"/>
      <w:numFmt w:val="lowerLetter"/>
      <w:start w:val="1"/>
    </w:lvl>
    <w:lvl w:ilvl="1">
      <w:lvlJc w:val="left"/>
      <w:lvlText w:val="(%2)"/>
      <w:numFmt w:val="decimal"/>
      <w:start w:val="3"/>
    </w:lvl>
  </w:abstractNum>
  <w:abstractNum w:abstractNumId="38">
    <w:nsid w:val="4C04A8AF"/>
    <w:multiLevelType w:val="hybridMultilevel"/>
    <w:lvl w:ilvl="0">
      <w:lvlJc w:val="left"/>
      <w:lvlText w:val="(%1)"/>
      <w:numFmt w:val="lowerLetter"/>
      <w:start w:val="2"/>
    </w:lvl>
    <w:lvl w:ilvl="1">
      <w:lvlJc w:val="left"/>
      <w:lvlText w:val="(%2)"/>
      <w:numFmt w:val="decimal"/>
      <w:start w:val="1"/>
    </w:lvl>
  </w:abstractNum>
  <w:abstractNum w:abstractNumId="39">
    <w:nsid w:val="1716703B"/>
    <w:multiLevelType w:val="hybridMultilevel"/>
    <w:lvl w:ilvl="0">
      <w:lvlJc w:val="left"/>
      <w:lvlText w:val="(%1)"/>
      <w:numFmt w:val="decimal"/>
      <w:start w:val="2"/>
    </w:lvl>
  </w:abstractNum>
  <w:abstractNum w:abstractNumId="40">
    <w:nsid w:val="14E17E33"/>
    <w:multiLevelType w:val="hybridMultilevel"/>
    <w:lvl w:ilvl="0">
      <w:lvlJc w:val="left"/>
      <w:lvlText w:val="%1"/>
      <w:numFmt w:val="decimal"/>
      <w:start w:val="1"/>
    </w:lvl>
    <w:lvl w:ilvl="1">
      <w:lvlJc w:val="left"/>
      <w:lvlText w:val="(%2)"/>
      <w:numFmt w:val="lowerLetter"/>
      <w:start w:val="1"/>
    </w:lvl>
  </w:abstractNum>
  <w:abstractNum w:abstractNumId="41">
    <w:nsid w:val="3222E7CD"/>
    <w:multiLevelType w:val="hybridMultilevel"/>
    <w:lvl w:ilvl="0">
      <w:lvlJc w:val="left"/>
      <w:lvlText w:val="(%1)"/>
      <w:numFmt w:val="decimal"/>
      <w:start w:val="10"/>
    </w:lvl>
    <w:lvl w:ilvl="1">
      <w:lvlJc w:val="left"/>
      <w:lvlText w:val="(%2)"/>
      <w:numFmt w:val="lowerLetter"/>
      <w:start w:val="2"/>
    </w:lvl>
  </w:abstractNum>
  <w:abstractNum w:abstractNumId="42">
    <w:nsid w:val="74DE0EE3"/>
    <w:multiLevelType w:val="hybridMultilevel"/>
    <w:lvl w:ilvl="0">
      <w:lvlJc w:val="left"/>
      <w:lvlText w:val="(%1)"/>
      <w:numFmt w:val="lowerLetter"/>
      <w:start w:val="1"/>
    </w:lvl>
  </w:abstractNum>
  <w:abstractNum w:abstractNumId="43">
    <w:nsid w:val="68EBC550"/>
    <w:multiLevelType w:val="hybridMultilevel"/>
    <w:lvl w:ilvl="0">
      <w:lvlJc w:val="left"/>
      <w:lvlText w:val="(%1)"/>
      <w:numFmt w:val="lowerLetter"/>
      <w:start w:val="4"/>
    </w:lvl>
  </w:abstractNum>
  <w:abstractNum w:abstractNumId="44">
    <w:nsid w:val="2DF6D648"/>
    <w:multiLevelType w:val="hybridMultilevel"/>
    <w:lvl w:ilvl="0">
      <w:lvlJc w:val="left"/>
      <w:lvlText w:val="(%1)"/>
      <w:numFmt w:val="lowerLetter"/>
      <w:start w:val="1"/>
    </w:lvl>
  </w:abstractNum>
  <w:abstractNum w:abstractNumId="45">
    <w:nsid w:val="46B7D447"/>
    <w:multiLevelType w:val="hybridMultilevel"/>
    <w:lvl w:ilvl="0">
      <w:lvlJc w:val="left"/>
      <w:lvlText w:val="(%1)"/>
      <w:numFmt w:val="decimal"/>
      <w:start w:val="1"/>
    </w:lvl>
  </w:abstractNum>
  <w:abstractNum w:abstractNumId="46">
    <w:nsid w:val="4A2AC315"/>
    <w:multiLevelType w:val="hybridMultilevel"/>
    <w:lvl w:ilvl="0">
      <w:lvlJc w:val="left"/>
      <w:lvlText w:val="(%1)"/>
      <w:numFmt w:val="lowerLetter"/>
      <w:start w:val="1"/>
    </w:lvl>
  </w:abstractNum>
  <w:abstractNum w:abstractNumId="47">
    <w:nsid w:val="39EE015C"/>
    <w:multiLevelType w:val="hybridMultilevel"/>
    <w:lvl w:ilvl="0">
      <w:lvlJc w:val="left"/>
      <w:lvlText w:val="(%1)"/>
      <w:numFmt w:val="lowerLetter"/>
      <w:start w:val="2"/>
    </w:lvl>
  </w:abstractNum>
  <w:abstractNum w:abstractNumId="48">
    <w:nsid w:val="57FC4FBB"/>
    <w:multiLevelType w:val="hybridMultilevel"/>
    <w:lvl w:ilvl="0">
      <w:lvlJc w:val="left"/>
      <w:lvlText w:val="(%1)"/>
      <w:numFmt w:val="lowerLetter"/>
      <w:start w:val="1"/>
    </w:lvl>
  </w:abstractNum>
  <w:abstractNum w:abstractNumId="49">
    <w:nsid w:val="CC1016F"/>
    <w:multiLevelType w:val="hybridMultilevel"/>
    <w:lvl w:ilvl="0">
      <w:lvlJc w:val="left"/>
      <w:lvlText w:val="(%1)"/>
      <w:numFmt w:val="lowerLetter"/>
      <w:start w:val="1"/>
    </w:lvl>
  </w:abstractNum>
  <w:abstractNum w:abstractNumId="50">
    <w:nsid w:val="43F18422"/>
    <w:multiLevelType w:val="hybridMultilevel"/>
    <w:lvl w:ilvl="0">
      <w:lvlJc w:val="left"/>
      <w:lvlText w:val="(%1)"/>
      <w:numFmt w:val="lowerLetter"/>
      <w:start w:val="1"/>
    </w:lvl>
  </w:abstractNum>
  <w:abstractNum w:abstractNumId="51">
    <w:nsid w:val="60EF0119"/>
    <w:multiLevelType w:val="hybridMultilevel"/>
    <w:lvl w:ilvl="0">
      <w:lvlJc w:val="left"/>
      <w:lvlText w:val="%1."/>
      <w:numFmt w:val="decimal"/>
      <w:start w:val="1"/>
    </w:lvl>
  </w:abstractNum>
  <w:abstractNum w:abstractNumId="52">
    <w:nsid w:val="26F324BA"/>
    <w:multiLevelType w:val="hybridMultilevel"/>
    <w:lvl w:ilvl="0">
      <w:lvlJc w:val="left"/>
      <w:lvlText w:val="%1."/>
      <w:numFmt w:val="decimal"/>
      <w:start w:val="2"/>
    </w:lvl>
  </w:abstractNum>
  <w:abstractNum w:abstractNumId="53">
    <w:nsid w:val="7F01579B"/>
    <w:multiLevelType w:val="hybridMultilevel"/>
    <w:lvl w:ilvl="0">
      <w:lvlJc w:val="left"/>
      <w:lvlText w:val="%1."/>
      <w:numFmt w:val="decimal"/>
      <w:start w:val="3"/>
    </w:lvl>
  </w:abstractNum>
  <w:abstractNum w:abstractNumId="54">
    <w:nsid w:val="49DA307D"/>
    <w:multiLevelType w:val="hybridMultilevel"/>
    <w:lvl w:ilvl="0">
      <w:lvlJc w:val="left"/>
      <w:lvlText w:val="%1."/>
      <w:numFmt w:val="decimal"/>
      <w:start w:val="4"/>
    </w:lvl>
  </w:abstractNum>
  <w:abstractNum w:abstractNumId="55">
    <w:nsid w:val="7055A5F5"/>
    <w:multiLevelType w:val="hybridMultilevel"/>
    <w:lvl w:ilvl="0">
      <w:lvlJc w:val="left"/>
      <w:lvlText w:val="(%1)"/>
      <w:numFmt w:val="lowerRoman"/>
      <w:start w:val="1"/>
    </w:lvl>
  </w:abstractNum>
  <w:abstractNum w:abstractNumId="56">
    <w:nsid w:val="5FB8370B"/>
    <w:multiLevelType w:val="hybridMultilevel"/>
    <w:lvl w:ilvl="0">
      <w:lvlJc w:val="left"/>
      <w:lvlText w:val="(%1)"/>
      <w:numFmt w:val="lowerRoman"/>
      <w:start w:val="2"/>
    </w:lvl>
  </w:abstractNum>
  <w:abstractNum w:abstractNumId="57">
    <w:nsid w:val="50801EE1"/>
    <w:multiLevelType w:val="hybridMultilevel"/>
    <w:lvl w:ilvl="0">
      <w:lvlJc w:val="left"/>
      <w:lvlText w:val="(%1)"/>
      <w:numFmt w:val="lowerRoman"/>
      <w:start w:val="3"/>
    </w:lvl>
  </w:abstractNum>
  <w:abstractNum w:abstractNumId="58">
    <w:nsid w:val="488AC1A"/>
    <w:multiLevelType w:val="hybridMultilevel"/>
    <w:lvl w:ilvl="0">
      <w:lvlJc w:val="left"/>
      <w:lvlText w:val="%1."/>
      <w:numFmt w:val="decimal"/>
      <w:start w:val="5"/>
    </w:lvl>
  </w:abstractNum>
  <w:abstractNum w:abstractNumId="59">
    <w:nsid w:val="5FB8011C"/>
    <w:multiLevelType w:val="hybridMultilevel"/>
    <w:lvl w:ilvl="0">
      <w:lvlJc w:val="left"/>
      <w:lvlText w:val="%1."/>
      <w:numFmt w:val="decimal"/>
      <w:start w:val="6"/>
    </w:lvl>
  </w:abstractNum>
  <w:abstractNum w:abstractNumId="60">
    <w:nsid w:val="6AA78F7F"/>
    <w:multiLevelType w:val="hybridMultilevel"/>
    <w:lvl w:ilvl="0">
      <w:lvlJc w:val="left"/>
      <w:lvlText w:val="%1."/>
      <w:numFmt w:val="decimal"/>
      <w:start w:val="7"/>
    </w:lvl>
  </w:abstractNum>
  <w:abstractNum w:abstractNumId="61">
    <w:nsid w:val="7672BD23"/>
    <w:multiLevelType w:val="hybridMultilevel"/>
    <w:lvl w:ilvl="0">
      <w:lvlJc w:val="left"/>
      <w:lvlText w:val="%1."/>
      <w:numFmt w:val="decimal"/>
      <w:start w:val="8"/>
    </w:lvl>
  </w:abstractNum>
  <w:abstractNum w:abstractNumId="62">
    <w:nsid w:val="6FC75AF8"/>
    <w:multiLevelType w:val="hybridMultilevel"/>
    <w:lvl w:ilvl="0">
      <w:lvlJc w:val="left"/>
      <w:lvlText w:val="%1."/>
      <w:numFmt w:val="decimal"/>
      <w:start w:val="9"/>
    </w:lvl>
  </w:abstractNum>
  <w:abstractNum w:abstractNumId="63">
    <w:nsid w:val="6A5F7029"/>
    <w:multiLevelType w:val="hybridMultilevel"/>
    <w:lvl w:ilvl="0">
      <w:lvlJc w:val="left"/>
      <w:lvlText w:val="%1."/>
      <w:numFmt w:val="decimal"/>
      <w:start w:val="10"/>
    </w:lvl>
  </w:abstractNum>
  <w:abstractNum w:abstractNumId="64">
    <w:nsid w:val="7D5E18F8"/>
    <w:multiLevelType w:val="hybridMultilevel"/>
    <w:lvl w:ilvl="0">
      <w:lvlJc w:val="left"/>
      <w:lvlText w:val="%1."/>
      <w:numFmt w:val="decimal"/>
      <w:start w:val="11"/>
    </w:lvl>
  </w:abstractNum>
  <w:abstractNum w:abstractNumId="65">
    <w:nsid w:val="5F3534A4"/>
    <w:multiLevelType w:val="hybridMultilevel"/>
    <w:lvl w:ilvl="0">
      <w:lvlJc w:val="left"/>
      <w:lvlText w:val="%1."/>
      <w:numFmt w:val="decimal"/>
      <w:start w:val="12"/>
    </w:lvl>
  </w:abstractNum>
  <w:abstractNum w:abstractNumId="66">
    <w:nsid w:val="73A1821B"/>
    <w:multiLevelType w:val="hybridMultilevel"/>
    <w:lvl w:ilvl="0">
      <w:lvlJc w:val="left"/>
      <w:lvlText w:val="%1."/>
      <w:numFmt w:val="decimal"/>
      <w:start w:val="13"/>
    </w:lvl>
  </w:abstractNum>
  <w:abstractNum w:abstractNumId="67">
    <w:nsid w:val="7DE67713"/>
    <w:multiLevelType w:val="hybridMultilevel"/>
    <w:lvl w:ilvl="0">
      <w:lvlJc w:val="left"/>
      <w:lvlText w:val="%1."/>
      <w:numFmt w:val="decimal"/>
      <w:start w:val="14"/>
    </w:lvl>
  </w:abstractNum>
  <w:abstractNum w:abstractNumId="68">
    <w:nsid w:val="555C55B5"/>
    <w:multiLevelType w:val="hybridMultilevel"/>
    <w:lvl w:ilvl="0">
      <w:lvlJc w:val="left"/>
      <w:lvlText w:val="%1."/>
      <w:numFmt w:val="decimal"/>
      <w:start w:val="15"/>
    </w:lvl>
  </w:abstractNum>
  <w:abstractNum w:abstractNumId="69">
    <w:nsid w:val="3FA62ACA"/>
    <w:multiLevelType w:val="hybridMultilevel"/>
    <w:lvl w:ilvl="0">
      <w:lvlJc w:val="left"/>
      <w:lvlText w:val="%1."/>
      <w:numFmt w:val="decimal"/>
      <w:start w:val="16"/>
    </w:lvl>
  </w:abstractNum>
  <w:abstractNum w:abstractNumId="70">
    <w:nsid w:val="14FCE74E"/>
    <w:multiLevelType w:val="hybridMultilevel"/>
    <w:lvl w:ilvl="0">
      <w:lvlJc w:val="left"/>
      <w:lvlText w:val="%1."/>
      <w:numFmt w:val="decimal"/>
      <w:start w:val="17"/>
    </w:lvl>
  </w:abstractNum>
  <w:abstractNum w:abstractNumId="71">
    <w:nsid w:val="6A3DD3E8"/>
    <w:multiLevelType w:val="hybridMultilevel"/>
    <w:lvl w:ilvl="0">
      <w:lvlJc w:val="left"/>
      <w:lvlText w:val="%1."/>
      <w:numFmt w:val="decimal"/>
      <w:start w:val="1"/>
    </w:lvl>
    <w:lvl w:ilvl="1">
      <w:lvlJc w:val="left"/>
      <w:lvlText w:val="(%2)"/>
      <w:numFmt w:val="lowerLetter"/>
      <w:start w:val="1"/>
    </w:lvl>
  </w:abstractNum>
  <w:abstractNum w:abstractNumId="72">
    <w:nsid w:val="71C91298"/>
    <w:multiLevelType w:val="hybridMultilevel"/>
    <w:lvl w:ilvl="0">
      <w:lvlJc w:val="left"/>
      <w:lvlText w:val="(%1)"/>
      <w:numFmt w:val="lowerLetter"/>
      <w:start w:val="2"/>
    </w:lvl>
  </w:abstractNum>
  <w:abstractNum w:abstractNumId="73">
    <w:nsid w:val="9DAF632"/>
    <w:multiLevelType w:val="hybridMultilevel"/>
    <w:lvl w:ilvl="0">
      <w:lvlJc w:val="left"/>
      <w:lvlText w:val="%1"/>
      <w:numFmt w:val="decimal"/>
      <w:start w:val="1"/>
    </w:lvl>
    <w:lvl w:ilvl="1">
      <w:lvlJc w:val="left"/>
      <w:lvlText w:val="(%2)"/>
      <w:numFmt w:val="lowerLetter"/>
      <w:start w:val="3"/>
    </w:lvl>
  </w:abstractNum>
  <w:abstractNum w:abstractNumId="74">
    <w:nsid w:val="53299938"/>
    <w:multiLevelType w:val="hybridMultilevel"/>
    <w:lvl w:ilvl="0">
      <w:lvlJc w:val="left"/>
      <w:lvlText w:val="%1."/>
      <w:numFmt w:val="decimal"/>
      <w:start w:val="3"/>
    </w:lvl>
    <w:lvl w:ilvl="1">
      <w:lvlJc w:val="left"/>
      <w:lvlText w:val="(%2)"/>
      <w:numFmt w:val="lowerLetter"/>
      <w:start w:val="1"/>
    </w:lvl>
  </w:abstractNum>
  <w:abstractNum w:abstractNumId="75">
    <w:nsid w:val="1FBFE8E0"/>
    <w:multiLevelType w:val="hybridMultilevel"/>
    <w:lvl w:ilvl="0">
      <w:lvlJc w:val="left"/>
      <w:lvlText w:val="(%1)"/>
      <w:numFmt w:val="lowerLetter"/>
      <w:start w:val="22"/>
    </w:lvl>
    <w:lvl w:ilvl="1">
      <w:lvlJc w:val="left"/>
      <w:lvlText w:val="(%2)"/>
      <w:numFmt w:val="lowerLetter"/>
      <w:start w:val="4"/>
    </w:lvl>
  </w:abstractNum>
  <w:abstractNum w:abstractNumId="76">
    <w:nsid w:val="5092CA79"/>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77">
    <w:nsid w:val="1D545C4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8">
    <w:nsid w:val="59ADEA3D"/>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79">
    <w:nsid w:val="288F1A34"/>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0">
    <w:nsid w:val="2A155DBC"/>
    <w:multiLevelType w:val="hybridMultilevel"/>
    <w:lvl w:ilvl="0">
      <w:lvlJc w:val="left"/>
      <w:lvlText w:val="(%1)"/>
      <w:numFmt w:val="lowerRoman"/>
      <w:start w:val="3"/>
    </w:lvl>
  </w:abstractNum>
  <w:abstractNum w:abstractNumId="81">
    <w:nsid w:val="1D9F6E5F"/>
    <w:multiLevelType w:val="hybridMultilevel"/>
    <w:lvl w:ilvl="0">
      <w:lvlJc w:val="left"/>
      <w:lvlText w:val="(%1)"/>
      <w:numFmt w:val="lowerLetter"/>
      <w:start w:val="2"/>
    </w:lvl>
    <w:lvl w:ilvl="1">
      <w:lvlJc w:val="left"/>
      <w:lvlText w:val="(%2)"/>
      <w:numFmt w:val="lowerRoman"/>
      <w:start w:val="1"/>
    </w:lvl>
  </w:abstractNum>
  <w:abstractNum w:abstractNumId="82">
    <w:nsid w:val="97E1B4E"/>
    <w:multiLevelType w:val="hybridMultilevel"/>
    <w:lvl w:ilvl="0">
      <w:lvlJc w:val="left"/>
      <w:lvlText w:val="%1"/>
      <w:numFmt w:val="lowerLetter"/>
      <w:start w:val="1"/>
    </w:lvl>
    <w:lvl w:ilvl="1">
      <w:lvlJc w:val="left"/>
      <w:lvlText w:val="(%2)"/>
      <w:numFmt w:val="lowerLetter"/>
      <w:start w:val="61"/>
    </w:lvl>
  </w:abstractNum>
  <w:abstractNum w:abstractNumId="83">
    <w:nsid w:val="51088277"/>
    <w:multiLevelType w:val="hybridMultilevel"/>
    <w:lvl w:ilvl="0">
      <w:lvlJc w:val="left"/>
      <w:lvlText w:val="(%1)"/>
      <w:numFmt w:val="lowerLetter"/>
      <w:start w:val="3"/>
    </w:lvl>
    <w:lvl w:ilvl="1">
      <w:lvlJc w:val="left"/>
      <w:lvlText w:val="%2"/>
      <w:numFmt w:val="lowerLetter"/>
      <w:start w:val="1"/>
    </w:lvl>
  </w:abstractNum>
  <w:abstractNum w:abstractNumId="84">
    <w:nsid w:val="1CA0C5FA"/>
    <w:multiLevelType w:val="hybridMultilevel"/>
    <w:lvl w:ilvl="0">
      <w:lvlJc w:val="left"/>
      <w:lvlText w:val="%1."/>
      <w:numFmt w:val="decimal"/>
      <w:start w:val="6"/>
    </w:lvl>
    <w:lvl w:ilvl="1">
      <w:lvlJc w:val="left"/>
      <w:lvlText w:val="(%2)"/>
      <w:numFmt w:val="lowerLetter"/>
      <w:start w:val="1"/>
    </w:lvl>
  </w:abstractNum>
  <w:abstractNum w:abstractNumId="85">
    <w:nsid w:val="53584BCB"/>
    <w:multiLevelType w:val="hybridMultilevel"/>
    <w:lvl w:ilvl="0">
      <w:lvlJc w:val="left"/>
      <w:lvlText w:val="%1"/>
      <w:numFmt w:val="decimal"/>
      <w:start w:val="1"/>
    </w:lvl>
    <w:lvl w:ilvl="1">
      <w:lvlJc w:val="left"/>
      <w:lvlText w:val="(%2)"/>
      <w:numFmt w:val="lowerLetter"/>
      <w:start w:val="5"/>
    </w:lvl>
  </w:abstractNum>
  <w:abstractNum w:abstractNumId="86">
    <w:nsid w:val="415E286C"/>
    <w:multiLevelType w:val="hybridMultilevel"/>
    <w:lvl w:ilvl="0">
      <w:lvlJc w:val="left"/>
      <w:lvlText w:val="%1."/>
      <w:numFmt w:val="decimal"/>
      <w:start w:val="7"/>
    </w:lvl>
    <w:lvl w:ilvl="1">
      <w:lvlJc w:val="left"/>
      <w:lvlText w:val="%2"/>
      <w:numFmt w:val="lowerLetter"/>
      <w:start w:val="1"/>
    </w:lvl>
  </w:abstractNum>
  <w:abstractNum w:abstractNumId="87">
    <w:nsid w:val="7C58FD05"/>
    <w:multiLevelType w:val="hybridMultilevel"/>
    <w:lvl w:ilvl="0">
      <w:lvlJc w:val="left"/>
      <w:lvlText w:val="%1."/>
      <w:numFmt w:val="decimal"/>
      <w:start w:val="13"/>
    </w:lvl>
  </w:abstractNum>
  <w:abstractNum w:abstractNumId="88">
    <w:nsid w:val="23D86AAC"/>
    <w:multiLevelType w:val="hybridMultilevel"/>
    <w:lvl w:ilvl="0">
      <w:lvlJc w:val="left"/>
      <w:lvlText w:val="%1."/>
      <w:numFmt w:val="decimal"/>
      <w:start w:val="21"/>
    </w:lvl>
  </w:abstractNum>
  <w:abstractNum w:abstractNumId="89">
    <w:nsid w:val="45E6D486"/>
    <w:multiLevelType w:val="hybridMultilevel"/>
    <w:lvl w:ilvl="0">
      <w:lvlJc w:val="left"/>
      <w:lvlText w:val="%1."/>
      <w:numFmt w:val="decimal"/>
      <w:start w:val="1"/>
    </w:lvl>
    <w:lvl w:ilvl="1">
      <w:lvlJc w:val="left"/>
      <w:lvlText w:val="(%2)"/>
      <w:numFmt w:val="lowerLetter"/>
      <w:start w:val="1"/>
    </w:lvl>
  </w:abstractNum>
  <w:abstractNum w:abstractNumId="90">
    <w:nsid w:val="5C10FE21"/>
    <w:multiLevelType w:val="hybridMultilevel"/>
    <w:lvl w:ilvl="0">
      <w:lvlJc w:val="left"/>
      <w:lvlText w:val="(%1)"/>
      <w:numFmt w:val="lowerLetter"/>
      <w:start w:val="2"/>
    </w:lvl>
  </w:abstractNum>
  <w:abstractNum w:abstractNumId="91">
    <w:nsid w:val="E7FFA2B"/>
    <w:multiLevelType w:val="hybridMultilevel"/>
    <w:lvl w:ilvl="0">
      <w:lvlJc w:val="left"/>
      <w:lvlText w:val="%1"/>
      <w:numFmt w:val="decimal"/>
      <w:start w:val="1"/>
    </w:lvl>
    <w:lvl w:ilvl="1">
      <w:lvlJc w:val="left"/>
      <w:lvlText w:val="(%2)"/>
      <w:numFmt w:val="lowerLetter"/>
      <w:start w:val="3"/>
    </w:lvl>
  </w:abstractNum>
  <w:abstractNum w:abstractNumId="92">
    <w:nsid w:val="3C5991AA"/>
    <w:multiLevelType w:val="hybridMultilevel"/>
    <w:lvl w:ilvl="0">
      <w:lvlJc w:val="left"/>
      <w:lvlText w:val="%1."/>
      <w:numFmt w:val="decimal"/>
      <w:start w:val="3"/>
    </w:lvl>
    <w:lvl w:ilvl="1">
      <w:lvlJc w:val="left"/>
      <w:lvlText w:val="(%2)"/>
      <w:numFmt w:val="lowerLetter"/>
      <w:start w:val="1"/>
    </w:lvl>
  </w:abstractNum>
  <w:abstractNum w:abstractNumId="93">
    <w:nsid w:val="4BD8591A"/>
    <w:multiLevelType w:val="hybridMultilevel"/>
    <w:lvl w:ilvl="0">
      <w:lvlJc w:val="left"/>
      <w:lvlText w:val="(%1)"/>
      <w:numFmt w:val="lowerLetter"/>
      <w:start w:val="3"/>
    </w:lvl>
  </w:abstractNum>
  <w:abstractNum w:abstractNumId="94">
    <w:nsid w:val="78DF6A55"/>
    <w:multiLevelType w:val="hybridMultilevel"/>
    <w:lvl w:ilvl="0">
      <w:lvlJc w:val="left"/>
      <w:lvlText w:val="(%1)"/>
      <w:numFmt w:val="lowerLetter"/>
      <w:start w:val="4"/>
    </w:lvl>
  </w:abstractNum>
  <w:abstractNum w:abstractNumId="95">
    <w:nsid w:val="39B7AAA2"/>
    <w:multiLevelType w:val="hybridMultilevel"/>
    <w:lvl w:ilvl="0">
      <w:lvlJc w:val="left"/>
      <w:lvlText w:val="%1"/>
      <w:numFmt w:val="decimal"/>
      <w:start w:val="1"/>
    </w:lvl>
    <w:lvl w:ilvl="1">
      <w:lvlJc w:val="left"/>
      <w:lvlText w:val="(%2)"/>
      <w:numFmt w:val="lowerLetter"/>
      <w:start w:val="5"/>
    </w:lvl>
  </w:abstractNum>
  <w:abstractNum w:abstractNumId="96">
    <w:nsid w:val="2B0D8DBE"/>
    <w:multiLevelType w:val="hybridMultilevel"/>
    <w:lvl w:ilvl="0">
      <w:lvlJc w:val="left"/>
      <w:lvlText w:val="%1."/>
      <w:numFmt w:val="decimal"/>
      <w:start w:val="4"/>
    </w:lvl>
    <w:lvl w:ilvl="1">
      <w:lvlJc w:val="left"/>
      <w:lvlText w:val="(%2)"/>
      <w:numFmt w:val="lowerLetter"/>
      <w:start w:val="1"/>
    </w:lvl>
  </w:abstractNum>
  <w:abstractNum w:abstractNumId="97">
    <w:nsid w:val="6C80EC70"/>
    <w:multiLevelType w:val="hybridMultilevel"/>
    <w:lvl w:ilvl="0">
      <w:lvlJc w:val="left"/>
      <w:lvlText w:val="(%1)"/>
      <w:numFmt w:val="lowerRoman"/>
      <w:start w:val="1"/>
    </w:lvl>
  </w:abstractNum>
  <w:abstractNum w:abstractNumId="98">
    <w:nsid w:val="379E21B5"/>
    <w:multiLevelType w:val="hybridMultilevel"/>
    <w:lvl w:ilvl="0">
      <w:lvlJc w:val="left"/>
      <w:lvlText w:val="(%1)"/>
      <w:numFmt w:val="lowerRoman"/>
      <w:start w:val="1"/>
    </w:lvl>
  </w:abstractNum>
  <w:abstractNum w:abstractNumId="99">
    <w:nsid w:val="69E37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00">
    <w:nsid w:val="2C27173B"/>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01">
    <w:nsid w:val="4C9B0904"/>
    <w:multiLevelType w:val="hybridMultilevel"/>
    <w:lvl w:ilvl="0">
      <w:lvlJc w:val="left"/>
      <w:lvlText w:val="(%1)"/>
      <w:numFmt w:val="lowerRoman"/>
      <w:start w:val="3"/>
    </w:lvl>
  </w:abstractNum>
  <w:abstractNum w:abstractNumId="102">
    <w:nsid w:val="6AA7B75C"/>
    <w:multiLevelType w:val="hybridMultilevel"/>
    <w:lvl w:ilvl="0">
      <w:lvlJc w:val="left"/>
      <w:lvlText w:val="(%1)"/>
      <w:numFmt w:val="lowerLetter"/>
      <w:start w:val="5"/>
    </w:lvl>
    <w:lvl w:ilvl="1">
      <w:lvlJc w:val="left"/>
      <w:lvlText w:val="(%2)"/>
      <w:numFmt w:val="lowerRoman"/>
      <w:start w:val="1"/>
    </w:lvl>
  </w:abstractNum>
  <w:abstractNum w:abstractNumId="103">
    <w:nsid w:val="1DF029D3"/>
    <w:multiLevelType w:val="hybridMultilevel"/>
    <w:lvl w:ilvl="0">
      <w:lvlJc w:val="left"/>
      <w:lvlText w:val="%1"/>
      <w:numFmt w:val="lowerLetter"/>
      <w:start w:val="1"/>
    </w:lvl>
    <w:lvl w:ilvl="1">
      <w:lvlJc w:val="left"/>
      <w:lvlText w:val="(%2)"/>
      <w:numFmt w:val="lowerLetter"/>
      <w:start w:val="61"/>
    </w:lvl>
  </w:abstractNum>
  <w:abstractNum w:abstractNumId="104">
    <w:nsid w:val="5675FF36"/>
    <w:multiLevelType w:val="hybridMultilevel"/>
    <w:lvl w:ilvl="0">
      <w:lvlJc w:val="left"/>
      <w:lvlText w:val="(%1)"/>
      <w:numFmt w:val="lowerLetter"/>
      <w:start w:val="2"/>
    </w:lvl>
    <w:lvl w:ilvl="1">
      <w:lvlJc w:val="left"/>
      <w:lvlText w:val="%2"/>
      <w:numFmt w:val="lowerLetter"/>
      <w:start w:val="1"/>
    </w:lvl>
  </w:abstractNum>
  <w:abstractNum w:abstractNumId="105">
    <w:nsid w:val="3DD15094"/>
    <w:multiLevelType w:val="hybridMultilevel"/>
    <w:lvl w:ilvl="0">
      <w:lvlJc w:val="left"/>
      <w:lvlText w:val="%1."/>
      <w:numFmt w:val="decimal"/>
      <w:start w:val="6"/>
    </w:lvl>
    <w:lvl w:ilvl="1">
      <w:lvlJc w:val="left"/>
      <w:lvlText w:val="(%2)"/>
      <w:numFmt w:val="lowerLetter"/>
      <w:start w:val="1"/>
    </w:lvl>
  </w:abstractNum>
  <w:abstractNum w:abstractNumId="106">
    <w:nsid w:val="3DB012B3"/>
    <w:multiLevelType w:val="hybridMultilevel"/>
    <w:lvl w:ilvl="0">
      <w:lvlJc w:val="left"/>
      <w:lvlText w:val="(%1)"/>
      <w:numFmt w:val="lowerLetter"/>
      <w:start w:val="2"/>
    </w:lvl>
  </w:abstractNum>
  <w:abstractNum w:abstractNumId="107">
    <w:nsid w:val="2708C9AF"/>
    <w:multiLevelType w:val="hybridMultilevel"/>
    <w:lvl w:ilvl="0">
      <w:lvlJc w:val="left"/>
      <w:lvlText w:val="%1."/>
      <w:numFmt w:val="decimal"/>
      <w:start w:val="7"/>
    </w:lvl>
  </w:abstractNum>
  <w:abstractNum w:abstractNumId="108">
    <w:nsid w:val="5B25ACE2"/>
    <w:multiLevelType w:val="hybridMultilevel"/>
    <w:lvl w:ilvl="0">
      <w:lvlJc w:val="left"/>
      <w:lvlText w:val="%1."/>
      <w:numFmt w:val="decimal"/>
      <w:start w:val="1"/>
    </w:lvl>
  </w:abstractNum>
  <w:abstractNum w:abstractNumId="109">
    <w:nsid w:val="175DFCF0"/>
    <w:multiLevelType w:val="hybridMultilevel"/>
    <w:lvl w:ilvl="0">
      <w:lvlJc w:val="left"/>
      <w:lvlText w:val="%1."/>
      <w:numFmt w:val="decimal"/>
      <w:start w:val="8"/>
    </w:lvl>
  </w:abstractNum>
  <w:abstractNum w:abstractNumId="110">
    <w:nsid w:val="4F97E3E4"/>
    <w:multiLevelType w:val="hybridMultilevel"/>
    <w:lvl w:ilvl="0">
      <w:lvlJc w:val="left"/>
      <w:lvlText w:val="%1."/>
      <w:numFmt w:val="decimal"/>
      <w:start w:val="12"/>
    </w:lvl>
  </w:abstractNum>
  <w:abstractNum w:abstractNumId="111">
    <w:nsid w:val="53B0A9E"/>
    <w:multiLevelType w:val="hybridMultilevel"/>
    <w:lvl w:ilvl="0">
      <w:lvlJc w:val="left"/>
      <w:lvlText w:val="%1."/>
      <w:numFmt w:val="decimal"/>
      <w:start w:val="1"/>
    </w:lvl>
    <w:lvl w:ilvl="1">
      <w:lvlJc w:val="left"/>
      <w:lvlText w:val="(%2)"/>
      <w:numFmt w:val="lowerLetter"/>
      <w:start w:val="1"/>
    </w:lvl>
  </w:abstractNum>
  <w:abstractNum w:abstractNumId="112">
    <w:nsid w:val="34FD6B4F"/>
    <w:multiLevelType w:val="hybridMultilevel"/>
    <w:lvl w:ilvl="0">
      <w:lvlJc w:val="left"/>
      <w:lvlText w:val="(%1)"/>
      <w:numFmt w:val="lowerLetter"/>
      <w:start w:val="2"/>
    </w:lvl>
  </w:abstractNum>
  <w:abstractNum w:abstractNumId="113">
    <w:nsid w:val="5915FF32"/>
    <w:multiLevelType w:val="hybridMultilevel"/>
    <w:lvl w:ilvl="0">
      <w:lvlJc w:val="left"/>
      <w:lvlText w:val="%1"/>
      <w:numFmt w:val="decimal"/>
      <w:start w:val="1"/>
    </w:lvl>
    <w:lvl w:ilvl="1">
      <w:lvlJc w:val="left"/>
      <w:lvlText w:val="(%2)"/>
      <w:numFmt w:val="lowerLetter"/>
      <w:start w:val="3"/>
    </w:lvl>
  </w:abstractNum>
  <w:abstractNum w:abstractNumId="114">
    <w:nsid w:val="56438D15"/>
    <w:multiLevelType w:val="hybridMultilevel"/>
    <w:lvl w:ilvl="0">
      <w:lvlJc w:val="left"/>
      <w:lvlText w:val="%1."/>
      <w:numFmt w:val="decimal"/>
      <w:start w:val="3"/>
    </w:lvl>
    <w:lvl w:ilvl="1">
      <w:lvlJc w:val="left"/>
      <w:lvlText w:val="(%2)"/>
      <w:numFmt w:val="lowerLetter"/>
      <w:start w:val="1"/>
    </w:lvl>
  </w:abstractNum>
  <w:abstractNum w:abstractNumId="115">
    <w:nsid w:val="519E3149"/>
    <w:multiLevelType w:val="hybridMultilevel"/>
    <w:lvl w:ilvl="0">
      <w:lvlJc w:val="left"/>
      <w:lvlText w:val="(%1)"/>
      <w:numFmt w:val="lowerLetter"/>
      <w:start w:val="3"/>
    </w:lvl>
  </w:abstractNum>
  <w:abstractNum w:abstractNumId="116">
    <w:nsid w:val="2C6E4AFD"/>
    <w:multiLevelType w:val="hybridMultilevel"/>
    <w:lvl w:ilvl="0">
      <w:lvlJc w:val="left"/>
      <w:lvlText w:val="(%1)"/>
      <w:numFmt w:val="lowerLetter"/>
      <w:start w:val="4"/>
    </w:lvl>
  </w:abstractNum>
  <w:abstractNum w:abstractNumId="117">
    <w:nsid w:val="17A1B582"/>
    <w:multiLevelType w:val="hybridMultilevel"/>
    <w:lvl w:ilvl="0">
      <w:lvlJc w:val="left"/>
      <w:lvlText w:val="%1"/>
      <w:numFmt w:val="decimal"/>
      <w:start w:val="1"/>
    </w:lvl>
    <w:lvl w:ilvl="1">
      <w:lvlJc w:val="left"/>
      <w:lvlText w:val="(%2)"/>
      <w:numFmt w:val="lowerLetter"/>
      <w:start w:val="5"/>
    </w:lvl>
  </w:abstractNum>
  <w:abstractNum w:abstractNumId="118">
    <w:nsid w:val="4DF72E4E"/>
    <w:multiLevelType w:val="hybridMultilevel"/>
    <w:lvl w:ilvl="0">
      <w:lvlJc w:val="left"/>
      <w:lvlText w:val="%1."/>
      <w:numFmt w:val="decimal"/>
      <w:start w:val="4"/>
    </w:lvl>
    <w:lvl w:ilvl="1">
      <w:lvlJc w:val="left"/>
      <w:lvlText w:val="(%2)"/>
      <w:numFmt w:val="lowerLetter"/>
      <w:start w:val="1"/>
    </w:lvl>
  </w:abstractNum>
  <w:abstractNum w:abstractNumId="119">
    <w:nsid w:val="5046B5A9"/>
    <w:multiLevelType w:val="hybridMultilevel"/>
    <w:lvl w:ilvl="0">
      <w:lvlJc w:val="left"/>
      <w:lvlText w:val="(%1)"/>
      <w:numFmt w:val="lowerRoman"/>
      <w:start w:val="1"/>
    </w:lvl>
  </w:abstractNum>
  <w:abstractNum w:abstractNumId="120">
    <w:nsid w:val="5D888A08"/>
    <w:multiLevelType w:val="hybridMultilevel"/>
    <w:lvl w:ilvl="0">
      <w:lvlJc w:val="left"/>
      <w:lvlText w:val="(%1)"/>
      <w:numFmt w:val="lowerRoman"/>
      <w:start w:val="1"/>
    </w:lvl>
  </w:abstractNum>
  <w:abstractNum w:abstractNumId="121">
    <w:nsid w:val="2A082C70"/>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22">
    <w:nsid w:val="5EC6AFD4"/>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3">
    <w:nsid w:val="19E21BB2"/>
    <w:multiLevelType w:val="hybridMultilevel"/>
    <w:lvl w:ilvl="0">
      <w:lvlJc w:val="left"/>
      <w:lvlText w:val="(%1)"/>
      <w:numFmt w:val="lowerRoman"/>
      <w:start w:val="3"/>
    </w:lvl>
  </w:abstractNum>
  <w:abstractNum w:abstractNumId="124">
    <w:nsid w:val="75E0858A"/>
    <w:multiLevelType w:val="hybridMultilevel"/>
    <w:lvl w:ilvl="0">
      <w:lvlJc w:val="left"/>
      <w:lvlText w:val="(%1)"/>
      <w:numFmt w:val="lowerLetter"/>
      <w:start w:val="5"/>
    </w:lvl>
    <w:lvl w:ilvl="1">
      <w:lvlJc w:val="left"/>
      <w:lvlText w:val="(%2)"/>
      <w:numFmt w:val="lowerRoman"/>
      <w:start w:val="1"/>
    </w:lvl>
  </w:abstractNum>
  <w:abstractNum w:abstractNumId="125">
    <w:nsid w:val="57A61A29"/>
    <w:multiLevelType w:val="hybridMultilevel"/>
    <w:lvl w:ilvl="0">
      <w:lvlJc w:val="left"/>
      <w:lvlText w:val="%1"/>
      <w:numFmt w:val="lowerLetter"/>
      <w:start w:val="1"/>
    </w:lvl>
    <w:lvl w:ilvl="1">
      <w:lvlJc w:val="left"/>
      <w:lvlText w:val="(%2)"/>
      <w:numFmt w:val="lowerLetter"/>
      <w:start w:val="61"/>
    </w:lvl>
  </w:abstractNum>
  <w:abstractNum w:abstractNumId="126">
    <w:nsid w:val="5399C654"/>
    <w:multiLevelType w:val="hybridMultilevel"/>
    <w:lvl w:ilvl="0">
      <w:lvlJc w:val="left"/>
      <w:lvlText w:val="(%1)"/>
      <w:numFmt w:val="lowerLetter"/>
      <w:start w:val="2"/>
    </w:lvl>
    <w:lvl w:ilvl="1">
      <w:lvlJc w:val="left"/>
      <w:lvlText w:val="%2"/>
      <w:numFmt w:val="lowerLetter"/>
      <w:start w:val="1"/>
    </w:lvl>
  </w:abstractNum>
  <w:abstractNum w:abstractNumId="127">
    <w:nsid w:val="20EE1348"/>
    <w:multiLevelType w:val="hybridMultilevel"/>
    <w:lvl w:ilvl="0">
      <w:lvlJc w:val="left"/>
      <w:lvlText w:val="%1."/>
      <w:numFmt w:val="decimal"/>
      <w:start w:val="6"/>
    </w:lvl>
    <w:lvl w:ilvl="1">
      <w:lvlJc w:val="left"/>
      <w:lvlText w:val="(%2)"/>
      <w:numFmt w:val="lowerLetter"/>
      <w:start w:val="1"/>
    </w:lvl>
  </w:abstractNum>
  <w:abstractNum w:abstractNumId="128">
    <w:nsid w:val="4427069A"/>
    <w:multiLevelType w:val="hybridMultilevel"/>
    <w:lvl w:ilvl="0">
      <w:lvlJc w:val="left"/>
      <w:lvlText w:val="(%1)"/>
      <w:numFmt w:val="lowerLetter"/>
      <w:start w:val="2"/>
    </w:lvl>
  </w:abstractNum>
  <w:abstractNum w:abstractNumId="129">
    <w:nsid w:val="B37E80A"/>
    <w:multiLevelType w:val="hybridMultilevel"/>
    <w:lvl w:ilvl="0">
      <w:lvlJc w:val="left"/>
      <w:lvlText w:val="%1."/>
      <w:numFmt w:val="decimal"/>
      <w:start w:val="7"/>
    </w:lvl>
  </w:abstractNum>
  <w:abstractNum w:abstractNumId="130">
    <w:nsid w:val="2157F6BC"/>
    <w:multiLevelType w:val="hybridMultilevel"/>
    <w:lvl w:ilvl="0">
      <w:lvlJc w:val="left"/>
      <w:lvlText w:val="%1."/>
      <w:numFmt w:val="decimal"/>
      <w:start w:val="1"/>
    </w:lvl>
  </w:abstractNum>
  <w:abstractNum w:abstractNumId="131">
    <w:nsid w:val="704E1DD5"/>
    <w:multiLevelType w:val="hybridMultilevel"/>
    <w:lvl w:ilvl="0">
      <w:lvlJc w:val="left"/>
      <w:lvlText w:val="%1."/>
      <w:numFmt w:val="decimal"/>
      <w:start w:val="8"/>
    </w:lvl>
  </w:abstractNum>
  <w:abstractNum w:abstractNumId="132">
    <w:nsid w:val="57D2F10E"/>
    <w:multiLevelType w:val="hybridMultilevel"/>
    <w:lvl w:ilvl="0">
      <w:lvlJc w:val="left"/>
      <w:lvlText w:val="%1."/>
      <w:numFmt w:val="decimal"/>
      <w:start w:val="12"/>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2019-12-29T14:55:17Z</dcterms:created>
  <dcterms:modified xsi:type="dcterms:W3CDTF">2019-12-29T14:55:17Z</dcterms:modified>
</cp:coreProperties>
</file>