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44" w:right="259" w:bottom="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44" w:right="259" w:bottom="7"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7"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On March 29, 2017, Blueprint Medicines Corporation (the “Company”) entered into an underwriting agreement (the “Underwriting Agreement”) with Goldman, Sachs &amp; Co. and Morgan Stanley &amp; Co. LLC, as representatives of the underwriters named therein (collectively, the “Underwriters”), relating to an underwritten public offering (the “Offering”) of 5,000,000 shares of the Company’s common stock, $0.001 par value per share (the “Common Stock”), at a price to the public of $40.00 per share (the “Offering Price”). After deducting the underwriting discounts and commissions and estimated offering expenses, the Company expects to receive net proceeds from the Offering of approximately $187.4 million. The Company has also granted the Underwriters a 30-day option to purchase up to an additional 750,000 shares of Common Stock at the Offering Price.</w:t>
      </w:r>
    </w:p>
    <w:p>
      <w:pPr>
        <w:spacing w:after="0" w:line="178" w:lineRule="exact"/>
        <w:rPr>
          <w:sz w:val="24"/>
          <w:szCs w:val="24"/>
          <w:color w:val="auto"/>
        </w:rPr>
      </w:pPr>
    </w:p>
    <w:p>
      <w:pPr>
        <w:ind w:right="100" w:firstLine="648"/>
        <w:spacing w:after="0" w:line="264" w:lineRule="auto"/>
        <w:rPr>
          <w:sz w:val="20"/>
          <w:szCs w:val="20"/>
          <w:color w:val="auto"/>
        </w:rPr>
      </w:pPr>
      <w:r>
        <w:rPr>
          <w:rFonts w:ascii="Arial" w:cs="Arial" w:eastAsia="Arial" w:hAnsi="Arial"/>
          <w:sz w:val="18"/>
          <w:szCs w:val="18"/>
          <w:color w:val="auto"/>
        </w:rPr>
        <w:t>The Offering was made pursuant to the Company’s effective automatic shelf registration statement on Form S-3ASR (File No. 333-216573), as supplemented by a prospectus supplement dated March 29, 2017. The Offering is expected to close on April 4, 2017, subject to the satisfaction of customary closing conditions.</w:t>
      </w:r>
    </w:p>
    <w:p>
      <w:pPr>
        <w:spacing w:after="0" w:line="181" w:lineRule="exact"/>
        <w:rPr>
          <w:sz w:val="24"/>
          <w:szCs w:val="24"/>
          <w:color w:val="auto"/>
        </w:rPr>
      </w:pPr>
    </w:p>
    <w:p>
      <w:pPr>
        <w:ind w:right="220" w:firstLine="648"/>
        <w:spacing w:after="0" w:line="308" w:lineRule="auto"/>
        <w:rPr>
          <w:sz w:val="20"/>
          <w:szCs w:val="20"/>
          <w:color w:val="auto"/>
        </w:rPr>
      </w:pPr>
      <w:r>
        <w:rPr>
          <w:rFonts w:ascii="Arial" w:cs="Arial" w:eastAsia="Arial" w:hAnsi="Arial"/>
          <w:sz w:val="17"/>
          <w:szCs w:val="17"/>
          <w:color w:val="auto"/>
        </w:rPr>
        <w:t>A copy of the Underwriting Agreement is attached as Exhibit 1.1 to this Current Report on Form 8-K and is incorporated herein by reference. The foregoing description of the Underwriting Agreement does not purport to be complete and is qualified in its entirety by reference to such exhibit.</w:t>
      </w:r>
    </w:p>
    <w:p>
      <w:pPr>
        <w:sectPr>
          <w:pgSz w:w="11900" w:h="16838" w:orient="portrait"/>
          <w:cols w:equalWidth="0" w:num="1">
            <w:col w:w="11400"/>
          </w:cols>
          <w:pgMar w:left="240" w:top="544" w:right="259" w:bottom="7" w:gutter="0" w:footer="0" w:header="0"/>
          <w:type w:val="continuous"/>
        </w:sectPr>
      </w:pPr>
    </w:p>
    <w:bookmarkStart w:id="1" w:name="page2"/>
    <w:bookmarkEnd w:id="1"/>
    <w:p>
      <w:pPr>
        <w:ind w:right="540" w:firstLine="648"/>
        <w:spacing w:after="0" w:line="277" w:lineRule="auto"/>
        <w:rPr>
          <w:sz w:val="20"/>
          <w:szCs w:val="20"/>
          <w:color w:val="auto"/>
        </w:rPr>
      </w:pPr>
      <w:r>
        <w:rPr>
          <w:rFonts w:ascii="Arial" w:cs="Arial" w:eastAsia="Arial" w:hAnsi="Arial"/>
          <w:sz w:val="18"/>
          <w:szCs w:val="18"/>
          <w:color w:val="auto"/>
        </w:rPr>
        <w:t>A copy of the legal opinion of Goodwin Procter LLP relating to the legality of the issuance and sale of the shares in the Offering is attached as Exhibit 5.1 to this Current Report on Form 8-K.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March 29, 2017, the Company issued a press release announcing the Offering, and on March 29, 2017, the Company issued a press release announcing the pricing of the Offering. Copies of these press releases are attached to this Current Report on Form 8-K as Exhibits 99.1 and 99.2, respectively, and are each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which immediately follows the signatures hereto, which Exhibit Index is incorporated herein by reference.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20"/>
              <w:spacing w:after="0"/>
              <w:rPr>
                <w:sz w:val="20"/>
                <w:szCs w:val="20"/>
                <w:color w:val="auto"/>
              </w:rPr>
            </w:pPr>
            <w:r>
              <w:rPr>
                <w:rFonts w:ascii="Arial" w:cs="Arial" w:eastAsia="Arial" w:hAnsi="Arial"/>
                <w:sz w:val="18"/>
                <w:szCs w:val="18"/>
                <w:b w:val="1"/>
                <w:bCs w:val="1"/>
                <w:color w:val="auto"/>
              </w:rPr>
              <w:t>BLUEPRINT MEDICINES CORPORATION</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March 30, 2017</w:t>
            </w:r>
          </w:p>
        </w:tc>
        <w:tc>
          <w:tcPr>
            <w:tcW w:w="7800" w:type="dxa"/>
            <w:vAlign w:val="bottom"/>
            <w:gridSpan w:val="2"/>
          </w:tcPr>
          <w:p>
            <w:pPr>
              <w:ind w:left="2120"/>
              <w:spacing w:after="0"/>
              <w:rPr>
                <w:sz w:val="20"/>
                <w:szCs w:val="20"/>
                <w:color w:val="auto"/>
              </w:rPr>
            </w:pPr>
            <w:r>
              <w:rPr>
                <w:rFonts w:ascii="Arial" w:cs="Arial" w:eastAsia="Arial" w:hAnsi="Arial"/>
                <w:sz w:val="18"/>
                <w:szCs w:val="18"/>
                <w:color w:val="auto"/>
              </w:rPr>
              <w:t>By:  /s/ Jeffrey W. Albers</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Underwriting Agreement, dated as of March 29, 2017, among Blueprint Medicines Corporation and Goldman, Sachs &amp; Co. and Morgan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Stanley &amp; Co. LLC, as representatives of the underwriters named therein</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Opinion of Goodwin Procter LLP</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Goodwin Procter LLP (included in Exhibit 5.1)</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 xml:space="preserve">Press release issued by Blueprint Medicines Corporation on </w:t>
            </w:r>
            <w:r>
              <w:rPr>
                <w:rFonts w:ascii="Arial" w:cs="Arial" w:eastAsia="Arial" w:hAnsi="Arial"/>
                <w:sz w:val="17"/>
                <w:szCs w:val="17"/>
                <w:color w:val="auto"/>
              </w:rPr>
              <w:t>March 29, 2017</w:t>
            </w:r>
          </w:p>
        </w:tc>
        <w:tc>
          <w:tcPr>
            <w:tcW w:w="40" w:type="dxa"/>
            <w:vAlign w:val="bottom"/>
          </w:tcPr>
          <w:p>
            <w:pPr>
              <w:spacing w:after="0"/>
              <w:rPr>
                <w:sz w:val="18"/>
                <w:szCs w:val="18"/>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 xml:space="preserve">Press release issued by Blueprint Medicines Corporation on </w:t>
            </w:r>
            <w:r>
              <w:rPr>
                <w:rFonts w:ascii="Arial" w:cs="Arial" w:eastAsia="Arial" w:hAnsi="Arial"/>
                <w:sz w:val="17"/>
                <w:szCs w:val="17"/>
                <w:color w:val="auto"/>
              </w:rPr>
              <w:t>March 29, 2017</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ind w:left="42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Blueprint Medicines Corporation, a Delaware corporation (the “Company”), proposes, subject to the terms and conditions stated herein, to issue and sell to the Underwriters named in Schedule I hereto (the “Underwriters”), for whom you are acting as representatives (the “Representatives”), an aggregate of 5,000,000 shares (the “Firm Shares”) and, at the election of the Underwriters, up to 750,000 additional shares (the “Optional Shares”) of Common Stock, par value $0.001 per share (“Stock”), of the Company (the Firm Shares and the Optional Shares that the Underwriters elect to purchase pursuant to Section 2 hereof being collectively called the “Shares”).</w:t>
      </w:r>
    </w:p>
    <w:p>
      <w:pPr>
        <w:spacing w:after="0" w:line="188"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225" w:lineRule="exact"/>
        <w:rPr>
          <w:sz w:val="20"/>
          <w:szCs w:val="20"/>
          <w:color w:val="auto"/>
        </w:rPr>
      </w:pPr>
    </w:p>
    <w:p>
      <w:pPr>
        <w:jc w:val="both"/>
        <w:ind w:right="140" w:firstLine="656"/>
        <w:spacing w:after="0" w:line="259" w:lineRule="auto"/>
        <w:tabs>
          <w:tab w:leader="none" w:pos="883"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“automatic shelf registration statement” (as defined in Rule 405 under the Securities Act of 1933, as amended (the “Act”))on Form S-3ASR (File No. 333-216573) (the “Automatic Registration Statement”), in respect of the Shares has been filed with the Securities and Exchange Commission (the “Commission”) not earlier than three years prior to the date hereof; the Automatic Registration Statement and any post-effective amendment thereto, each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form heretofore delivered to you for each of the other Underwriters, and, excluding exhibits to the Registration Statement, but including all documents incorporated by reference in the prospectus included therein, have been declared effective by the Commission in such form; no other document with respect to the Automatic Registration Statement or any document incorporated by reference therein has heretofore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Automatic Registration Statement or any post-effective amendment thereto, has been issued and no proceeding for that purpose has been initiated or threatened by the Commission (the base prospectus filed as part of the Automatic Registration Statement, in the form in which it has most recently been filed with the Commission on or prior to the date of this Agreement relating to the Shares, is hereinafter called the “Basic Prospectus”; any preliminary prospectus (including any preliminary prospectus supplement) relating to the Shares filed with the Commission pursuant to Rule 424(b) under the Act is hereinafter called a “Preliminary Prospectus”; the various parts of the Automatic Registration Statement, including all exhibits thereto and including any prospectus supplement relating to the Shares that is filed with the Commission and deemed by virtue of Rule 430B under the Act to be part of the Automatic Registration Statement, each as amended at the time such part of the Automatic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Act relating to the Shares 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hereinafter called an “Issuer Free Writing Prospectus”; any oral or written communication with potential investors undertaken in reliance on Section 5(d) of the Act is hereinafter called a “Section 5(d) Communication”; and any Section 5(d) Communication that is a written communication within the meaning of Rule 405 under the Act is hereinafter called a “Section 5(d) Writing”);</w:t>
      </w:r>
    </w:p>
    <w:p>
      <w:pPr>
        <w:sectPr>
          <w:pgSz w:w="11900" w:h="16838" w:orient="portrait"/>
          <w:cols w:equalWidth="0" w:num="1">
            <w:col w:w="11420"/>
          </w:cols>
          <w:pgMar w:left="240" w:top="121" w:right="239" w:bottom="0" w:gutter="0" w:footer="0" w:header="0"/>
        </w:sectPr>
      </w:pPr>
    </w:p>
    <w:bookmarkStart w:id="3" w:name="page4"/>
    <w:bookmarkEnd w:id="3"/>
    <w:p>
      <w:pPr>
        <w:ind w:firstLine="656"/>
        <w:spacing w:after="0" w:line="273" w:lineRule="auto"/>
        <w:tabs>
          <w:tab w:leader="none" w:pos="1142"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78" w:lineRule="exact"/>
        <w:rPr>
          <w:rFonts w:ascii="Arial" w:cs="Arial" w:eastAsia="Arial" w:hAnsi="Arial"/>
          <w:sz w:val="17"/>
          <w:szCs w:val="17"/>
          <w:color w:val="auto"/>
        </w:rPr>
      </w:pPr>
    </w:p>
    <w:p>
      <w:pPr>
        <w:ind w:firstLine="656"/>
        <w:spacing w:after="0" w:line="269" w:lineRule="auto"/>
        <w:tabs>
          <w:tab w:leader="none" w:pos="114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For the purposes of this Agreement, the “Applicable Time” is 5:30 pm (Eastern time) on the date of this Agreement. The Pricing Prospectus, as supplemented by those Issuer Free Writing Prospectuses and other documents and information listed on Schedule II(c)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and each Section 5(d) Writing listed on Schedule II(b) hereto, each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representation and warranty shall not apply to statements or omissions made in the Pricing Disclosure Package, any Issuer Free Writing Prospectus or any Section 5(d) Writing in reliance upon and in conformity with information furnished in writing to the Company by an Underwriter through a Representative expressly for use therein;</w:t>
      </w:r>
    </w:p>
    <w:p>
      <w:pPr>
        <w:spacing w:after="0" w:line="182" w:lineRule="exact"/>
        <w:rPr>
          <w:rFonts w:ascii="Arial" w:cs="Arial" w:eastAsia="Arial" w:hAnsi="Arial"/>
          <w:sz w:val="17"/>
          <w:szCs w:val="17"/>
          <w:color w:val="auto"/>
        </w:rPr>
      </w:pPr>
    </w:p>
    <w:p>
      <w:pPr>
        <w:ind w:right="460" w:firstLine="656"/>
        <w:spacing w:after="0" w:line="264" w:lineRule="auto"/>
        <w:tabs>
          <w:tab w:leader="none" w:pos="11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documents incorporated by reference in the Pricing Prospectus and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a Representative expressly for use therein; and no such documents were filed with the Commission since the Commission’s close of business on the business day immediately prior to the date of this Agreement and prior to the execution of this Agreement, except as set forth on Schedule II(b) hereto;</w:t>
      </w:r>
    </w:p>
    <w:p>
      <w:pPr>
        <w:spacing w:after="0" w:line="166" w:lineRule="exact"/>
        <w:rPr>
          <w:sz w:val="20"/>
          <w:szCs w:val="20"/>
          <w:color w:val="auto"/>
        </w:rPr>
      </w:pPr>
    </w:p>
    <w:p>
      <w:pPr>
        <w:jc w:val="both"/>
        <w:ind w:right="20" w:firstLine="656"/>
        <w:spacing w:after="0" w:line="264" w:lineRule="auto"/>
        <w:tabs>
          <w:tab w:leader="none" w:pos="1145" w:val="left"/>
        </w:tabs>
        <w:numPr>
          <w:ilvl w:val="0"/>
          <w:numId w:val="5"/>
        </w:numPr>
        <w:rPr>
          <w:rFonts w:ascii="Arial" w:cs="Arial" w:eastAsia="Arial" w:hAnsi="Arial"/>
          <w:sz w:val="18"/>
          <w:szCs w:val="18"/>
          <w:color w:val="auto"/>
        </w:rPr>
      </w:pPr>
      <w:r>
        <w:rPr>
          <w:rFonts w:ascii="Arial" w:cs="Arial" w:eastAsia="Arial" w:hAnsi="Arial"/>
          <w:sz w:val="18"/>
          <w:szCs w:val="18"/>
          <w:color w:val="auto"/>
        </w:rPr>
        <w:t>From the time of the initial filing of a registration statement relating to the Shares with the Commission (or, if earlier, the first date on which a Section 5(d) Communication was made) through the date hereof, the Company has been and is an “emerging growth company” as defined in Section 2(a)(19) of the Act (an “Emerging Growth Company”);</w:t>
      </w:r>
    </w:p>
    <w:p>
      <w:pPr>
        <w:spacing w:after="0" w:line="181" w:lineRule="exact"/>
        <w:rPr>
          <w:rFonts w:ascii="Arial" w:cs="Arial" w:eastAsia="Arial" w:hAnsi="Arial"/>
          <w:sz w:val="18"/>
          <w:szCs w:val="18"/>
          <w:color w:val="auto"/>
        </w:rPr>
      </w:pPr>
    </w:p>
    <w:p>
      <w:pPr>
        <w:ind w:right="80" w:firstLine="656"/>
        <w:spacing w:after="0" w:line="293" w:lineRule="auto"/>
        <w:tabs>
          <w:tab w:leader="none" w:pos="113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64" w:lineRule="exact"/>
        <w:rPr>
          <w:rFonts w:ascii="Arial" w:cs="Arial" w:eastAsia="Arial" w:hAnsi="Arial"/>
          <w:sz w:val="16"/>
          <w:szCs w:val="16"/>
          <w:color w:val="auto"/>
        </w:rPr>
      </w:pPr>
    </w:p>
    <w:p>
      <w:pPr>
        <w:ind w:right="20" w:firstLine="710"/>
        <w:spacing w:after="0" w:line="255" w:lineRule="auto"/>
        <w:tabs>
          <w:tab w:leader="none" w:pos="1155" w:val="left"/>
        </w:tabs>
        <w:numPr>
          <w:ilvl w:val="1"/>
          <w:numId w:val="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sustained since the date of the latest audited financial statements included or incorporated by reference in the Pricing Prospectus any material loss or material interference with its business from fire, explosion, flood or other calamity, whether or not covered by insurance, or from any labor dispute or court or governmental action, order or decree, otherwise than as set forth or contemplated in the Registration Statement and the Pricing Prospectus; and, since the respective dates as of which information is given in the Registration Statement and the Pricing Prospectus, (i) there has not been any change in the capital stock (other than as a result of the exercise of stock options or the award of stock options or restricted stock in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ordinary course of business pursuant to the Company’s equity plans that are described or incorporated by reference in the Pricing Prospectus) or long-term debt of the Company or any of its subsidiaries, (ii) neither the Company nor any of its subsidiaries has incurred any liability or obligation, direct or contingent, other than liabilities and obligations which were incurred in the ordinary course of business, (iii) neither the Company nor any of its subsidiaries has declared or paid any dividends on its capital stock, and (iv) there has not been any material adverse change, or any development involving a prospective material adverse change, in or affecting the general affairs, management, financial position, stockholders’ equity, results of operations or prospects of the Company and its subsidiaries, otherwise than as set forth or contemplated in the Pricing Prospectus;</w:t>
      </w:r>
    </w:p>
    <w:p>
      <w:pPr>
        <w:spacing w:after="0" w:line="178" w:lineRule="exact"/>
        <w:rPr>
          <w:sz w:val="20"/>
          <w:szCs w:val="20"/>
          <w:color w:val="auto"/>
        </w:rPr>
      </w:pPr>
    </w:p>
    <w:p>
      <w:pPr>
        <w:ind w:firstLine="656"/>
        <w:spacing w:after="0" w:line="289" w:lineRule="auto"/>
        <w:tabs>
          <w:tab w:leader="none" w:pos="1142" w:val="left"/>
        </w:tabs>
        <w:numPr>
          <w:ilvl w:val="0"/>
          <w:numId w:val="6"/>
        </w:numPr>
        <w:rPr>
          <w:rFonts w:ascii="Arial" w:cs="Arial" w:eastAsia="Arial" w:hAnsi="Arial"/>
          <w:sz w:val="16"/>
          <w:szCs w:val="16"/>
          <w:color w:val="auto"/>
        </w:rPr>
      </w:pPr>
      <w:r>
        <w:rPr>
          <w:rFonts w:ascii="Arial" w:cs="Arial" w:eastAsia="Arial" w:hAnsi="Arial"/>
          <w:sz w:val="16"/>
          <w:szCs w:val="16"/>
          <w:color w:val="auto"/>
        </w:rPr>
        <w:t>Neither the Company nor any of its subsidiaries owns any real property. The Company and its subsidiaries have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interfere with the use made and proposed to be made of such property and buildings by the Company and its subsidiaries;</w:t>
      </w:r>
    </w:p>
    <w:p>
      <w:pPr>
        <w:sectPr>
          <w:pgSz w:w="11900" w:h="16838" w:orient="portrait"/>
          <w:cols w:equalWidth="0" w:num="1">
            <w:col w:w="11400"/>
          </w:cols>
          <w:pgMar w:left="240" w:top="125" w:right="259" w:bottom="0" w:gutter="0" w:footer="0" w:header="0"/>
        </w:sectPr>
      </w:pPr>
    </w:p>
    <w:bookmarkStart w:id="4" w:name="page5"/>
    <w:bookmarkEnd w:id="4"/>
    <w:p>
      <w:pPr>
        <w:ind w:right="20" w:firstLine="656"/>
        <w:spacing w:after="0" w:line="272" w:lineRule="auto"/>
        <w:tabs>
          <w:tab w:leader="none" w:pos="115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 Delaware,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be in good standing in such jurisdictions would not, individually or in the aggregate, have a material adverse effect on the current or future financial position, stockholders’ equity, results of operations or prospects of the Company (a “Material Adverse Effect”); and each subsidiary of the Company has been duly incorporated and is validly existing as a corporation in good standing under the laws of its jurisdiction of incorporation;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302" w:lineRule="auto"/>
        <w:tabs>
          <w:tab w:leader="none" w:pos="1142"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has an authorized, issued and outstanding capitalization as set forth in the Pricing Prospectus and all of the issued shares of capital stock of the Company have been duly authorized and validly issued and are fully paid and non-assessable and conform to the description of the Stock contained in the Pricing Prospectus and Prospectus; and all of the issued shares of capital stock of each subsidiary of the Company have been duly authorized and validly issued and are fully paid and non-assessable and are owned directly by the Company, free and clear of all liens, encumbrances, equities or claims;</w:t>
      </w:r>
    </w:p>
    <w:p>
      <w:pPr>
        <w:spacing w:after="0" w:line="154" w:lineRule="exact"/>
        <w:rPr>
          <w:rFonts w:ascii="Arial" w:cs="Arial" w:eastAsia="Arial" w:hAnsi="Arial"/>
          <w:sz w:val="16"/>
          <w:szCs w:val="16"/>
          <w:color w:val="auto"/>
        </w:rPr>
      </w:pPr>
    </w:p>
    <w:p>
      <w:pPr>
        <w:ind w:firstLine="656"/>
        <w:spacing w:after="0" w:line="276" w:lineRule="auto"/>
        <w:tabs>
          <w:tab w:leader="none" w:pos="1142"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Prospectus and the issuance of the Shares is not subject to any preemptive, rights of first refusal or similar rights pursuant to the General Corporation Law of the State of Delaware or the Company’s Certificate of Incorporation or Bylaws or any agreement or other instrument to which the Company is a party, except for such rights that have been complied with or effectively waived prior to the date hereof;</w:t>
      </w:r>
    </w:p>
    <w:p>
      <w:pPr>
        <w:spacing w:after="0" w:line="172" w:lineRule="exact"/>
        <w:rPr>
          <w:rFonts w:ascii="Arial" w:cs="Arial" w:eastAsia="Arial" w:hAnsi="Arial"/>
          <w:sz w:val="17"/>
          <w:szCs w:val="17"/>
          <w:color w:val="auto"/>
        </w:rPr>
      </w:pPr>
    </w:p>
    <w:p>
      <w:pPr>
        <w:jc w:val="both"/>
        <w:ind w:right="400" w:firstLine="656"/>
        <w:spacing w:after="0" w:line="291" w:lineRule="auto"/>
        <w:tabs>
          <w:tab w:leader="none" w:pos="1156"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issue and sale of the Shares and the compliance by the Company with this Agreement and the consummation by the Company of the transactions herein contemplated will not conflict with or result in a breach or violation of any of the terms or provisions of, or constitute a default under,</w:t>
      </w:r>
    </w:p>
    <w:p>
      <w:pPr>
        <w:ind w:right="20" w:firstLine="8"/>
        <w:spacing w:after="0" w:line="268" w:lineRule="auto"/>
        <w:tabs>
          <w:tab w:leader="none" w:pos="21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indenture, mortgage, lease,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the Company’s Certificate of Incorporation or Bylaws or (iii) any statute or any order, rule or regulation of any court or governmental agency or body having jurisdiction over the Company or any of its subsidiaries or any of their properties, except in the case of (i) and (iii) for such violations or defaults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the approval by the Financial Industry Regulatory Authority (“FINRA”) of the underwriting terms, the approval of the listing of the Shares on the NASDAQ Global Select Market, and such consents, approvals, authorizations, registrations, orders or qualifications as may be required under state securities or Blue Sky laws in connection with the purchase and distribution of the Shares by the Underwriters;</w:t>
      </w:r>
    </w:p>
    <w:p>
      <w:pPr>
        <w:spacing w:after="0" w:line="179" w:lineRule="exact"/>
        <w:rPr>
          <w:rFonts w:ascii="Arial" w:cs="Arial" w:eastAsia="Arial" w:hAnsi="Arial"/>
          <w:sz w:val="17"/>
          <w:szCs w:val="17"/>
          <w:color w:val="auto"/>
        </w:rPr>
      </w:pPr>
    </w:p>
    <w:p>
      <w:pPr>
        <w:ind w:left="1140" w:hanging="484"/>
        <w:spacing w:after="0"/>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respective Certificate of Incorporation or Bylaws, (ii) in default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performance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or observance of any material obligation, agreement, covenant or condition contained in any indenture, mortgage, deed of trust, loan agreement, lease or other agreement or instrument to which it is a party or by which it or any of its properties may be bound, or (iii) in violation of any law or statute or any judgment, order, rule or regulation of any court or arbitrator or governmental or regulatory authority (collectively, the “Regulatory Authorities”), except in the case of</w:t>
      </w:r>
    </w:p>
    <w:p>
      <w:pPr>
        <w:ind w:left="280" w:hanging="27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and (iii) for such violations or defaults as would not, individually or in the aggregate, reasonably be expected to have a Material Adverse Effect;</w:t>
      </w:r>
    </w:p>
    <w:p>
      <w:pPr>
        <w:spacing w:after="0" w:line="222" w:lineRule="exact"/>
        <w:rPr>
          <w:rFonts w:ascii="Arial" w:cs="Arial" w:eastAsia="Arial" w:hAnsi="Arial"/>
          <w:sz w:val="17"/>
          <w:szCs w:val="17"/>
          <w:color w:val="auto"/>
        </w:rPr>
      </w:pPr>
    </w:p>
    <w:p>
      <w:pPr>
        <w:ind w:right="80" w:firstLine="656"/>
        <w:spacing w:after="0" w:line="257" w:lineRule="auto"/>
        <w:tabs>
          <w:tab w:leader="none" w:pos="11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Stock and under the caption “Underwriting” insofar as they purport to describe the provisions of the laws and documents referred to therein are accurate, materially complete and fair, and the statements set forth in the Pricing Prospectus and the Prospectus under the caption “Material U.S. Federal Income Tax Considerations for Non-U.S. Holders” insofar as they purport to describe the provisions of the laws and documents referred to therein are accurate in all material respects;</w:t>
      </w:r>
    </w:p>
    <w:p>
      <w:pPr>
        <w:spacing w:after="0" w:line="188" w:lineRule="exact"/>
        <w:rPr>
          <w:rFonts w:ascii="Arial" w:cs="Arial" w:eastAsia="Arial" w:hAnsi="Arial"/>
          <w:sz w:val="18"/>
          <w:szCs w:val="18"/>
          <w:color w:val="auto"/>
        </w:rPr>
      </w:pPr>
    </w:p>
    <w:p>
      <w:pPr>
        <w:ind w:right="20" w:firstLine="656"/>
        <w:spacing w:after="0" w:line="279" w:lineRule="auto"/>
        <w:tabs>
          <w:tab w:leader="none" w:pos="1142" w:val="left"/>
        </w:tabs>
        <w:numPr>
          <w:ilvl w:val="1"/>
          <w:numId w:val="10"/>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reasonably be expected to have a Material Adverse Effect; and, to the best of the Company’s knowledge, no such proceedings are threatened or contemplated by Regulatory Authorities or threatened by others;</w:t>
      </w:r>
    </w:p>
    <w:p>
      <w:pPr>
        <w:spacing w:after="0" w:line="171" w:lineRule="exact"/>
        <w:rPr>
          <w:rFonts w:ascii="Arial" w:cs="Arial" w:eastAsia="Arial" w:hAnsi="Arial"/>
          <w:sz w:val="17"/>
          <w:szCs w:val="17"/>
          <w:color w:val="auto"/>
        </w:rPr>
      </w:pPr>
    </w:p>
    <w:p>
      <w:pPr>
        <w:ind w:right="220" w:firstLine="656"/>
        <w:spacing w:after="0" w:line="264" w:lineRule="auto"/>
        <w:tabs>
          <w:tab w:leader="none" w:pos="11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Pricing Disclosure Package, will not be an “investment company”, as such term is defined in the Investment Company Act of 1940, as amended (the “Investment Company Act”);</w:t>
      </w:r>
    </w:p>
    <w:p>
      <w:pPr>
        <w:spacing w:after="0" w:line="181" w:lineRule="exact"/>
        <w:rPr>
          <w:rFonts w:ascii="Arial" w:cs="Arial" w:eastAsia="Arial" w:hAnsi="Arial"/>
          <w:sz w:val="18"/>
          <w:szCs w:val="18"/>
          <w:color w:val="auto"/>
        </w:rPr>
      </w:pPr>
    </w:p>
    <w:p>
      <w:pPr>
        <w:ind w:right="360" w:firstLine="656"/>
        <w:spacing w:after="0" w:line="277" w:lineRule="auto"/>
        <w:tabs>
          <w:tab w:leader="none" w:pos="11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At the time of filing the Automatic Registration Statement the Company was not and, as of the date hereof is not an “ineligible issuer,” as defined under Rule 405 under the Act;</w:t>
      </w:r>
    </w:p>
    <w:p>
      <w:pPr>
        <w:spacing w:after="0" w:line="170" w:lineRule="exact"/>
        <w:rPr>
          <w:rFonts w:ascii="Arial" w:cs="Arial" w:eastAsia="Arial" w:hAnsi="Arial"/>
          <w:sz w:val="18"/>
          <w:szCs w:val="18"/>
          <w:color w:val="auto"/>
        </w:rPr>
      </w:pPr>
    </w:p>
    <w:p>
      <w:pPr>
        <w:ind w:right="580" w:firstLine="656"/>
        <w:spacing w:after="0" w:line="277" w:lineRule="auto"/>
        <w:tabs>
          <w:tab w:leader="none" w:pos="11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is an independent registered public accountant as required by the Act and the rules and regulations of the Commission thereunder;</w:t>
      </w:r>
    </w:p>
    <w:p>
      <w:pPr>
        <w:spacing w:after="0" w:line="170" w:lineRule="exact"/>
        <w:rPr>
          <w:rFonts w:ascii="Arial" w:cs="Arial" w:eastAsia="Arial" w:hAnsi="Arial"/>
          <w:sz w:val="18"/>
          <w:szCs w:val="18"/>
          <w:color w:val="auto"/>
        </w:rPr>
      </w:pPr>
    </w:p>
    <w:p>
      <w:pPr>
        <w:ind w:right="20" w:firstLine="656"/>
        <w:spacing w:after="0" w:line="264" w:lineRule="auto"/>
        <w:tabs>
          <w:tab w:leader="none" w:pos="1149"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Exchange Act) that complies with the requirements of the Exchange Act applicable to the Company and has been designed by the Company’s principal executive officer and principal financial officer, or under their supervision, to provide reasonable assurance</w:t>
      </w:r>
    </w:p>
    <w:p>
      <w:pPr>
        <w:sectPr>
          <w:pgSz w:w="11900" w:h="16838" w:orient="portrait"/>
          <w:cols w:equalWidth="0" w:num="1">
            <w:col w:w="11420"/>
          </w:cols>
          <w:pgMar w:left="240" w:top="125" w:right="239" w:bottom="44"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4" w:gutter="0" w:footer="0" w:header="0"/>
          <w:type w:val="continuous"/>
        </w:sectPr>
      </w:pPr>
    </w:p>
    <w:bookmarkStart w:id="5" w:name="page6"/>
    <w:bookmarkEnd w:id="5"/>
    <w:p>
      <w:pPr>
        <w:ind w:right="40"/>
        <w:spacing w:after="0" w:line="271" w:lineRule="auto"/>
        <w:rPr>
          <w:sz w:val="20"/>
          <w:szCs w:val="20"/>
          <w:color w:val="auto"/>
        </w:rPr>
      </w:pPr>
      <w:r>
        <w:rPr>
          <w:rFonts w:ascii="Arial" w:cs="Arial" w:eastAsia="Arial" w:hAnsi="Arial"/>
          <w:sz w:val="17"/>
          <w:szCs w:val="17"/>
          <w:color w:val="auto"/>
        </w:rPr>
        <w:t>regarding the reliability of financial reporting and the preparation of financial statements for external purposes in accordance with U.S. generally accepted accounting principles (“GAAP”). The Company’s internal accounting controls have been designed to provide reasonable assurance regarding the reliability of financial reporting and the preparation of financial statements for external purposes in accordance with GAAP. The Company’s internal accounting controls are sufficient to provide reasonable assurance that (i) transactions are executed in accordance with the general or specific authorizations of the Company’s management; (ii) transactions are recorded as necessary to permit preparation of financial statements in conformity with GAAP and to maintain asset accountability; (iii) access to assets is permitted only in accordance with the general or specific authorization of the Company’s management; (iv) the recorded accountability for assets is compared with the existing assets at reasonable intervals and appropriate action is taken with respect to any differences. The Company is not aware of any material weaknesses in its internal control over financial reporting;</w:t>
      </w:r>
    </w:p>
    <w:p>
      <w:pPr>
        <w:spacing w:after="0" w:line="179" w:lineRule="exact"/>
        <w:rPr>
          <w:sz w:val="20"/>
          <w:szCs w:val="20"/>
          <w:color w:val="auto"/>
        </w:rPr>
      </w:pPr>
    </w:p>
    <w:p>
      <w:pPr>
        <w:jc w:val="both"/>
        <w:ind w:right="200" w:firstLine="656"/>
        <w:spacing w:after="0" w:line="264" w:lineRule="auto"/>
        <w:tabs>
          <w:tab w:leader="none" w:pos="11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81" w:lineRule="exact"/>
        <w:rPr>
          <w:rFonts w:ascii="Arial" w:cs="Arial" w:eastAsia="Arial" w:hAnsi="Arial"/>
          <w:sz w:val="18"/>
          <w:szCs w:val="18"/>
          <w:color w:val="auto"/>
        </w:rPr>
      </w:pPr>
    </w:p>
    <w:p>
      <w:pPr>
        <w:ind w:right="80" w:firstLine="656"/>
        <w:spacing w:after="0" w:line="259" w:lineRule="auto"/>
        <w:tabs>
          <w:tab w:leader="none" w:pos="11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are designed to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6" w:lineRule="exact"/>
        <w:rPr>
          <w:rFonts w:ascii="Arial" w:cs="Arial" w:eastAsia="Arial" w:hAnsi="Arial"/>
          <w:sz w:val="18"/>
          <w:szCs w:val="18"/>
          <w:color w:val="auto"/>
        </w:rPr>
      </w:pPr>
    </w:p>
    <w:p>
      <w:pPr>
        <w:ind w:firstLine="656"/>
        <w:spacing w:after="0" w:line="264" w:lineRule="auto"/>
        <w:tabs>
          <w:tab w:leader="none" w:pos="11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81" w:lineRule="exact"/>
        <w:rPr>
          <w:rFonts w:ascii="Arial" w:cs="Arial" w:eastAsia="Arial" w:hAnsi="Arial"/>
          <w:sz w:val="18"/>
          <w:szCs w:val="18"/>
          <w:color w:val="auto"/>
        </w:rPr>
      </w:pPr>
    </w:p>
    <w:p>
      <w:pPr>
        <w:ind w:right="60" w:firstLine="656"/>
        <w:spacing w:after="0" w:line="276" w:lineRule="auto"/>
        <w:tabs>
          <w:tab w:leader="none" w:pos="11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disclosed in the Pricing Prospectus, the Company owns or has valid, binding and enforceable licenses or other rights under the patents and patent applications, copyrights, trademarks, trademark registrations, service marks, service mark registrations, trade names, service names, know-how (including trade secrets and other unpatented and/or unpatentable proprietary or confidential information, systems or procedures) and other intellectual property (collectively, “Intellectual Property”) that is necessary for, or used in the conduct of, or the proposed conduct of, the business of the Company in the manner described in the Pricing Prospectus (collectively, the “Company Intellectual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Property”). To the Company’s knowledge, none of the patents and patent applications contained in the Company Intellectual Property, are invalid or unenforceable, in whole or in part, and the Company is unaware of any facts that would form a reasonable basis for such a determination. None of the rights within the Company Intellectual Property, other than patents and patent applications, are invalid or unenforceable, in whole or in part, and the Company is unaware of any facts that would form a reasonable basis for such a determination. Except as disclosed in the Pricing Prospectus, the Company is not obligated to pay a material royalty, grant a license or provide other material consideration to any third party in connection with the Company Intellectual Property. There is no pending or, to the Company’s knowledge, threatened action, suit, proceeding or claim by a third party (i) challenging the Company’s rights in or to any Company Intellectual Property, including with respect to ownership and inventorship; (ii) challenging the validity, enforceability or scope of any Company Intellectual Property; or (iii) asserting that the Company has infringed, misappropriated or otherwise violated, or would, upon the commercialization of any products described in the Pricing Prospectus as under development, infringe, misappropriate or otherwise violate, any Intellectual Property rights of others; and, in each of the foregoing cases, the Company (a) is unaware of any facts that would form a reasonable basis for any such action, suit, proceeding or claim and (b) has not received any written notice alleging any such claim or conflict. To the knowledge of the Company, (1) neither the commercial development nor the sale of any of the products, proposed products or processes of the Company, as described in the Pricing Prospectus, infringes, misappropriates or otherwise violates, or would, upon the commercialization of such products or proposed products, infringe, misappropriate or otherwise violate, any Intellectual Property rights of any third party; (2) the Company believes it can acquire, on reasonable terms, any licenses under third-party Intellectual Property that may be necessary for or used in its business, as currently conducted or as proposed to be conducted, as described in the Pricing Prospectus; (3) no third party has any ownership right in or to any Company Intellectual Property that is owned by the Company, other than any co-owner of a patent or patent application within the Company Intellectual Property who is listed on the records of the U.S. Patent and Trademark Office (the “USPTO”) as co-owner of such patent or named in such patent application; (4) no third party has any ownership right in or to any Company Intellectual Property, in any field of use, other than the respective licensor to the Company of such Company Intellectual Property; (5) no employee of the Company is in or has ever been in violation, in any material respect, of any term of any employment contract, patent disclosure agreement, invention assignment agreement, non-competition agreement, non-solicitation agreement, nondisclosure agreement or other restrictive covenant to or with a former employer where the basis of such violation relates to such employee’s employment, or to actions undertaken by the employee while employed, with the Company; and (6) each current and former employee and consultant of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Company (A) has executed an inventions assignment and confidentiality agreement with the Company, on or about the respective date of hire, in substantially the form made available to the Underwriter and its counsel; and (B) has assigned or agreed to assign to the Company any and all Intellectual Property rights he or she may possess or may have possessed that are related to the Company’s business, as currently conducted and as proposed to be conducted, as described in the Pricing Prospectus;</w:t>
      </w:r>
    </w:p>
    <w:p>
      <w:pPr>
        <w:spacing w:after="0" w:line="187" w:lineRule="exact"/>
        <w:rPr>
          <w:sz w:val="20"/>
          <w:szCs w:val="20"/>
          <w:color w:val="auto"/>
        </w:rPr>
      </w:pPr>
    </w:p>
    <w:p>
      <w:pPr>
        <w:ind w:right="60" w:firstLine="656"/>
        <w:spacing w:after="0" w:line="276" w:lineRule="auto"/>
        <w:tabs>
          <w:tab w:leader="none" w:pos="1142"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72" w:lineRule="exact"/>
        <w:rPr>
          <w:rFonts w:ascii="Arial" w:cs="Arial" w:eastAsia="Arial" w:hAnsi="Arial"/>
          <w:sz w:val="17"/>
          <w:szCs w:val="17"/>
          <w:color w:val="auto"/>
        </w:rPr>
      </w:pPr>
    </w:p>
    <w:p>
      <w:pPr>
        <w:ind w:right="480" w:firstLine="656"/>
        <w:spacing w:after="0" w:line="342" w:lineRule="auto"/>
        <w:tabs>
          <w:tab w:leader="none" w:pos="114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preclinical studies and clinical trials conducted by, on behalf of or sponsored by the Company were and, if still pending are being, conducted in all material respects in accordance with the experimental protocols or clinical trial protocols established for each study or trial and with all</w:t>
      </w:r>
    </w:p>
    <w:p>
      <w:pPr>
        <w:sectPr>
          <w:pgSz w:w="11900" w:h="16838" w:orient="portrait"/>
          <w:cols w:equalWidth="0" w:num="1">
            <w:col w:w="11420"/>
          </w:cols>
          <w:pgMar w:left="240" w:top="584" w:right="239" w:bottom="0" w:gutter="0" w:footer="0" w:header="0"/>
        </w:sectPr>
      </w:pPr>
    </w:p>
    <w:bookmarkStart w:id="6" w:name="page7"/>
    <w:bookmarkEnd w:id="6"/>
    <w:p>
      <w:pPr>
        <w:spacing w:after="0" w:line="1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applicable local, state and federal laws, rules and regulations, including, without limitation, the Federal Food, Drug, and Cosmetic Act and its applicable implementing regulations at 21 C.F.R. Parts 50, 54, 56, 58, 312, and 812 or the exercise by the U.S. Food and Drug Administration (“FDA”) of enforcement discretion thereto, as applicable, except where the failure to so conduct would not, individually or in the aggregate, reasonably be expected to have a Material Adverse Effect; the descriptions of the results of such studies and trials contained in any Pricing Prospectus or Prospectus did not include any untrue statement of a material fact or omit to state any material fact necessary in order to make the statements therein, in the light of the circumstances under which they were made, not misleading; except to the extent disclosed in the Pricing Prospectus or Prospectus, the Company is not aware of any studies or trials, the results of which are inconsistent with or otherwise call into question the study or trial results described or referred to in the Pricing Prospectus or Prospectus; and neither the FDA nor any applicable foreign Regulatory Agency has commenced, or, to the knowledge of the Company, threatened to initiate, any action to place a hold order on, or otherwise terminate, delay or suspend, any proposed or ongoing preclinical study or clinical investigation conducted or proposed to be conducted by or on behalf of the Company;</w:t>
      </w:r>
    </w:p>
    <w:p>
      <w:pPr>
        <w:spacing w:after="0" w:line="178" w:lineRule="exact"/>
        <w:rPr>
          <w:sz w:val="20"/>
          <w:szCs w:val="20"/>
          <w:color w:val="auto"/>
        </w:rPr>
      </w:pPr>
    </w:p>
    <w:p>
      <w:pPr>
        <w:ind w:right="300" w:firstLine="656"/>
        <w:spacing w:after="0" w:line="277" w:lineRule="auto"/>
        <w:tabs>
          <w:tab w:leader="none" w:pos="11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operated and currently is in compliance in all respects with all applicable Health Care Laws (defined herein), including, without limitation, the rules and regulations of the FDA, the U.S. Department of Health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and Human Services Office of Inspector General, the Centers for Medicare &amp; Medicaid Services, the Office for Civil Rights, the Department of Justice or any other governmental agency or body having jurisdiction over the Company or any of its properties (collectively, “Regulatory Authorities”), and has not engaged in activities which are, as applicable, cause for false claims liability, civil penalties, or mandatory or permissive exclusion from Medicare, Medicaid, or any other state or federal health care program.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Medicare (Title XVIII of the Social Security Act), Medicaid (Title XIX of the Social Security Act), the Federal Food, Drug, and Cosmetic Act (21 U.S.C. §§ 301 et seq.), the regulations promulgated pursuant to such laws, and any similar federal, state and local laws and regulations. The Company has not received any FDA Form 483, notice of adverse finding, warning letter, untitled letter or other correspondence or notice from the FDA or any other Regulatory Authority alleging or asserting noncompliance with any Health Care Laws applicable to the Company. Additionally, the Company is not a party to nor has any ongoing reporting obligations pursuant to any corporate integrity agreements, deferred prosecution agreements, monitoring agreements, consent decrees, settlement orders, plans of correction or similar agreements with or imposed by any Regulatory Authority. Neither the Company, nor, to the knowledge of the Company, any of its respective employees, officers or directors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175" w:lineRule="exact"/>
        <w:rPr>
          <w:sz w:val="20"/>
          <w:szCs w:val="20"/>
          <w:color w:val="auto"/>
        </w:rPr>
      </w:pPr>
    </w:p>
    <w:p>
      <w:pPr>
        <w:ind w:right="60" w:firstLine="656"/>
        <w:spacing w:after="0" w:line="255" w:lineRule="auto"/>
        <w:tabs>
          <w:tab w:leader="none" w:pos="11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possesses all material permits, licenses, approvals, clearances, exemptions, registrations, consents and other authorizations (collectively, “Permits”) issued by the appropriate Regulatory Authorities, including without limitation, all such Permits required by the FDA or any component thereof, necessary to conduct the businesses now operated by it, except where the failure to possess such Permit would not, individually or in the aggregate, reasonably be expected to have a Material Adverse Effect; the Company is in compliance with the terms and conditions of all such Permits, except where the failure to comply would not, individually or in the aggregate, reasonably be expected to have a Material Adverse Effect, and all of the Permits are valid and in full force and effect;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has not received notice of proceedings relating to the revocation or material modification of any such Permits and to the knowledge of the Company, no Regulatory Authority granting any such Permit has taken any action to limit, suspend or revoke the same in any material respect.</w:t>
      </w:r>
    </w:p>
    <w:p>
      <w:pPr>
        <w:spacing w:after="0" w:line="124" w:lineRule="exact"/>
        <w:rPr>
          <w:sz w:val="20"/>
          <w:szCs w:val="20"/>
          <w:color w:val="auto"/>
        </w:rPr>
      </w:pPr>
    </w:p>
    <w:p>
      <w:pPr>
        <w:ind w:right="80" w:firstLine="656"/>
        <w:spacing w:after="0" w:line="264"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described in the Pricing Prospectus and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w:t>
      </w:r>
    </w:p>
    <w:p>
      <w:pPr>
        <w:spacing w:after="0" w:line="181" w:lineRule="exact"/>
        <w:rPr>
          <w:rFonts w:ascii="Arial" w:cs="Arial" w:eastAsia="Arial" w:hAnsi="Arial"/>
          <w:sz w:val="18"/>
          <w:szCs w:val="18"/>
          <w:color w:val="auto"/>
        </w:rPr>
      </w:pPr>
    </w:p>
    <w:p>
      <w:pPr>
        <w:ind w:right="100" w:firstLine="656"/>
        <w:spacing w:after="0" w:line="272" w:lineRule="auto"/>
        <w:tabs>
          <w:tab w:leader="none" w:pos="11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described in the Pricing Prospectus and the Prospectus, the Company has timely filed all material federal, state, local and foreign income and franchise tax returns required to be filed through the date hereof, subject to permitted extensions, and has paid all material taxes due thereon and, if due and payable, any related or similar assessment, fine or penalty levied against the Company except as may be being contested in good faith and by appropriate proceedings. Except as described in the Pricing Disclosure Package, no material tax deficiency has been determined adversely to the Company, and the Company has not received written notice of any actual or proposed additional material tax assessment from a tax authority of any jurisdiction. The Company has made adequate charges, accruals and reserves in the applicable financial statements referred to in Section 1(ii) in respect of all federal, state, local and foreign taxes not yet due and payable in accordance with GAAP;</w:t>
      </w:r>
    </w:p>
    <w:p>
      <w:pPr>
        <w:spacing w:after="0" w:line="177" w:lineRule="exact"/>
        <w:rPr>
          <w:rFonts w:ascii="Arial" w:cs="Arial" w:eastAsia="Arial" w:hAnsi="Arial"/>
          <w:sz w:val="17"/>
          <w:szCs w:val="17"/>
          <w:color w:val="auto"/>
        </w:rPr>
      </w:pPr>
    </w:p>
    <w:p>
      <w:pPr>
        <w:ind w:firstLine="656"/>
        <w:spacing w:after="0" w:line="255"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(v) made any bribe, rebate, payoff, influence payment, kickback or other unlawful payment;</w:t>
      </w:r>
    </w:p>
    <w:p>
      <w:pPr>
        <w:spacing w:after="0" w:line="193" w:lineRule="exact"/>
        <w:rPr>
          <w:rFonts w:ascii="Arial" w:cs="Arial" w:eastAsia="Arial" w:hAnsi="Arial"/>
          <w:sz w:val="18"/>
          <w:szCs w:val="18"/>
          <w:color w:val="auto"/>
        </w:rPr>
      </w:pPr>
    </w:p>
    <w:p>
      <w:pPr>
        <w:jc w:val="both"/>
        <w:ind w:right="80" w:firstLine="656"/>
        <w:spacing w:after="0" w:line="276" w:lineRule="auto"/>
        <w:tabs>
          <w:tab w:leader="none" w:pos="11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having jurisdiction over the Company and its subsidiaries (collectively, the “Money Laundering Laws”) and no action, suit or proceeding by or before any court or governmental agency, authority or body or any arbitrator</w:t>
      </w:r>
    </w:p>
    <w:p>
      <w:pPr>
        <w:sectPr>
          <w:pgSz w:w="11900" w:h="16851" w:orient="portrait"/>
          <w:cols w:equalWidth="0" w:num="1">
            <w:col w:w="11420"/>
          </w:cols>
          <w:pgMar w:left="240" w:top="125"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51" w:orient="portrait"/>
          <w:cols w:equalWidth="0" w:num="1">
            <w:col w:w="11420"/>
          </w:cols>
          <w:pgMar w:left="240" w:top="125" w:right="239" w:bottom="0" w:gutter="0" w:footer="0" w:header="0"/>
          <w:type w:val="continuous"/>
        </w:sectPr>
      </w:pPr>
    </w:p>
    <w:bookmarkStart w:id="7" w:name="page8"/>
    <w:bookmarkEnd w:id="7"/>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involving the Company or any of its subsidiaries with respect to the Money Laundering Laws is pending or, to the knowledge of the Company, threatened;</w:t>
      </w:r>
    </w:p>
    <w:p>
      <w:pPr>
        <w:spacing w:after="0" w:line="248" w:lineRule="exact"/>
        <w:rPr>
          <w:sz w:val="20"/>
          <w:szCs w:val="20"/>
          <w:color w:val="auto"/>
        </w:rPr>
      </w:pPr>
    </w:p>
    <w:p>
      <w:pPr>
        <w:ind w:right="40" w:firstLine="656"/>
        <w:spacing w:after="0" w:line="272" w:lineRule="auto"/>
        <w:tabs>
          <w:tab w:leader="none" w:pos="1128" w:val="left"/>
        </w:tabs>
        <w:numPr>
          <w:ilvl w:val="1"/>
          <w:numId w:val="16"/>
        </w:numPr>
        <w:rPr>
          <w:rFonts w:ascii="Arial" w:cs="Arial" w:eastAsia="Arial" w:hAnsi="Arial"/>
          <w:sz w:val="17"/>
          <w:szCs w:val="17"/>
          <w:color w:val="auto"/>
        </w:rPr>
      </w:pPr>
      <w:r>
        <w:rPr>
          <w:rFonts w:ascii="Arial" w:cs="Arial" w:eastAsia="Arial" w:hAnsi="Arial"/>
          <w:sz w:val="17"/>
          <w:szCs w:val="17"/>
          <w:color w:val="auto"/>
        </w:rPr>
        <w:t>Neither the Company, its subsidiaries, nor,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(“OFAC”), or other relevant sanctions authority (collectively, “Sanctions”), and the Company will not directly or indirectly use the proceeds of the offering of the Shares hereunder,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w:t>
      </w:r>
    </w:p>
    <w:p>
      <w:pPr>
        <w:spacing w:after="0" w:line="177" w:lineRule="exact"/>
        <w:rPr>
          <w:rFonts w:ascii="Arial" w:cs="Arial" w:eastAsia="Arial" w:hAnsi="Arial"/>
          <w:sz w:val="17"/>
          <w:szCs w:val="17"/>
          <w:color w:val="auto"/>
        </w:rPr>
      </w:pPr>
    </w:p>
    <w:p>
      <w:pPr>
        <w:ind w:right="240" w:firstLine="656"/>
        <w:spacing w:after="0" w:line="286" w:lineRule="auto"/>
        <w:tabs>
          <w:tab w:leader="none" w:pos="1164"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and its subsidiaries have insurance covering their properties, operations, personnel and businesses, including business interruption insurance, which insurance insures against such risks and is in such amounts as are, in the Company’s reasonable judgment, commercially reasonable for the conduct of its and its subsidiaries business; and each of the Company and its subsidiaries has not (i) received written notice from any insurer or agent of such insurer that capital improvements or other expenditures are required or necessary to be made in order to continue such insurance or</w:t>
      </w:r>
    </w:p>
    <w:p>
      <w:pPr>
        <w:spacing w:after="0" w:line="1" w:lineRule="exact"/>
        <w:rPr>
          <w:rFonts w:ascii="Arial" w:cs="Arial" w:eastAsia="Arial" w:hAnsi="Arial"/>
          <w:sz w:val="16"/>
          <w:szCs w:val="16"/>
          <w:color w:val="auto"/>
        </w:rPr>
      </w:pPr>
    </w:p>
    <w:p>
      <w:pPr>
        <w:ind w:right="400" w:firstLine="8"/>
        <w:spacing w:after="0" w:line="261"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reason to believe that it will not be able to renew its existing insurance coverage as and when such coverage expires or to obtain similar coverage from similar insurers as may be necessary to continue its business;</w:t>
      </w:r>
    </w:p>
    <w:p>
      <w:pPr>
        <w:spacing w:after="0" w:line="183" w:lineRule="exact"/>
        <w:rPr>
          <w:rFonts w:ascii="Arial" w:cs="Arial" w:eastAsia="Arial" w:hAnsi="Arial"/>
          <w:sz w:val="18"/>
          <w:szCs w:val="18"/>
          <w:color w:val="auto"/>
        </w:rPr>
      </w:pPr>
    </w:p>
    <w:p>
      <w:pPr>
        <w:ind w:right="20" w:firstLine="656"/>
        <w:spacing w:after="0" w:line="285" w:lineRule="auto"/>
        <w:tabs>
          <w:tab w:leader="none" w:pos="1137"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and its subsidiaries (i) are in compliance with all, and have not violated any, laws, regulations, ordinances, rules, orders, judgments, decrees, permits or other legal requirements of any Regulatory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applicable to the Company or its subsidiaries, which compliance includes, without limitation, obtaining, maintaining and complying with all permits and authorizations and approvals required by Environmental Laws to conduct its business, and</w:t>
      </w:r>
    </w:p>
    <w:p>
      <w:pPr>
        <w:spacing w:after="0" w:line="2" w:lineRule="exact"/>
        <w:rPr>
          <w:rFonts w:ascii="Arial" w:cs="Arial" w:eastAsia="Arial" w:hAnsi="Arial"/>
          <w:sz w:val="16"/>
          <w:szCs w:val="16"/>
          <w:color w:val="auto"/>
        </w:rPr>
      </w:pPr>
    </w:p>
    <w:p>
      <w:pPr>
        <w:jc w:val="both"/>
        <w:ind w:right="20" w:firstLine="8"/>
        <w:spacing w:after="0" w:line="254"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not received written notice of any actual or alleged violation of Environmental Laws, or of any potential liability for or other obligation concerning the presence, disposal or release of hazardous or toxic substances or wastes, pollutants or contaminants, except in the case of (i) and (ii) where the failure to comply or the potential liability or obligation would not, individually or in the aggregate, reasonably be expected to have a Material Adverse Effect. Except as described in the Pricing Disclosure Package and the Prospectus, (A) there are no proceedings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that are pending against the Company under Environmental Laws in which a Regulatory Authority is also a party and (B) the Company is not aware of any non-compliance with Environmental Laws, or liabilities under Environmental Laws, which would reasonably be expected to have a Material Adverse Effect;</w:t>
      </w:r>
    </w:p>
    <w:p>
      <w:pPr>
        <w:spacing w:after="0" w:line="124" w:lineRule="exact"/>
        <w:rPr>
          <w:sz w:val="20"/>
          <w:szCs w:val="20"/>
          <w:color w:val="auto"/>
        </w:rPr>
      </w:pPr>
    </w:p>
    <w:p>
      <w:pPr>
        <w:ind w:firstLine="656"/>
        <w:spacing w:after="0" w:line="270" w:lineRule="auto"/>
        <w:tabs>
          <w:tab w:leader="none" w:pos="1165"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financial statements included or incorporated by reference in the Registration Statement, the Pricing Disclosure Package and the Prospectus, together with the related schedules and notes, present fairly in all material respects the financial position of the Company and its subsidiaries as of the dates indicated, and for the periods indicated therein, subject in the case of unaudited financial statements to normal year-end audit adjustments; said financial statements have been prepared in conformity with GAAP applied on a consistent basis throughout the periods involved, except as otherwise stated in the Registration Statement, the Pricing Disclosure Package and the Prospectus. The supporting schedules, if any, present fairly in all material respects in accordance with GAAP the information required to be stated therein. The selected financial data and the summary financial information included in the Registration Statement, the Pricing Disclosure Package and the Prospectus present fairly in all material respects the information shown therein and have been compiled on a basis consistent with that of the financial statements included or incorporated by reference therein. Except as included therein, no historical or pro forma financial statements or supporting schedules are required to be included in the Registration Statement, the Pricing Disclosure Package or the Prospectus under the Act or the rules and regulations promulgated thereunder;</w:t>
      </w:r>
    </w:p>
    <w:p>
      <w:pPr>
        <w:spacing w:after="0" w:line="177" w:lineRule="exact"/>
        <w:rPr>
          <w:rFonts w:ascii="Arial" w:cs="Arial" w:eastAsia="Arial" w:hAnsi="Arial"/>
          <w:sz w:val="17"/>
          <w:szCs w:val="17"/>
          <w:color w:val="auto"/>
        </w:rPr>
      </w:pPr>
    </w:p>
    <w:p>
      <w:pPr>
        <w:ind w:right="220" w:firstLine="656"/>
        <w:spacing w:after="0" w:line="277"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There are no debt securities or preferred stock of, or guaranteed by, the Company that are rated by a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ind w:firstLine="656"/>
        <w:spacing w:after="0" w:line="284" w:lineRule="auto"/>
        <w:tabs>
          <w:tab w:leader="none" w:pos="113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liability to the Company or any of its subsidiaries, (i) each “employee benefit plan” within the meaning of the Employee Retirement Income Security Act of 1974, as amended (“ERISA”), whether or not subject to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neither the Company nor any member of its Controlled Group has incurred, or reasonably expects 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no pending audit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or investigation by the Internal Revenue Service, the U.S. Department of Labor, the Pension Benefit Guaranty Corporation or any other governmental agency with respect to any Plan that could reasonably be expected to result in material liability to the Company or any of its subsidiaries; and (iv) the Company and its subsidiaries have not incurred any liability for any prohibited transaction, the failure of any Plan to meet the minimum funding standards required by law, including by ERISA or the Code, or any complete or partial withdrawal liability with respect to any Plan;</w:t>
      </w:r>
    </w:p>
    <w:p>
      <w:pPr>
        <w:spacing w:after="0" w:line="171" w:lineRule="exact"/>
        <w:rPr>
          <w:sz w:val="20"/>
          <w:szCs w:val="20"/>
          <w:color w:val="auto"/>
        </w:rPr>
      </w:pPr>
    </w:p>
    <w:p>
      <w:pPr>
        <w:ind w:right="220" w:firstLine="656"/>
        <w:spacing w:after="0" w:line="264" w:lineRule="auto"/>
        <w:tabs>
          <w:tab w:leader="none" w:pos="11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no existing or, to the knowledge of the Company, threatened labor disputes with employees of the Company, and the Company is not aware of any existing or threatened labor disturbance by the employees of any of its principal suppliers, manufacturers, customers or contractors that, individually or in the aggregate, could reasonably be expected to result in a material liability to the Company;</w:t>
      </w:r>
    </w:p>
    <w:p>
      <w:pPr>
        <w:spacing w:after="0" w:line="181" w:lineRule="exact"/>
        <w:rPr>
          <w:rFonts w:ascii="Arial" w:cs="Arial" w:eastAsia="Arial" w:hAnsi="Arial"/>
          <w:sz w:val="18"/>
          <w:szCs w:val="18"/>
          <w:color w:val="auto"/>
        </w:rPr>
      </w:pPr>
    </w:p>
    <w:p>
      <w:pPr>
        <w:jc w:val="both"/>
        <w:ind w:firstLine="656"/>
        <w:spacing w:after="0" w:line="342" w:lineRule="auto"/>
        <w:tabs>
          <w:tab w:leader="none" w:pos="11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interactive data in the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ectPr>
          <w:pgSz w:w="11900" w:h="16935" w:orient="portrait"/>
          <w:cols w:equalWidth="0" w:num="1">
            <w:col w:w="11420"/>
          </w:cols>
          <w:pgMar w:left="240" w:top="733"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both"/>
        <w:ind w:right="40" w:firstLine="656"/>
        <w:spacing w:after="0" w:line="264" w:lineRule="auto"/>
        <w:tabs>
          <w:tab w:leader="none" w:pos="11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relationships, direct or indirect, or related-party transactions involving the Company or any other person required to be described in the Registration Statement, Pricing Prospectus and the Prospectus which have not been described in such documents and the Pricing Disclosure Package as required.</w:t>
      </w:r>
    </w:p>
    <w:p>
      <w:pPr>
        <w:spacing w:after="0" w:line="181" w:lineRule="exact"/>
        <w:rPr>
          <w:sz w:val="20"/>
          <w:szCs w:val="20"/>
          <w:color w:val="auto"/>
        </w:rPr>
      </w:pPr>
    </w:p>
    <w:p>
      <w:pPr>
        <w:ind w:right="20" w:firstLine="656"/>
        <w:spacing w:after="0" w:line="270" w:lineRule="auto"/>
        <w:tabs>
          <w:tab w:leader="none" w:pos="1134"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Underwriters, and each of the Underwriters agrees, severally and not jointly, to purchase from the Company, at a purchase price per share of $37.60,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The Company hereby grants to the Underwriters the right to purchase at their election up to 750,000 Optional Shares, at the purchase price per share set forth in the paragraph above, for the sole purpose of covering sales of shares in excess of the number of Firm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you and the Company otherwise agree in writing, earlier than two or later than ten business days after the date of such notice.</w:t>
      </w:r>
    </w:p>
    <w:p>
      <w:pPr>
        <w:spacing w:after="0" w:line="167" w:lineRule="exact"/>
        <w:rPr>
          <w:sz w:val="20"/>
          <w:szCs w:val="20"/>
          <w:color w:val="auto"/>
        </w:rPr>
      </w:pPr>
    </w:p>
    <w:p>
      <w:pPr>
        <w:ind w:right="200" w:firstLine="656"/>
        <w:spacing w:after="0" w:line="277" w:lineRule="auto"/>
        <w:tabs>
          <w:tab w:leader="none" w:pos="11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Prospectus.</w:t>
      </w:r>
    </w:p>
    <w:p>
      <w:pPr>
        <w:spacing w:after="0" w:line="170" w:lineRule="exact"/>
        <w:rPr>
          <w:rFonts w:ascii="Arial" w:cs="Arial" w:eastAsia="Arial" w:hAnsi="Arial"/>
          <w:sz w:val="18"/>
          <w:szCs w:val="18"/>
          <w:color w:val="auto"/>
        </w:rPr>
      </w:pPr>
    </w:p>
    <w:p>
      <w:pPr>
        <w:ind w:firstLine="656"/>
        <w:spacing w:after="0" w:line="288" w:lineRule="auto"/>
        <w:tabs>
          <w:tab w:leader="none" w:pos="11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The Shares to be purchased by each Underwriter hereunder, in electronic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time and date of such delivery and payment shall be, with respect to the Firm Shares, 9:30 a.m., New York City time, on April 4, 2017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69" w:lineRule="exact"/>
        <w:rPr>
          <w:sz w:val="20"/>
          <w:szCs w:val="20"/>
          <w:color w:val="auto"/>
        </w:rPr>
      </w:pPr>
    </w:p>
    <w:p>
      <w:pPr>
        <w:ind w:right="60" w:firstLine="656"/>
        <w:spacing w:after="0" w:line="259" w:lineRule="auto"/>
        <w:tabs>
          <w:tab w:leader="none" w:pos="11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Latham &amp; Watkins LLP, 200 Clarendon Street, Boston, MA 02116 (the “Closing Location”), and the Shares will be delivered at the office of DTC or its designated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location, all at such Time of Delivery. A meeting will be held at the Closing Location or via teleconference at 4:00 p.m., New York City time, on the New York Business Day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88" w:lineRule="exact"/>
        <w:rPr>
          <w:sz w:val="20"/>
          <w:szCs w:val="20"/>
          <w:color w:val="auto"/>
        </w:rPr>
      </w:pPr>
    </w:p>
    <w:p>
      <w:pPr>
        <w:ind w:left="1140" w:hanging="484"/>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225" w:lineRule="exact"/>
        <w:rPr>
          <w:sz w:val="20"/>
          <w:szCs w:val="20"/>
          <w:color w:val="auto"/>
        </w:rPr>
      </w:pPr>
    </w:p>
    <w:p>
      <w:pPr>
        <w:ind w:right="20" w:firstLine="656"/>
        <w:spacing w:after="0" w:line="268" w:lineRule="auto"/>
        <w:tabs>
          <w:tab w:leader="none" w:pos="11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prepare the Prospectus in a form approved by you and to file such Prospectus pursuant to Rule 424(b) under the Act not later than the Commission’s close of business on the second business day following the execution and delivery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for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ectPr>
          <w:pgSz w:w="11900" w:h="16838" w:orient="portrait"/>
          <w:cols w:equalWidth="0" w:num="1">
            <w:col w:w="11420"/>
          </w:cols>
          <w:pgMar w:left="240" w:top="125" w:right="239" w:bottom="0" w:gutter="0" w:footer="0" w:header="0"/>
        </w:sectPr>
      </w:pPr>
    </w:p>
    <w:bookmarkStart w:id="9" w:name="page10"/>
    <w:bookmarkEnd w:id="9"/>
    <w:p>
      <w:pPr>
        <w:ind w:firstLine="656"/>
        <w:spacing w:after="0" w:line="259"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foreign corporation or to file a general consent to service of process in any jurisdiction, or subject itself to taxation in any such jurisdiction in which it was not otherwise subject to taxation;</w:t>
      </w:r>
    </w:p>
    <w:p>
      <w:pPr>
        <w:spacing w:after="0" w:line="170" w:lineRule="exact"/>
        <w:rPr>
          <w:sz w:val="20"/>
          <w:szCs w:val="20"/>
          <w:color w:val="auto"/>
        </w:rPr>
      </w:pPr>
    </w:p>
    <w:p>
      <w:pPr>
        <w:ind w:right="20" w:firstLine="656"/>
        <w:spacing w:after="0" w:line="286" w:lineRule="auto"/>
        <w:tabs>
          <w:tab w:leader="none" w:pos="13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68" w:lineRule="exact"/>
        <w:rPr>
          <w:rFonts w:ascii="Arial" w:cs="Arial" w:eastAsia="Arial" w:hAnsi="Arial"/>
          <w:sz w:val="16"/>
          <w:szCs w:val="16"/>
          <w:color w:val="auto"/>
        </w:rPr>
      </w:pPr>
    </w:p>
    <w:p>
      <w:pPr>
        <w:ind w:right="340" w:firstLine="656"/>
        <w:spacing w:after="0" w:line="302" w:lineRule="auto"/>
        <w:tabs>
          <w:tab w:leader="none" w:pos="13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make generally available to its security 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54" w:lineRule="exact"/>
        <w:rPr>
          <w:rFonts w:ascii="Arial" w:cs="Arial" w:eastAsia="Arial" w:hAnsi="Arial"/>
          <w:sz w:val="16"/>
          <w:szCs w:val="16"/>
          <w:color w:val="auto"/>
        </w:rPr>
      </w:pPr>
    </w:p>
    <w:p>
      <w:pPr>
        <w:ind w:right="420" w:firstLine="656"/>
        <w:spacing w:after="0" w:line="277" w:lineRule="auto"/>
        <w:tabs>
          <w:tab w:leader="none" w:pos="1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period beginning from the date hereof and continuing to and including the date 90 days after the date of the Prospectus (the “Lock-Up Period”), not to (i) offer, sell, contract to sell, pledge, grant any option to purchase, make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Stock or any such other securities, whether any such transaction described in clause (i) or (ii) above is to be settled by delivery of Stock or such other securities, in cash or otherwise; provided, however, that the foregoing restrictions shall not apply to (A) the Shares to be sold hereunder, (B) the grant of any options and other awards pursuant to the Company’s equity plans disclosed in the Pricing Prospectus, (C) any shares of Stock issued by the Company upon the exercise or settlement of options pursuant to the Company’s equity plans disclosed in the Pricing Prospectus,</w:t>
      </w:r>
    </w:p>
    <w:p>
      <w:pPr>
        <w:spacing w:after="0" w:line="1" w:lineRule="exact"/>
        <w:rPr>
          <w:sz w:val="20"/>
          <w:szCs w:val="20"/>
          <w:color w:val="auto"/>
        </w:rPr>
      </w:pPr>
    </w:p>
    <w:p>
      <w:pPr>
        <w:ind w:firstLine="8"/>
        <w:spacing w:after="0" w:line="287" w:lineRule="auto"/>
        <w:tabs>
          <w:tab w:leader="none" w:pos="2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issuances of securities under the Company’s employee stock purchase plan disclosed in the Pricing Prospectus, or (E) the issuance by the Company of any shares of Stock or any security convertible into or exercisable for shares of Stock in connection with a transaction with an unaffiliated third party that includes a bona fide commercial relationship (including joint ventures, marketing or distribution arrangements, collaboration agreements or intellectual property license agreements); provided that in the case of clause (E), the aggregate number of shares of Stock that the Company may sell or issue or agree to sell or issue pursuant to clause (E) shall not exceed 5% of the total number of shares of Stock issued and outstanding immediately following the completion of the transactions contemplated by this Agreement, and provided further, that in the case of clause (E) the Company shall (i) cause each recipient of such securities to execute and deliver to you, on or prior to the issuance of such securities, a lock-up agreement on substantially the same terms as the lock-up agreements referenced in Section 8(i) hereof for the remainder of the Company Lock-Up Period, and (ii) enter stop transfer instructions with the Company’s transfer agent and registrar on such securities, which the Company agrees it will not waive or amend without the prior written consent of each Representative.</w:t>
      </w:r>
    </w:p>
    <w:p>
      <w:pPr>
        <w:spacing w:after="0" w:line="166" w:lineRule="exact"/>
        <w:rPr>
          <w:rFonts w:ascii="Arial" w:cs="Arial" w:eastAsia="Arial" w:hAnsi="Arial"/>
          <w:sz w:val="16"/>
          <w:szCs w:val="16"/>
          <w:color w:val="auto"/>
        </w:rPr>
      </w:pPr>
    </w:p>
    <w:p>
      <w:pPr>
        <w:ind w:right="20" w:firstLine="656"/>
        <w:spacing w:after="0" w:line="257" w:lineRule="auto"/>
        <w:tabs>
          <w:tab w:leader="none" w:pos="13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consolidated summary financial information of the Company for such quarter in reasonable detail; provided that no reports, documents or other information needs to be furnished pursuant to this Section 5(f) to the extent they are available on EDGAR;</w:t>
      </w:r>
    </w:p>
    <w:p>
      <w:pPr>
        <w:spacing w:after="0" w:line="170" w:lineRule="exact"/>
        <w:rPr>
          <w:sz w:val="20"/>
          <w:szCs w:val="20"/>
          <w:color w:val="auto"/>
        </w:rPr>
      </w:pPr>
    </w:p>
    <w:p>
      <w:pPr>
        <w:jc w:val="both"/>
        <w:ind w:right="140" w:firstLine="656"/>
        <w:spacing w:after="0" w:line="302" w:lineRule="auto"/>
        <w:tabs>
          <w:tab w:leader="none" w:pos="1317"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a period of three years from the effective date of the Registration Statement, to furnish to you copies of all reports or other communications (financial or other) furnished to stockholders, and to deliver to you as soon as they are available, copies of any reports and financial statements furnished to or filed with the Commission or any national securities exchange on which any class of securities of the Company is listed; provided that no reports, documents or other information needs to be furnished pursuant to this Section 5(g) to the extent they are available on EDGAR;</w:t>
      </w:r>
    </w:p>
    <w:p>
      <w:pPr>
        <w:sectPr>
          <w:pgSz w:w="11900" w:h="16838" w:orient="portrait"/>
          <w:cols w:equalWidth="0" w:num="1">
            <w:col w:w="11420"/>
          </w:cols>
          <w:pgMar w:left="240" w:top="125" w:right="239" w:bottom="0" w:gutter="0" w:footer="0" w:header="0"/>
        </w:sectPr>
      </w:pPr>
    </w:p>
    <w:bookmarkStart w:id="10" w:name="page11"/>
    <w:bookmarkEnd w:id="10"/>
    <w:p>
      <w:pPr>
        <w:spacing w:after="0" w:line="115" w:lineRule="exact"/>
        <w:rPr>
          <w:sz w:val="20"/>
          <w:szCs w:val="20"/>
          <w:color w:val="auto"/>
        </w:rPr>
      </w:pPr>
    </w:p>
    <w:p>
      <w:pPr>
        <w:ind w:right="660" w:firstLine="656"/>
        <w:spacing w:after="0" w:line="277" w:lineRule="auto"/>
        <w:tabs>
          <w:tab w:leader="none" w:pos="13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The NASDAQ Global Select Market;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w:t>
      </w:r>
    </w:p>
    <w:p>
      <w:pPr>
        <w:spacing w:after="0" w:line="225" w:lineRule="exact"/>
        <w:rPr>
          <w:rFonts w:ascii="Arial" w:cs="Arial" w:eastAsia="Arial" w:hAnsi="Arial"/>
          <w:sz w:val="18"/>
          <w:szCs w:val="18"/>
          <w:color w:val="auto"/>
        </w:rPr>
      </w:pPr>
    </w:p>
    <w:p>
      <w:pPr>
        <w:ind w:right="20" w:firstLine="656"/>
        <w:spacing w:after="0" w:line="259" w:lineRule="auto"/>
        <w:tabs>
          <w:tab w:leader="none" w:pos="13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186" w:lineRule="exact"/>
        <w:rPr>
          <w:rFonts w:ascii="Arial" w:cs="Arial" w:eastAsia="Arial" w:hAnsi="Arial"/>
          <w:sz w:val="18"/>
          <w:szCs w:val="18"/>
          <w:color w:val="auto"/>
        </w:rPr>
      </w:pPr>
    </w:p>
    <w:p>
      <w:pPr>
        <w:ind w:right="240" w:firstLine="656"/>
        <w:spacing w:after="0" w:line="308" w:lineRule="auto"/>
        <w:tabs>
          <w:tab w:leader="none" w:pos="131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promptly notify you if the Company ceases to be an Emerging Growth Company at any time prior to the later of (i) completion of the distribution of the Shares within the meaning of the Act and (ii) completion of the 90-day restricted period referred to in Section 5(e)(1).</w:t>
      </w:r>
    </w:p>
    <w:p>
      <w:pPr>
        <w:spacing w:after="0" w:line="147" w:lineRule="exact"/>
        <w:rPr>
          <w:sz w:val="20"/>
          <w:szCs w:val="20"/>
          <w:color w:val="auto"/>
        </w:rPr>
      </w:pPr>
    </w:p>
    <w:p>
      <w:pPr>
        <w:ind w:right="120" w:firstLine="656"/>
        <w:spacing w:after="0" w:line="257" w:lineRule="auto"/>
        <w:tabs>
          <w:tab w:leader="none" w:pos="12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or Schedule II(c) hereto;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Section 5(d) Communications, other than Section 5(d)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the Representatives that are listed on Schedule II(b) hereto; and the Company reconfirms that the Underwriters have been authorized to act on its behalf in engaging in Section 5(d) Communications;</w:t>
      </w:r>
    </w:p>
    <w:p>
      <w:pPr>
        <w:spacing w:after="0" w:line="191" w:lineRule="exact"/>
        <w:rPr>
          <w:sz w:val="20"/>
          <w:szCs w:val="20"/>
          <w:color w:val="auto"/>
        </w:rPr>
      </w:pPr>
    </w:p>
    <w:p>
      <w:pPr>
        <w:ind w:right="420" w:firstLine="656"/>
        <w:spacing w:after="0" w:line="312" w:lineRule="auto"/>
        <w:tabs>
          <w:tab w:leader="none" w:pos="13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46" w:lineRule="exact"/>
        <w:rPr>
          <w:rFonts w:ascii="Arial" w:cs="Arial" w:eastAsia="Arial" w:hAnsi="Arial"/>
          <w:sz w:val="16"/>
          <w:szCs w:val="16"/>
          <w:color w:val="auto"/>
        </w:rPr>
      </w:pPr>
    </w:p>
    <w:p>
      <w:pPr>
        <w:ind w:right="20" w:firstLine="656"/>
        <w:spacing w:after="0" w:line="270" w:lineRule="auto"/>
        <w:tabs>
          <w:tab w:leader="none" w:pos="13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agrees that if at any time following issuance of an Issuer Free Writing Prospectus or any Section 5(d) Writing prepared or authorized by it any event occurred or occurs as a result of which such Issuer Free Writing Prospectus or Section 5(d) Writing prepared or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prepared or authorized by it or other document which will correct such conflict, statement or omission; provided, however, that this covenant shall not apply to any statements or omissions in an Issuer Free Writing Prospectus or Section 5(d) Writing prepared or authorized by it made in reliance upon and in conformity with information furnished in writing to the Company by an Underwriter through the Representatives expressly for use therein.</w:t>
      </w:r>
    </w:p>
    <w:p>
      <w:pPr>
        <w:spacing w:after="0" w:line="182" w:lineRule="exact"/>
        <w:rPr>
          <w:sz w:val="20"/>
          <w:szCs w:val="20"/>
          <w:color w:val="auto"/>
        </w:rPr>
      </w:pPr>
    </w:p>
    <w:p>
      <w:pPr>
        <w:jc w:val="both"/>
        <w:ind w:right="40" w:firstLine="656"/>
        <w:spacing w:after="0" w:line="302" w:lineRule="auto"/>
        <w:tabs>
          <w:tab w:leader="none" w:pos="129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Issuer Free Writing Prospectus and the Prospectus and amendments and supplements thereto and the mailing and delivering of copies thereof to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Underwriters and dealers; (ii) the cost of printing or producing any Agreement among Underwriters, this Agreement, any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NASDAQ Global Select Market; (v) the filing fees incident to, and the fees and disbursements of counsel for the Underwriters in connection with, any required review by FINRA of the terms of the sale of the Shares; (vi) the cost of preparing stock certificates; (vii) the cost and charges of any transfer agent or registrar; (viii) all costs and expenses of the Company related to investor presentations on any “road show” undertaken in connection with the marketing of the Shares,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(not including the Underwriters and their representatives) (provided, however, that the Underwriters and the Company shall each pay 50% of the cost of any aircraft chartered in connection with any road show meetings); and (ix) all other costs and expenses incident to the performance of its obligations hereunder which are not otherwise specifically provided for in this Section; provided, however, that the amount payable by the Company pursuant to subsections (iii) and (v) and for the fees and disbursements of counsel to the Underwriters described in subsections (iii) and (v) of this Section 7 shall not exceed $50,000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74" w:lineRule="exact"/>
        <w:rPr>
          <w:sz w:val="20"/>
          <w:szCs w:val="20"/>
          <w:color w:val="auto"/>
        </w:rPr>
      </w:pPr>
    </w:p>
    <w:p>
      <w:pPr>
        <w:ind w:firstLine="656"/>
        <w:spacing w:after="0" w:line="314" w:lineRule="auto"/>
        <w:tabs>
          <w:tab w:leader="none" w:pos="12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obligations of the Underwriters hereunder</w:t>
      </w:r>
      <w:r>
        <w:rPr>
          <w:rFonts w:ascii="Arial" w:cs="Arial" w:eastAsia="Arial" w:hAnsi="Arial"/>
          <w:sz w:val="16"/>
          <w:szCs w:val="16"/>
          <w:b w:val="1"/>
          <w:bCs w:val="1"/>
          <w:color w:val="auto"/>
        </w:rPr>
        <w:t>,</w:t>
      </w:r>
      <w:r>
        <w:rPr>
          <w:rFonts w:ascii="Arial" w:cs="Arial" w:eastAsia="Arial" w:hAnsi="Arial"/>
          <w:sz w:val="16"/>
          <w:szCs w:val="16"/>
          <w:color w:val="auto"/>
        </w:rPr>
        <w:t xml:space="preserve"> as to the Shares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ectPr>
          <w:pgSz w:w="11900" w:h="16953" w:orient="portrait"/>
          <w:cols w:equalWidth="0" w:num="1">
            <w:col w:w="11400"/>
          </w:cols>
          <w:pgMar w:left="240" w:top="341" w:right="259" w:bottom="0" w:gutter="0" w:footer="0" w:header="0"/>
        </w:sectPr>
      </w:pPr>
    </w:p>
    <w:bookmarkStart w:id="11" w:name="page12"/>
    <w:bookmarkEnd w:id="11"/>
    <w:p>
      <w:pPr>
        <w:ind w:right="40" w:firstLine="401"/>
        <w:spacing w:after="0" w:line="259" w:lineRule="auto"/>
        <w:tabs>
          <w:tab w:leader="none" w:pos="8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by Rule 433; no stop order suspending the effectiveness of the Registration Statement or any part thereof shall have been issued and no proceeding for that purpose shall have been initiated or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71" w:lineRule="exact"/>
        <w:rPr>
          <w:sz w:val="20"/>
          <w:szCs w:val="20"/>
          <w:color w:val="auto"/>
        </w:rPr>
      </w:pPr>
    </w:p>
    <w:p>
      <w:pPr>
        <w:ind w:right="140" w:firstLine="401"/>
        <w:spacing w:after="0" w:line="264" w:lineRule="auto"/>
        <w:tabs>
          <w:tab w:leader="none" w:pos="8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Latham &amp; Watkins LLP, counsel for the Underwriters, shall have furnished to you their written opinion, dated such Time of Delivery, in form and substance satisfactory to you, as well as such other related matters as you may reasonably request, and such counsel shall have received such papers and information as they may reasonably request to enable them to pass upon such matters;</w:t>
      </w:r>
    </w:p>
    <w:p>
      <w:pPr>
        <w:spacing w:after="0" w:line="181" w:lineRule="exact"/>
        <w:rPr>
          <w:rFonts w:ascii="Arial" w:cs="Arial" w:eastAsia="Arial" w:hAnsi="Arial"/>
          <w:sz w:val="18"/>
          <w:szCs w:val="18"/>
          <w:color w:val="auto"/>
        </w:rPr>
      </w:pPr>
    </w:p>
    <w:p>
      <w:pPr>
        <w:ind w:firstLine="401"/>
        <w:spacing w:after="0" w:line="277" w:lineRule="auto"/>
        <w:tabs>
          <w:tab w:leader="none" w:pos="8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Goodwin Procter LLP, counsel for the Company, shall have furnished to the Representatives their written opinion and negative assurance letter, each in form and substance satisfactory to you, dated such Time of Delivery;</w:t>
      </w:r>
    </w:p>
    <w:p>
      <w:pPr>
        <w:spacing w:after="0" w:line="170" w:lineRule="exact"/>
        <w:rPr>
          <w:rFonts w:ascii="Arial" w:cs="Arial" w:eastAsia="Arial" w:hAnsi="Arial"/>
          <w:sz w:val="18"/>
          <w:szCs w:val="18"/>
          <w:color w:val="auto"/>
        </w:rPr>
      </w:pPr>
    </w:p>
    <w:p>
      <w:pPr>
        <w:ind w:right="180" w:firstLine="401"/>
        <w:spacing w:after="0" w:line="277" w:lineRule="auto"/>
        <w:tabs>
          <w:tab w:leader="none" w:pos="8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Lando &amp; Anastasi, LLP, special counsel for the Company with respect to intellectual property matters, shall have furnished to you their written opinion in form and substance satisfactory to you, dated such Time of Delivery;</w:t>
      </w:r>
    </w:p>
    <w:p>
      <w:pPr>
        <w:spacing w:after="0" w:line="170" w:lineRule="exact"/>
        <w:rPr>
          <w:rFonts w:ascii="Arial" w:cs="Arial" w:eastAsia="Arial" w:hAnsi="Arial"/>
          <w:sz w:val="18"/>
          <w:szCs w:val="18"/>
          <w:color w:val="auto"/>
        </w:rPr>
      </w:pPr>
    </w:p>
    <w:p>
      <w:pPr>
        <w:ind w:right="20" w:firstLine="455"/>
        <w:spacing w:after="0" w:line="255" w:lineRule="auto"/>
        <w:tabs>
          <w:tab w:leader="none" w:pos="8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On the date of the Prospectus immediately following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is attached as Annex I(a) hereto and a draft of the form of letter to be delivered on the effective date of any post-effective amendment to the Registration Statement and as of each Time of Delivery is attached as Annex I(b) hereto);</w:t>
      </w:r>
    </w:p>
    <w:p>
      <w:pPr>
        <w:spacing w:after="0" w:line="193" w:lineRule="exact"/>
        <w:rPr>
          <w:rFonts w:ascii="Arial" w:cs="Arial" w:eastAsia="Arial" w:hAnsi="Arial"/>
          <w:sz w:val="18"/>
          <w:szCs w:val="18"/>
          <w:color w:val="auto"/>
        </w:rPr>
      </w:pPr>
    </w:p>
    <w:p>
      <w:pPr>
        <w:ind w:left="4960" w:right="160" w:hanging="4505"/>
        <w:spacing w:after="0" w:line="528" w:lineRule="auto"/>
        <w:tabs>
          <w:tab w:leader="none" w:pos="8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shall have sustained since the date of the latest audited financial statements included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-90170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of its subsidiaries or any change, or any development involving a prospective change, in or affecting the general affairs, management, financial position, stockholders’ equity, results of operations or prospects of the Company and its subsidiaries, otherwise than as set forth or contemplated in the Pricing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w:t>
      </w:r>
    </w:p>
    <w:p>
      <w:pPr>
        <w:spacing w:after="0" w:line="178" w:lineRule="exact"/>
        <w:rPr>
          <w:sz w:val="20"/>
          <w:szCs w:val="20"/>
          <w:color w:val="auto"/>
        </w:rPr>
      </w:pPr>
    </w:p>
    <w:p>
      <w:pPr>
        <w:ind w:right="200" w:firstLine="455"/>
        <w:spacing w:after="0" w:line="270" w:lineRule="auto"/>
        <w:tabs>
          <w:tab w:leader="none" w:pos="831" w:val="left"/>
        </w:tabs>
        <w:numPr>
          <w:ilvl w:val="1"/>
          <w:numId w:val="40"/>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New York Stock Exchange or The NASDAQ Global Select Market; (ii) a suspension or material limitation in trading in the Company’s securities on The NASDAQ Global Select Market or the New York Stock Exchange; (iii) a general moratorium on commercial banking activities declared by either Federal or New York or Massachusetts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Prospectus;</w:t>
      </w:r>
    </w:p>
    <w:p>
      <w:pPr>
        <w:spacing w:after="0" w:line="181" w:lineRule="exact"/>
        <w:rPr>
          <w:rFonts w:ascii="Arial" w:cs="Arial" w:eastAsia="Arial" w:hAnsi="Arial"/>
          <w:sz w:val="17"/>
          <w:szCs w:val="17"/>
          <w:color w:val="auto"/>
        </w:rPr>
      </w:pPr>
    </w:p>
    <w:p>
      <w:pPr>
        <w:ind w:left="820" w:hanging="419"/>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on The NASDAQ Global Select Market;</w:t>
      </w:r>
    </w:p>
    <w:p>
      <w:pPr>
        <w:spacing w:after="0" w:line="225" w:lineRule="exact"/>
        <w:rPr>
          <w:rFonts w:ascii="Arial" w:cs="Arial" w:eastAsia="Arial" w:hAnsi="Arial"/>
          <w:sz w:val="18"/>
          <w:szCs w:val="18"/>
          <w:color w:val="auto"/>
        </w:rPr>
      </w:pPr>
    </w:p>
    <w:p>
      <w:pPr>
        <w:ind w:right="200" w:firstLine="401"/>
        <w:spacing w:after="0" w:line="277" w:lineRule="auto"/>
        <w:tabs>
          <w:tab w:leader="none" w:pos="9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the officers, directors, and such other holders of the Company’s securities as you may require,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to the effect set forth in Annex III hereof in form and substance satisfactory to you;</w:t>
      </w:r>
    </w:p>
    <w:p>
      <w:pPr>
        <w:spacing w:after="0" w:line="225" w:lineRule="exact"/>
        <w:rPr>
          <w:sz w:val="20"/>
          <w:szCs w:val="20"/>
          <w:color w:val="auto"/>
        </w:rPr>
      </w:pPr>
    </w:p>
    <w:p>
      <w:pPr>
        <w:ind w:right="100" w:firstLine="398"/>
        <w:spacing w:after="0" w:line="277" w:lineRule="auto"/>
        <w:tabs>
          <w:tab w:leader="none" w:pos="8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w:t>
      </w:r>
    </w:p>
    <w:p>
      <w:pPr>
        <w:spacing w:after="0" w:line="170" w:lineRule="exact"/>
        <w:rPr>
          <w:rFonts w:ascii="Arial" w:cs="Arial" w:eastAsia="Arial" w:hAnsi="Arial"/>
          <w:sz w:val="18"/>
          <w:szCs w:val="18"/>
          <w:color w:val="auto"/>
        </w:rPr>
      </w:pPr>
    </w:p>
    <w:p>
      <w:pPr>
        <w:ind w:right="380" w:firstLine="401"/>
        <w:spacing w:after="0" w:line="342" w:lineRule="auto"/>
        <w:tabs>
          <w:tab w:leader="none" w:pos="81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w:t>
      </w:r>
    </w:p>
    <w:p>
      <w:pPr>
        <w:sectPr>
          <w:pgSz w:w="11900" w:h="16838" w:orient="portrait"/>
          <w:cols w:equalWidth="0" w:num="1">
            <w:col w:w="10740"/>
          </w:cols>
          <w:pgMar w:left="900" w:top="341" w:right="259" w:bottom="0" w:gutter="0" w:footer="0" w:header="0"/>
        </w:sectPr>
      </w:pPr>
    </w:p>
    <w:bookmarkStart w:id="12" w:name="page13"/>
    <w:bookmarkEnd w:id="12"/>
    <w:p>
      <w:pPr>
        <w:spacing w:after="0" w:line="8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performance by the Company of all of its obligations hereunder to be performed at or prior to such Time of Delivery, as to the matters set forth in subsections (a) and (f) of this Section and as to such other matters as you may reasonably request; and</w:t>
      </w:r>
    </w:p>
    <w:p>
      <w:pPr>
        <w:spacing w:after="0" w:line="170" w:lineRule="exact"/>
        <w:rPr>
          <w:sz w:val="20"/>
          <w:szCs w:val="20"/>
          <w:color w:val="auto"/>
        </w:rPr>
      </w:pPr>
    </w:p>
    <w:p>
      <w:pPr>
        <w:ind w:left="660" w:right="20" w:firstLine="401"/>
        <w:spacing w:after="0" w:line="277" w:lineRule="auto"/>
        <w:tabs>
          <w:tab w:leader="none" w:pos="14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FINRA shall have confirmed that it has not raised any objection with respect to the fairness and reasonableness of the underwriting terms and arrangements relating to the offering of the Shares.</w:t>
      </w:r>
    </w:p>
    <w:p>
      <w:pPr>
        <w:spacing w:after="0" w:line="170" w:lineRule="exact"/>
        <w:rPr>
          <w:rFonts w:ascii="Arial" w:cs="Arial" w:eastAsia="Arial" w:hAnsi="Arial"/>
          <w:sz w:val="18"/>
          <w:szCs w:val="18"/>
          <w:color w:val="auto"/>
        </w:rPr>
      </w:pPr>
    </w:p>
    <w:p>
      <w:pPr>
        <w:ind w:firstLine="656"/>
        <w:spacing w:after="0" w:line="286" w:lineRule="auto"/>
        <w:tabs>
          <w:tab w:leader="none" w:pos="1134"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(a) The Company will indemnify and hold harmless each Underwriter, its affiliates (as such term is defined in Rule 501(b) under the Act (each, an “Affiliate”)), its selling agents and each person, if any, who controls any Underwriter within the meaning of Section 15 of the Act or Section 20 of the Exchange Act (each an “Underwriter Indemnified Party”) against any losses, claims, damages or liabilities, joint or several, to which such Underwriter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or any Section 5(d) Writing,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Indemnified Party for any legal or other expenses reasonably incurred by such Underwriter Indemnified Party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Section 5(d) Writing, in reliance upon and in conformity with written information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furnished to the Company by any Underwriter through the Representatives expressly for use therein.</w:t>
      </w:r>
    </w:p>
    <w:p>
      <w:pPr>
        <w:spacing w:after="0" w:line="225" w:lineRule="exact"/>
        <w:rPr>
          <w:sz w:val="20"/>
          <w:szCs w:val="20"/>
          <w:color w:val="auto"/>
        </w:rPr>
      </w:pPr>
    </w:p>
    <w:p>
      <w:pPr>
        <w:ind w:firstLine="656"/>
        <w:spacing w:after="0" w:line="287" w:lineRule="auto"/>
        <w:tabs>
          <w:tab w:leader="none" w:pos="1142"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directors, officers and Affiliates and each person, if any, who controls the Company within the meaning of Section 15 of the Act or Section 20 of the Exchange Act (each a “Company Indemnified Party”) against any losses, claims, damages or liabilities to which such Company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Section 5(d) Writing,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Section 5(d) Writing, in reliance upon and in conformity with written information furnished to the Company by such Underwriter through the Representatives expressly for use therein; and will reimburse each Company Indemnified Party for any legal or other expenses reasonably incurred by such Company Indemnified Party in connection with investigating or defending any such action or claim as such expenses are incurred.</w:t>
      </w:r>
    </w:p>
    <w:p>
      <w:pPr>
        <w:spacing w:after="0" w:line="168" w:lineRule="exact"/>
        <w:rPr>
          <w:rFonts w:ascii="Arial" w:cs="Arial" w:eastAsia="Arial" w:hAnsi="Arial"/>
          <w:sz w:val="16"/>
          <w:szCs w:val="16"/>
          <w:color w:val="auto"/>
        </w:rPr>
      </w:pPr>
    </w:p>
    <w:p>
      <w:pPr>
        <w:ind w:firstLine="656"/>
        <w:spacing w:after="0" w:line="270" w:lineRule="auto"/>
        <w:tabs>
          <w:tab w:leader="none" w:pos="1145"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158" w:lineRule="exact"/>
        <w:rPr>
          <w:sz w:val="20"/>
          <w:szCs w:val="20"/>
          <w:color w:val="auto"/>
        </w:rPr>
      </w:pPr>
    </w:p>
    <w:p>
      <w:pPr>
        <w:ind w:left="1140" w:hanging="484"/>
        <w:spacing w:after="0"/>
        <w:tabs>
          <w:tab w:leader="none" w:pos="11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w:t>
      </w:r>
    </w:p>
    <w:p>
      <w:pPr>
        <w:spacing w:after="0" w:line="46" w:lineRule="exact"/>
        <w:rPr>
          <w:rFonts w:ascii="Arial" w:cs="Arial" w:eastAsia="Arial" w:hAnsi="Arial"/>
          <w:sz w:val="16"/>
          <w:szCs w:val="16"/>
          <w:color w:val="auto"/>
        </w:rPr>
      </w:pPr>
    </w:p>
    <w:p>
      <w:pPr>
        <w:ind w:firstLine="8"/>
        <w:spacing w:after="0" w:line="284"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w:t>
      </w:r>
    </w:p>
    <w:p>
      <w:pPr>
        <w:sectPr>
          <w:pgSz w:w="11900" w:h="16924" w:orient="portrait"/>
          <w:cols w:equalWidth="0" w:num="1">
            <w:col w:w="11400"/>
          </w:cols>
          <w:pgMar w:left="240" w:top="125" w:right="25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78" w:lineRule="exact"/>
        <w:rPr>
          <w:sz w:val="20"/>
          <w:szCs w:val="20"/>
          <w:color w:val="auto"/>
        </w:rPr>
      </w:pPr>
    </w:p>
    <w:p>
      <w:pPr>
        <w:ind w:right="160" w:firstLine="656"/>
        <w:spacing w:after="0" w:line="255" w:lineRule="auto"/>
        <w:tabs>
          <w:tab w:leader="none" w:pos="11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93" w:lineRule="exact"/>
        <w:rPr>
          <w:sz w:val="20"/>
          <w:szCs w:val="20"/>
          <w:color w:val="auto"/>
        </w:rPr>
      </w:pPr>
    </w:p>
    <w:p>
      <w:pPr>
        <w:ind w:right="20" w:firstLine="656"/>
        <w:spacing w:after="0" w:line="288" w:lineRule="auto"/>
        <w:tabs>
          <w:tab w:leader="none" w:pos="113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5" w:lineRule="auto"/>
        <w:tabs>
          <w:tab w:leader="none" w:pos="11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9" w:lineRule="exact"/>
        <w:rPr>
          <w:rFonts w:ascii="Arial" w:cs="Arial" w:eastAsia="Arial" w:hAnsi="Arial"/>
          <w:sz w:val="18"/>
          <w:szCs w:val="18"/>
          <w:color w:val="auto"/>
        </w:rPr>
      </w:pPr>
    </w:p>
    <w:p>
      <w:pPr>
        <w:ind w:right="20" w:firstLine="656"/>
        <w:spacing w:after="0" w:line="291" w:lineRule="auto"/>
        <w:tabs>
          <w:tab w:leader="none" w:pos="114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67" w:lineRule="exact"/>
        <w:rPr>
          <w:sz w:val="20"/>
          <w:szCs w:val="20"/>
          <w:color w:val="auto"/>
        </w:rPr>
      </w:pPr>
    </w:p>
    <w:p>
      <w:pPr>
        <w:ind w:right="80" w:firstLine="656"/>
        <w:spacing w:after="0" w:line="302" w:lineRule="auto"/>
        <w:tabs>
          <w:tab w:leader="none" w:pos="11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54" w:lineRule="exact"/>
        <w:rPr>
          <w:rFonts w:ascii="Arial" w:cs="Arial" w:eastAsia="Arial" w:hAnsi="Arial"/>
          <w:sz w:val="16"/>
          <w:szCs w:val="16"/>
          <w:color w:val="auto"/>
        </w:rPr>
      </w:pPr>
    </w:p>
    <w:p>
      <w:pPr>
        <w:ind w:right="140" w:firstLine="656"/>
        <w:spacing w:after="0" w:line="257" w:lineRule="auto"/>
        <w:tabs>
          <w:tab w:leader="none" w:pos="11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under no further liability to any Underwriter except as provided in Sections 7 and 9 hereof.</w:t>
      </w:r>
    </w:p>
    <w:p>
      <w:pPr>
        <w:spacing w:after="0" w:line="225" w:lineRule="exact"/>
        <w:rPr>
          <w:sz w:val="20"/>
          <w:szCs w:val="20"/>
          <w:color w:val="auto"/>
        </w:rPr>
      </w:pPr>
    </w:p>
    <w:p>
      <w:pPr>
        <w:ind w:right="160" w:firstLine="656"/>
        <w:spacing w:after="0" w:line="277" w:lineRule="auto"/>
        <w:tabs>
          <w:tab w:leader="none" w:pos="11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 or by the Representatives.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telex or facsimile transmission to you as the Representatives in care of Goldman, Sachs &amp; Co., 200 West Street, New York, New York 10282-2198, Attention: Registration Department, and in care of Morgan Stanley &amp; Co. LLC, 1585 Broadway, New York, New York 10036, Attention: Equity Syndicate Desk, with a copy to the Legal Department, and if to the Company shall be delivered or sent by mail, telex or facsimile transmission to the address of the Company set</w:t>
      </w:r>
    </w:p>
    <w:p>
      <w:pPr>
        <w:sectPr>
          <w:pgSz w:w="11900" w:h="16838" w:orient="portrait"/>
          <w:cols w:equalWidth="0" w:num="1">
            <w:col w:w="11420"/>
          </w:cols>
          <w:pgMar w:left="240" w:top="341" w:right="239" w:bottom="0" w:gutter="0" w:footer="0" w:header="0"/>
        </w:sectPr>
      </w:pPr>
    </w:p>
    <w:bookmarkStart w:id="14" w:name="page15"/>
    <w:bookmarkEnd w:id="14"/>
    <w:p>
      <w:pPr>
        <w:ind w:right="160"/>
        <w:spacing w:after="0" w:line="293" w:lineRule="auto"/>
        <w:rPr>
          <w:sz w:val="20"/>
          <w:szCs w:val="20"/>
          <w:color w:val="auto"/>
        </w:rPr>
      </w:pPr>
      <w:r>
        <w:rPr>
          <w:rFonts w:ascii="Arial" w:cs="Arial" w:eastAsia="Arial" w:hAnsi="Arial"/>
          <w:sz w:val="16"/>
          <w:szCs w:val="16"/>
          <w:color w:val="auto"/>
        </w:rPr>
        <w:t>forth in the Registration Statement, Attention: Secretary;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notice to an Underwriter pursuant to Section 9(c) hereof shall be delivered or sent by mail, telex or facsimile transmission to such Underwriter, which such mailing address or telex or facsimile transmission number will be supplied to the Company by you upon request; provided, however, that notices under subsection 5(e) shall be in writing, and if to the Underwriters shall be delivered or sent by mail, telex or facsimile transmission to you as the Representatives at Goldman, Sachs &amp; Co., 200 West Street, New York, New York 10282-2198, Attention: Control Room and at Morgan Stanley &amp; Co. LLC, 1585 Broadway, New York, New York 10036, Attention: Equity Syndicate Desk, with a copy to the Legal Department. Any such statements, requests, notices or agreements shall take effect upon receipt thereof.</w:t>
      </w:r>
    </w:p>
    <w:p>
      <w:pPr>
        <w:spacing w:after="0" w:line="16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6" w:lineRule="exact"/>
        <w:rPr>
          <w:sz w:val="20"/>
          <w:szCs w:val="20"/>
          <w:color w:val="auto"/>
        </w:rPr>
      </w:pPr>
    </w:p>
    <w:p>
      <w:pPr>
        <w:ind w:firstLine="656"/>
        <w:spacing w:after="0" w:line="279" w:lineRule="auto"/>
        <w:tabs>
          <w:tab w:leader="none" w:pos="113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77" w:lineRule="auto"/>
        <w:tabs>
          <w:tab w:leader="none" w:pos="11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40" w:firstLine="656"/>
        <w:spacing w:after="0" w:line="271" w:lineRule="auto"/>
        <w:tabs>
          <w:tab w:leader="none" w:pos="113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78" w:lineRule="exact"/>
        <w:rPr>
          <w:rFonts w:ascii="Arial" w:cs="Arial" w:eastAsia="Arial" w:hAnsi="Arial"/>
          <w:sz w:val="17"/>
          <w:szCs w:val="17"/>
          <w:color w:val="auto"/>
        </w:rPr>
      </w:pPr>
    </w:p>
    <w:p>
      <w:pPr>
        <w:ind w:right="100" w:firstLine="656"/>
        <w:spacing w:after="0" w:line="277" w:lineRule="auto"/>
        <w:tabs>
          <w:tab w:leader="none" w:pos="11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66" w:lineRule="exact"/>
        <w:rPr>
          <w:rFonts w:ascii="Arial" w:cs="Arial" w:eastAsia="Arial" w:hAnsi="Arial"/>
          <w:sz w:val="18"/>
          <w:szCs w:val="18"/>
          <w:color w:val="auto"/>
        </w:rPr>
      </w:pPr>
    </w:p>
    <w:p>
      <w:pPr>
        <w:jc w:val="both"/>
        <w:ind w:right="60" w:firstLine="656"/>
        <w:spacing w:after="0" w:line="256" w:lineRule="auto"/>
        <w:tabs>
          <w:tab w:leader="none" w:pos="113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91" w:lineRule="exact"/>
        <w:rPr>
          <w:rFonts w:ascii="Arial" w:cs="Arial" w:eastAsia="Arial" w:hAnsi="Arial"/>
          <w:sz w:val="18"/>
          <w:szCs w:val="18"/>
          <w:color w:val="auto"/>
        </w:rPr>
      </w:pPr>
    </w:p>
    <w:p>
      <w:pPr>
        <w:ind w:right="220" w:firstLine="656"/>
        <w:spacing w:after="0" w:line="277" w:lineRule="auto"/>
        <w:tabs>
          <w:tab w:leader="none" w:pos="11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20" w:firstLine="656"/>
        <w:spacing w:after="0" w:line="277" w:lineRule="auto"/>
        <w:tabs>
          <w:tab w:leader="none" w:pos="11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76" w:lineRule="auto"/>
        <w:tabs>
          <w:tab w:leader="none" w:pos="113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Jeffrey W. Albers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Cohn</w:t>
            </w:r>
          </w:p>
        </w:tc>
      </w:tr>
      <w:tr>
        <w:trPr>
          <w:trHeight w:val="210"/>
        </w:trPr>
        <w:tc>
          <w:tcPr>
            <w:tcW w:w="50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Richard Cohn</w:t>
            </w:r>
          </w:p>
        </w:tc>
      </w:tr>
      <w:tr>
        <w:trPr>
          <w:trHeight w:val="210"/>
        </w:trPr>
        <w:tc>
          <w:tcPr>
            <w:tcW w:w="50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628"/>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Morgan Stanley &amp; Co.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Kalli Dircks</w:t>
            </w:r>
          </w:p>
        </w:tc>
      </w:tr>
      <w:tr>
        <w:trPr>
          <w:trHeight w:val="210"/>
        </w:trPr>
        <w:tc>
          <w:tcPr>
            <w:tcW w:w="50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Kalli Dircks</w:t>
            </w:r>
          </w:p>
        </w:tc>
      </w:tr>
      <w:tr>
        <w:trPr>
          <w:trHeight w:val="210"/>
        </w:trPr>
        <w:tc>
          <w:tcPr>
            <w:tcW w:w="50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Optional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Purchased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Maximum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 be Purchased</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Exercised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2,000,000</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1,750,000</w:t>
            </w: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262,500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28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Raymond James &amp; Associates, Inc.</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250,000</w:t>
            </w:r>
          </w:p>
        </w:tc>
        <w:tc>
          <w:tcPr>
            <w:tcW w:w="28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37,500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2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750,000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Issuer Free Writing Prospectuses not included in the Pricing Disclosure Package: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roadshow presentation available on www.roadshowaccess.com commencing on March 29, 2017.</w:t>
      </w:r>
    </w:p>
    <w:p>
      <w:pPr>
        <w:spacing w:after="0" w:line="221" w:lineRule="exact"/>
        <w:rPr>
          <w:sz w:val="20"/>
          <w:szCs w:val="20"/>
          <w:color w:val="auto"/>
        </w:rPr>
      </w:pPr>
    </w:p>
    <w:p>
      <w:pPr>
        <w:ind w:left="980" w:right="9140" w:hanging="648"/>
        <w:spacing w:after="0" w:line="501" w:lineRule="auto"/>
        <w:tabs>
          <w:tab w:leader="none" w:pos="67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5(d) writings: </w:t>
      </w:r>
      <w:r>
        <w:rPr>
          <w:rFonts w:ascii="Arial" w:cs="Arial" w:eastAsia="Arial" w:hAnsi="Arial"/>
          <w:sz w:val="18"/>
          <w:szCs w:val="18"/>
          <w:color w:val="auto"/>
        </w:rPr>
        <w:t>None.</w:t>
      </w:r>
    </w:p>
    <w:p>
      <w:pPr>
        <w:ind w:left="980" w:right="3860" w:hanging="648"/>
        <w:spacing w:after="0" w:line="503" w:lineRule="auto"/>
        <w:tabs>
          <w:tab w:leader="none" w:pos="66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Materials other than the Pricing Prospectus that comprise the Pricing Disclosure Package: </w:t>
      </w:r>
      <w:r>
        <w:rPr>
          <w:rFonts w:ascii="Arial" w:cs="Arial" w:eastAsia="Arial" w:hAnsi="Arial"/>
          <w:sz w:val="18"/>
          <w:szCs w:val="18"/>
          <w:color w:val="auto"/>
        </w:rPr>
        <w:t>Public Offering Price per share: $40.00</w:t>
      </w: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Number of Firm Shares purchased by the Underwriters: 5,000,000</w:t>
      </w:r>
    </w:p>
    <w:p>
      <w:pPr>
        <w:spacing w:after="0" w:line="22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Number of Optional Shares: 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u w:val="single" w:color="auto"/>
          <w:color w:val="auto"/>
        </w:rPr>
        <w:t>ANNEX I(A)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Executed Comfort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u w:val="single" w:color="auto"/>
          <w:color w:val="auto"/>
        </w:rPr>
        <w:t>ANNEX I(B)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Comfort Letter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Delivered Upon the Effective Date of a Post-Effective Amendment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at Each Time of Delivery</w:t>
      </w:r>
    </w:p>
    <w:p>
      <w:pPr>
        <w:sectPr>
          <w:pgSz w:w="11900" w:h="16838" w:orient="portrait"/>
          <w:cols w:equalWidth="0" w:num="1">
            <w:col w:w="11460"/>
          </w:cols>
          <w:pgMar w:left="240" w:top="1057" w:right="199" w:bottom="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Blueprint Medicines Corporation (the “Company”) announced today that Goldman, Sachs &amp; Co. and Morgan Stanley &amp; Co. LLC, the lead 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8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 Blueprint Medicines Corporation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972"/>
        <w:spacing w:after="0" w:line="276" w:lineRule="auto"/>
        <w:rPr>
          <w:sz w:val="20"/>
          <w:szCs w:val="20"/>
          <w:color w:val="auto"/>
        </w:rPr>
      </w:pPr>
      <w:r>
        <w:rPr>
          <w:rFonts w:ascii="Arial" w:cs="Arial" w:eastAsia="Arial" w:hAnsi="Arial"/>
          <w:sz w:val="17"/>
          <w:szCs w:val="17"/>
          <w:color w:val="auto"/>
        </w:rPr>
        <w:t>The undersigned understands that you, as representatives (the “Representatives”), propose to enter into an Underwriting Agreement on behalf of the several Underwriters named in Schedule I to such agreement (collectively, the “Underwriters”) (the “Underwriting Agreement”), with Blueprint Medicines Corporation, a Delaware corporation (the “Company”), providing for a public offering (the “Public Offering”) of shares (the “Shares”) of the common stock of the Company, par value $0.001 per share (the “Common Stock”), pursuant to a Registration Statement on Form S-3ASR filed with the Securities and Exchange Commission (the “SEC”) on March 9, 2017 (File No. 333-216573) (the “Registration Statement”).</w:t>
      </w:r>
    </w:p>
    <w:p>
      <w:pPr>
        <w:spacing w:after="0" w:line="173" w:lineRule="exact"/>
        <w:rPr>
          <w:sz w:val="20"/>
          <w:szCs w:val="20"/>
          <w:color w:val="auto"/>
        </w:rPr>
      </w:pPr>
    </w:p>
    <w:p>
      <w:pPr>
        <w:ind w:right="80" w:firstLine="972"/>
        <w:spacing w:after="0" w:line="293" w:lineRule="auto"/>
        <w:rPr>
          <w:sz w:val="20"/>
          <w:szCs w:val="20"/>
          <w:color w:val="auto"/>
        </w:rPr>
      </w:pPr>
      <w:r>
        <w:rPr>
          <w:rFonts w:ascii="Arial" w:cs="Arial" w:eastAsia="Arial" w:hAnsi="Arial"/>
          <w:sz w:val="16"/>
          <w:szCs w:val="16"/>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hereof and continuing to and including the date 90 days after the date of the final prospectus covering the public offering of the Shares (the “Public Offering Date”)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 If the undersigned is an officer or director of the Company, the undersigned further agrees that the foregoing provisions shall be equally applicable to any Company-directed Shares the undersigned may purchase in the offering.</w:t>
      </w:r>
    </w:p>
    <w:p>
      <w:pPr>
        <w:spacing w:after="0" w:line="179" w:lineRule="exact"/>
        <w:rPr>
          <w:sz w:val="20"/>
          <w:szCs w:val="20"/>
          <w:color w:val="auto"/>
        </w:rPr>
      </w:pPr>
    </w:p>
    <w:p>
      <w:pPr>
        <w:ind w:right="40" w:firstLine="972"/>
        <w:spacing w:after="0" w:line="264" w:lineRule="auto"/>
        <w:rPr>
          <w:sz w:val="20"/>
          <w:szCs w:val="20"/>
          <w:color w:val="auto"/>
        </w:rPr>
      </w:pPr>
      <w:r>
        <w:rPr>
          <w:rFonts w:ascii="Arial" w:cs="Arial" w:eastAsia="Arial" w:hAnsi="Arial"/>
          <w:sz w:val="18"/>
          <w:szCs w:val="18"/>
          <w:color w:val="auto"/>
        </w:rPr>
        <w:t>The undersigned hereby further agrees that, prior to engaging in any transaction or taking any other action that is subject to the terms of this Lock-Up Agreement during the Lock-Up Period, it will give notice thereof to the Company and will not consummate such transaction or take any such action unless it has received written confirmation from the Company that the Lock-Up Period has expired.</w:t>
      </w:r>
    </w:p>
    <w:p>
      <w:pPr>
        <w:sectPr>
          <w:pgSz w:w="11900" w:h="16838" w:orient="portrait"/>
          <w:cols w:equalWidth="0" w:num="1">
            <w:col w:w="11420"/>
          </w:cols>
          <w:pgMar w:left="240" w:top="1053" w:right="239" w:bottom="0" w:gutter="0" w:footer="0" w:header="0"/>
        </w:sectPr>
      </w:pPr>
    </w:p>
    <w:bookmarkStart w:id="17" w:name="page18"/>
    <w:bookmarkEnd w:id="17"/>
    <w:p>
      <w:pPr>
        <w:ind w:right="20" w:firstLine="972"/>
        <w:spacing w:after="0" w:line="286" w:lineRule="auto"/>
        <w:rPr>
          <w:sz w:val="20"/>
          <w:szCs w:val="20"/>
          <w:color w:val="auto"/>
        </w:rPr>
      </w:pPr>
      <w:r>
        <w:rPr>
          <w:rFonts w:ascii="Arial" w:cs="Arial" w:eastAsia="Arial" w:hAnsi="Arial"/>
          <w:sz w:val="16"/>
          <w:szCs w:val="16"/>
          <w:color w:val="auto"/>
        </w:rPr>
        <w:t>Notwithstanding the foregoing, the undersigned may (a) transfer the Undersigned’s Shares (i) acquired in the Public Offering, provided that the undersigned is not an officer or director of the Company, (ii) acquired in the open market following the completion of the distribution of the Shares by the Underwriters, (iii) as a bona fide gift or gifts, provided that the donee or donees thereof agree to be bound in writing by the restrictions set forth herein, (iv) to any trust for the direct or indirect benefit of the undersigned or the immediate family of the undersigned, or if the undersigned is a trust, to any beneficiary (including such beneficiary’s estate) of the undersigned, provided that the trustee of the trust, or such beneficiary, agrees to be bound in writing by the restrictions set forth herein, and provided further that any such transfer shall not involve a disposition for value, (v)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or (B) as part of a distribution without consideration by the undersigned to its stockholders, partners, members or other equity holders, provided that in the case of any transfer contemplated in (A) or (B) above, it shall be a condition to the transfer that (x) each transferee executes an agreement stating that the transferee is receiving and holding such capital stock subject to the provisions of this Lock-Up Agreement, (y) there shall be no further transfer of such capital stock except in accordance with this Lock-Up Agreement and (z) such transfer shall not involve a disposition for value, (vi) by will or intestate succession upon the death of the undersigned, provided that the transferee agrees to be bound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writing by the restrictions set forth herein, (vii) in connection with the exercise for cash of options to purchase shares of Common Stock, the “net exercise” or “cashless” exercise of options to purchase shares of Common Stock within 90 days of the expiration of such options and any transfer for the payment of taxes due as a result of such exercise, only in an amount necessary to satisfy such taxes, pursuant to an employee benefit plan, which is disclosed or incorporated by reference in the final prospectus used for the Public Offering, provided that the shares of Common Stock issued upon such exercise shall be subject to the restrictions of this Lock-Up Agreement, (viii) by operation of law, such as pursuant to a qualified domestic order or in connection with a divorce settlement, provided that each such transferee executes an agreement stating that the transferee is receiving and holding such capital stock subject to the provisions of this Lock-Up Agreement, or (ix) with the prior written consent of each of the Representatives on behalf of the Underwriters, or (b) enter into a written plan meeting the requirements of Rule 10b5-1 under the Securities Exchange Act of 1934, as amended (the “Exchange Act”), relating to the sale of securities of the Company, provided that the securities subject to such plan may not be sold and no public disclosure of any such action and no public filing under the Exchange Act, or otherwise, shall be required or shall be voluntarily made by any person until after the expiration of the Lock-Up Period. In addition, with respect to clauses (a)(i) through (a)(vi), it shall be a condition to such transfer that no filing under Section 16(a) of the Exchange Act shall be required or voluntarily made during the Lock-Up Period. For purposes of this Lock-Up Agreement, “immediate family” shall mean any relationship by blood, marriage or adoption, not more remote than first cousin. The undersigned now has, and, except as contemplated by clause (a)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78" w:lineRule="exact"/>
        <w:rPr>
          <w:sz w:val="20"/>
          <w:szCs w:val="20"/>
          <w:color w:val="auto"/>
        </w:rPr>
      </w:pPr>
    </w:p>
    <w:p>
      <w:pPr>
        <w:ind w:firstLine="972"/>
        <w:spacing w:after="0" w:line="293" w:lineRule="auto"/>
        <w:rPr>
          <w:sz w:val="20"/>
          <w:szCs w:val="20"/>
          <w:color w:val="auto"/>
        </w:rPr>
      </w:pPr>
      <w:r>
        <w:rPr>
          <w:rFonts w:ascii="Arial" w:cs="Arial" w:eastAsia="Arial" w:hAnsi="Arial"/>
          <w:sz w:val="16"/>
          <w:szCs w:val="16"/>
          <w:color w:val="auto"/>
        </w:rPr>
        <w:t>Notwithstanding anything to the contrary contained herein, this Lock-Up Agreement will automatically terminate and the undersigned will be released from all of his, her or its obligations hereunder upon the earliest to occur, if any, of (i) if, prior to the execution of the Underwriting Agreement, either the Company, on the one hand, or the Representatives, on the other hand, advise(s) the other in writing, that it has determined not to proceed with the Public Offering, (ii) the Company files an application with the SEC to withdraw the registration statement related to the Public Offering, (iii) the Underwriting Agreement is executed but is terminated (other than the provisions thereof which survive termination) prior to payment for and delivery of the shares of Common Stock to be sold thereunder, or (iv) April 15, 2017, in the event that the Underwriting Agreement has not been executed by such date.</w:t>
      </w:r>
    </w:p>
    <w:p>
      <w:pPr>
        <w:spacing w:after="0" w:line="165" w:lineRule="exact"/>
        <w:rPr>
          <w:sz w:val="20"/>
          <w:szCs w:val="20"/>
          <w:color w:val="auto"/>
        </w:rPr>
      </w:pPr>
    </w:p>
    <w:p>
      <w:pPr>
        <w:ind w:right="600" w:firstLine="972"/>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31045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1058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06880" cy="3771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6880" cy="377190"/>
                    </a:xfrm>
                    <a:prstGeom prst="rect">
                      <a:avLst/>
                    </a:prstGeom>
                    <a:noFill/>
                  </pic:spPr>
                </pic:pic>
              </a:graphicData>
            </a:graphic>
          </wp:anchor>
        </w:drawing>
      </w:r>
    </w:p>
    <w:p>
      <w:pPr>
        <w:spacing w:after="0" w:line="3"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+1 617 570 1000</w:t>
      </w:r>
    </w:p>
    <w:p>
      <w:pPr>
        <w:spacing w:after="0" w:line="211"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March 29,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Securities Registered under Registration Statement on Form S-3ASR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acted as counsel to Blueprint Medicines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its filing of a Registration Statement on Form S-3ASR (File No. 333-216573) (as amended or supplemented,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on March 9, 2017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Registration Statement became effective under the Securities Act upon filing on March 9, 2017. Reference is made to our opinion letter dated March 9, 2017 and included as Exhibit 5.1 to the Registration Statement. We are delivering this supplemental opinion letter in connection with the prospectus supplement (the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Supplement</w:t>
      </w:r>
      <w:r>
        <w:rPr>
          <w:rFonts w:ascii="Arial" w:cs="Arial" w:eastAsia="Arial" w:hAnsi="Arial"/>
          <w:sz w:val="17"/>
          <w:szCs w:val="17"/>
          <w:color w:val="auto"/>
        </w:rPr>
        <w:t>”) filed on March 30, 2017 by the Company with the Commission pursuant to Rule 424 under the Securities Act. The Prospectus Supplement relates to the offering by the Company of up to 5,000,000 shares of the Company’s Common Stock, par value $0.001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covered by the Registration Statement. The Shares include an over-allotment option granted to the underwriters of the offering to purchase 750,000 Shares. The Shares are being sold to the several underwriters named in, and pursuant to, an underwriting agreement among the Company and such underwriters (the “</w:t>
      </w:r>
      <w:r>
        <w:rPr>
          <w:rFonts w:ascii="Arial" w:cs="Arial" w:eastAsia="Arial" w:hAnsi="Arial"/>
          <w:sz w:val="17"/>
          <w:szCs w:val="17"/>
          <w:u w:val="single" w:color="auto"/>
          <w:color w:val="auto"/>
        </w:rPr>
        <w:t>Underwriting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giving our consent, we do not admit that we are in the category of persons whose consent is required under Section 7 of the Securities Act or the rules and regulations thereunder.</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Goodwin Procter LLP</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GOODWIN PROCTER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52295" cy="6261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22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Proposed Public Offering of Shares of Common Stock</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CAMBRIDGE, Mass., March 29, 2017 — Blueprint Medicines Corporation (NASDAQ: BPMC), a leader in discovering and developing targeted kinase medicines for patients with genomically defined diseases, today announced that it has commenced an underwritten public offering of $150,000,000 in shares of its common stock. In addition, Blueprint Medicines expects to grant the underwriters a 30-day option to purchase up to an additional of $22,500,000 in shares of its common stock in connection with the public offering. All shares of common stock will be offered by Blueprint Medicines.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Blueprint Medicines expects to use the net proceeds of the offering to fund clinical trials for BLU-285 in GIST and SM, to fund clinical trials for BLU-554 in HCC, to fund the completion of its current Phase 1 clinical trial for BLU-667 in non-small cell lung cancer, medullary thyroid cancer and other advanced solid tumors and the initiation of additional clinical trials for BLU-667 in RET-driven cancers, and the balance, if any, to fund working capital, capital expenditures and other general corporate purposes, including ongoing research and pre-commercial planning activities. For both BLU-285 and BLU-554, the clinical trials may include the expansion of the current Phase 1 clinical trials for its targeted indications, registration clinical trials or indication expansion clinical trials.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Goldman, Sachs &amp; Co., Morgan Stanley and Cowen and Company are acting as joint book-running managers for the offering. Raymond James is acting as co-manager for the offering. The offering is subject to market and other conditions, and there can be no assurance as to whether or when the offering may be completed or as to the actual size or terms of the offering.</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registration statement on Form S-3 (File No. 333-216573) relating to these securities has been previously filed with and declared effective by the Securities and Exchange Commission (SEC).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offering will be made only by means of a prospectus. A copy of the prospectus supplement relating to the offering will be filed with the SEC and may be obtained, when available, from Goldman, Sachs &amp; Co. by mail at 200 West Street, New York, NY 10282, Attention: Prospectus Department, by telephone at</w:t>
      </w:r>
    </w:p>
    <w:p>
      <w:pPr>
        <w:ind w:right="320" w:firstLine="8"/>
        <w:spacing w:after="0" w:line="277" w:lineRule="auto"/>
        <w:tabs>
          <w:tab w:leader="none" w:pos="4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471-2526, or by email at prospectus-ny@ny.email.gs.com, from Morgan Stanley &amp; Co. LLC at 180 Varick Street, 2nd Floor, New York, NY 10014, Attention: Morgan Stanley Prospectus Department and from Cowen and Company, LLC, c/o Broadridge Financial Services, 1155 Long Island Avenue, Edgewood, NY 11717, Attention: Prospectus Department, by telephone at (631) 274-2806, or by fax at (631) 254-7140.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w:t>
      </w:r>
      <w:r>
        <w:rPr>
          <w:rFonts w:ascii="Arial" w:cs="Arial" w:eastAsia="Arial" w:hAnsi="Arial"/>
          <w:sz w:val="15"/>
          <w:szCs w:val="15"/>
          <w:color w:val="auto"/>
        </w:rPr>
        <w:t>thyroid cancer and other advanced solid tumors, as well as multiple programs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preclinical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 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Annual Report on Form 10-K for the year ended December 31, 2016, as filed with the SEC on March 9, 2017, the prospectus supplement related to the public offering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Williams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kwilliams@blueprintmedicines.com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612"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Media Relations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Rachel Hutman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W2O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301-801-5540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rhutman@w2ogroup.com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52295" cy="6261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522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Pricing of Public Offering of Shares of Common Stock</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CAMBRIDGE, Mass., March 29, 2017 </w:t>
      </w:r>
      <w:r>
        <w:rPr>
          <w:rFonts w:ascii="Arial" w:cs="Arial" w:eastAsia="Arial" w:hAnsi="Arial"/>
          <w:sz w:val="18"/>
          <w:szCs w:val="18"/>
          <w:b w:val="1"/>
          <w:bCs w:val="1"/>
          <w:color w:val="auto"/>
        </w:rPr>
        <w:t>—</w:t>
      </w:r>
      <w:r>
        <w:rPr>
          <w:rFonts w:ascii="Arial" w:cs="Arial" w:eastAsia="Arial" w:hAnsi="Arial"/>
          <w:sz w:val="18"/>
          <w:szCs w:val="18"/>
          <w:color w:val="auto"/>
        </w:rPr>
        <w:t xml:space="preserve"> Blueprint Medicines Corporation (NASDAQ: BPMC), a leader in discovering and developing targeted kinase medicines for patients with genomically defined diseases, today announced the pricing of an underwritten public offering of 5,000,000 shares of its common stock at a public offering price of $40.00 per share, before underwriting discounts and commissions. In addition, Blueprint Medicines has granted the underwriters a 30-day option to purchase up to an additional 750,000 shares of its common stock at the public offering price, less underwriting discounts and commissions.</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Goldman, Sachs &amp; Co., Morgan Stanley and Cowen and Company are acting as joint book-running managers for the offering. Raymond James is acting as co-manager for the offering. The offering is expected to close on or about April 4, 2017, subject to the satisfaction of customary closing conditions.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registration statement on Form S-3 (File No. 333-216573) relating to these securities has been previously filed with and declared effective by the Securities and Exchange Commission (SEC).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offering will be made only by means of a prospectus. A preliminary prospectus supplement describing the terms of the offering has been filed with the SEC and forms a part of the effective registration statement. A copy of the final prospectus supplement relating to the offering will be filed with the SEC and may be obtained, when available, from Goldman, Sachs &amp; Co. by mail at 200 West Street, New York, New York 10282, Attention: Prospectus Department, by telephone at (866) 471-2526, or by email at prospectus-ny@ny.email.gs.com, from Morgan Stanley &amp; Co. LLC, Attention: Morgan Stanley Prospectus Department, 180 Varick Street, 2nd Floor, New York, NY 10014and from Cowen and Company, LLC, c/o Broadridge Financial Services, 1155 Long Island Avenue, Edgewood, NY 11717, Attention: Prospectus Department, by telephone at (631) 274-2806, or by fax at (631) 254-7140.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mastocytosis, non-small cell lung cancer, medullary thyroid cancer and other advanced solid tumors, as well as multiple programs in research and preclinical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w:t>
      </w:r>
    </w:p>
    <w:p>
      <w:pPr>
        <w:spacing w:after="0" w:line="286" w:lineRule="auto"/>
        <w:rPr>
          <w:sz w:val="20"/>
          <w:szCs w:val="20"/>
          <w:color w:val="auto"/>
        </w:rPr>
      </w:pPr>
      <w:r>
        <w:rPr>
          <w:rFonts w:ascii="Arial" w:cs="Arial" w:eastAsia="Arial" w:hAnsi="Arial"/>
          <w:sz w:val="16"/>
          <w:szCs w:val="16"/>
          <w:color w:val="auto"/>
        </w:rPr>
        <w:t>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Annual Report on Form 10-K for the year ended December 31, 2016, as filed with the SEC on March 9, 2017, the prospectus supplement related to the public offering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Williams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kwilliams@blueprintmedicines.com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Rachel Hutman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W2O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301-801-5540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rhutman@w2ogroup.com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8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1)"/>
      <w:numFmt w:val="lowerLetter"/>
      <w:start w:val="5"/>
    </w:lvl>
    <w:lvl w:ilvl="1">
      <w:lvlJc w:val="left"/>
      <w:lvlText w:val="(%2)"/>
      <w:numFmt w:val="lowerLetter"/>
      <w:start w:val="7"/>
    </w:lvl>
  </w:abstractNum>
  <w:abstractNum w:abstractNumId="5">
    <w:nsid w:val="737B8DDC"/>
    <w:multiLevelType w:val="hybridMultilevel"/>
    <w:lvl w:ilvl="0">
      <w:lvlJc w:val="left"/>
      <w:lvlText w:val="(%1)"/>
      <w:numFmt w:val="lowerLetter"/>
      <w:start w:val="8"/>
    </w:lvl>
  </w:abstractNum>
  <w:abstractNum w:abstractNumId="6">
    <w:nsid w:val="6CEAF087"/>
    <w:multiLevelType w:val="hybridMultilevel"/>
    <w:lvl w:ilvl="0">
      <w:lvlJc w:val="left"/>
      <w:lvlText w:val="(%1)"/>
      <w:numFmt w:val="lowerRoman"/>
      <w:start w:val="1"/>
    </w:lvl>
  </w:abstractNum>
  <w:abstractNum w:abstractNumId="7">
    <w:nsid w:val="22221A70"/>
    <w:multiLevelType w:val="hybridMultilevel"/>
    <w:lvl w:ilvl="0">
      <w:lvlJc w:val="left"/>
      <w:lvlText w:val="%1"/>
      <w:numFmt w:val="lowerLetter"/>
      <w:start w:val="1"/>
    </w:lvl>
    <w:lvl w:ilvl="1">
      <w:lvlJc w:val="left"/>
      <w:lvlText w:val="(%2)"/>
      <w:numFmt w:val="lowerLetter"/>
      <w:start w:val="10"/>
    </w:lvl>
  </w:abstractNum>
  <w:abstractNum w:abstractNumId="8">
    <w:nsid w:val="4516DDE9"/>
    <w:multiLevelType w:val="hybridMultilevel"/>
    <w:lvl w:ilvl="0">
      <w:lvlJc w:val="left"/>
      <w:lvlText w:val="(%1)"/>
      <w:numFmt w:val="lowerLetter"/>
      <w:start w:val="9"/>
    </w:lvl>
    <w:lvl w:ilvl="1">
      <w:lvlJc w:val="left"/>
      <w:lvlText w:val="(%2)"/>
      <w:numFmt w:val="lowerLetter"/>
      <w:start w:val="13"/>
    </w:lvl>
  </w:abstractNum>
  <w:abstractNum w:abstractNumId="9">
    <w:nsid w:val="3006C83E"/>
    <w:multiLevelType w:val="hybridMultilevel"/>
    <w:lvl w:ilvl="0">
      <w:lvlJc w:val="left"/>
      <w:lvlText w:val="(%1)"/>
      <w:numFmt w:val="lowerLetter"/>
      <w:start w:val="35"/>
    </w:lvl>
    <w:lvl w:ilvl="1">
      <w:lvlJc w:val="left"/>
      <w:lvlText w:val="(%2)"/>
      <w:numFmt w:val="lowerLetter"/>
      <w:start w:val="14"/>
    </w:lvl>
  </w:abstractNum>
  <w:abstractNum w:abstractNumId="10">
    <w:nsid w:val="614FD4A1"/>
    <w:multiLevelType w:val="hybridMultilevel"/>
    <w:lvl w:ilvl="0">
      <w:lvlJc w:val="left"/>
      <w:lvlText w:val="(%1)"/>
      <w:numFmt w:val="lowerLetter"/>
      <w:start w:val="20"/>
    </w:lvl>
  </w:abstractNum>
  <w:abstractNum w:abstractNumId="11">
    <w:nsid w:val="419AC241"/>
    <w:multiLevelType w:val="hybridMultilevel"/>
    <w:lvl w:ilvl="0">
      <w:lvlJc w:val="left"/>
      <w:lvlText w:val="(%1)"/>
      <w:numFmt w:val="lowerLetter"/>
      <w:start w:val="24"/>
    </w:lvl>
  </w:abstractNum>
  <w:abstractNum w:abstractNumId="12">
    <w:nsid w:val="5577F8E1"/>
    <w:multiLevelType w:val="hybridMultilevel"/>
    <w:lvl w:ilvl="0">
      <w:lvlJc w:val="left"/>
      <w:lvlText w:val="(%1)"/>
      <w:numFmt w:val="lowerLetter"/>
      <w:start w:val="26"/>
    </w:lvl>
  </w:abstractNum>
  <w:abstractNum w:abstractNumId="13">
    <w:nsid w:val="440BADFC"/>
    <w:multiLevelType w:val="hybridMultilevel"/>
    <w:lvl w:ilvl="0">
      <w:lvlJc w:val="left"/>
      <w:lvlText w:val="(%1)"/>
      <w:numFmt w:val="lowerLetter"/>
      <w:start w:val="27"/>
    </w:lvl>
  </w:abstractNum>
  <w:abstractNum w:abstractNumId="14">
    <w:nsid w:val="5072367"/>
    <w:multiLevelType w:val="hybridMultilevel"/>
    <w:lvl w:ilvl="0">
      <w:lvlJc w:val="left"/>
      <w:lvlText w:val="(%1)"/>
      <w:numFmt w:val="lowerLetter"/>
      <w:start w:val="28"/>
    </w:lvl>
  </w:abstractNum>
  <w:abstractNum w:abstractNumId="15">
    <w:nsid w:val="3804823E"/>
    <w:multiLevelType w:val="hybridMultilevel"/>
    <w:lvl w:ilvl="0">
      <w:lvlJc w:val="left"/>
      <w:lvlText w:val="%1"/>
      <w:numFmt w:val="lowerLetter"/>
      <w:start w:val="1"/>
    </w:lvl>
    <w:lvl w:ilvl="1">
      <w:lvlJc w:val="left"/>
      <w:lvlText w:val="(%2)"/>
      <w:numFmt w:val="lowerLetter"/>
      <w:start w:val="32"/>
    </w:lvl>
  </w:abstractNum>
  <w:abstractNum w:abstractNumId="16">
    <w:nsid w:val="77465F01"/>
    <w:multiLevelType w:val="hybridMultilevel"/>
    <w:lvl w:ilvl="0">
      <w:lvlJc w:val="left"/>
      <w:lvlText w:val="(%1)"/>
      <w:numFmt w:val="lowerLetter"/>
      <w:start w:val="35"/>
    </w:lvl>
    <w:lvl w:ilvl="1">
      <w:lvlJc w:val="left"/>
      <w:lvlText w:val="(%2)"/>
      <w:numFmt w:val="lowerLetter"/>
      <w:start w:val="34"/>
    </w:lvl>
  </w:abstractNum>
  <w:abstractNum w:abstractNumId="17">
    <w:nsid w:val="7724C67E"/>
    <w:multiLevelType w:val="hybridMultilevel"/>
    <w:lvl w:ilvl="0">
      <w:lvlJc w:val="left"/>
      <w:lvlText w:val="(%1)"/>
      <w:numFmt w:val="lowerLetter"/>
      <w:start w:val="35"/>
    </w:lvl>
    <w:lvl w:ilvl="1">
      <w:lvlJc w:val="left"/>
      <w:lvlText w:val="%2"/>
      <w:numFmt w:val="lowerLetter"/>
      <w:start w:val="1"/>
    </w:lvl>
  </w:abstractNum>
  <w:abstractNum w:abstractNumId="18">
    <w:nsid w:val="5C482A97"/>
    <w:multiLevelType w:val="hybridMultilevel"/>
    <w:lvl w:ilvl="0">
      <w:lvlJc w:val="left"/>
      <w:lvlText w:val="%1"/>
      <w:numFmt w:val="lowerRoman"/>
      <w:start w:val="1"/>
    </w:lvl>
    <w:lvl w:ilvl="1">
      <w:lvlJc w:val="left"/>
      <w:lvlText w:val="(%2)"/>
      <w:numFmt w:val="lowerLetter"/>
      <w:start w:val="35"/>
    </w:lvl>
  </w:abstractNum>
  <w:abstractNum w:abstractNumId="19">
    <w:nsid w:val="2463B9EA"/>
    <w:multiLevelType w:val="hybridMultilevel"/>
    <w:lvl w:ilvl="0">
      <w:lvlJc w:val="left"/>
      <w:lvlText w:val="(%1)"/>
      <w:numFmt w:val="lowerRoman"/>
      <w:start w:val="4"/>
    </w:lvl>
    <w:lvl w:ilvl="1">
      <w:lvlJc w:val="left"/>
      <w:lvlText w:val="%2"/>
      <w:numFmt w:val="lowerLetter"/>
      <w:start w:val="1"/>
    </w:lvl>
  </w:abstractNum>
  <w:abstractNum w:abstractNumId="20">
    <w:nsid w:val="5E884ADC"/>
    <w:multiLevelType w:val="hybridMultilevel"/>
    <w:lvl w:ilvl="0">
      <w:lvlJc w:val="left"/>
      <w:lvlText w:val="(%1)"/>
      <w:numFmt w:val="lowerLetter"/>
      <w:start w:val="38"/>
    </w:lvl>
  </w:abstractNum>
  <w:abstractNum w:abstractNumId="21">
    <w:nsid w:val="51EAD36B"/>
    <w:multiLevelType w:val="hybridMultilevel"/>
    <w:lvl w:ilvl="0">
      <w:lvlJc w:val="left"/>
      <w:lvlText w:val="(%1)"/>
      <w:numFmt w:val="lowerLetter"/>
      <w:start w:val="40"/>
    </w:lvl>
  </w:abstractNum>
  <w:abstractNum w:abstractNumId="22">
    <w:nsid w:val="2D517796"/>
    <w:multiLevelType w:val="hybridMultilevel"/>
    <w:lvl w:ilvl="0">
      <w:lvlJc w:val="left"/>
      <w:lvlText w:val="%1."/>
      <w:numFmt w:val="decimal"/>
      <w:start w:val="2"/>
    </w:lvl>
  </w:abstractNum>
  <w:abstractNum w:abstractNumId="23">
    <w:nsid w:val="580BD78F"/>
    <w:multiLevelType w:val="hybridMultilevel"/>
    <w:lvl w:ilvl="0">
      <w:lvlJc w:val="left"/>
      <w:lvlText w:val="%1."/>
      <w:numFmt w:val="decimal"/>
      <w:start w:val="3"/>
    </w:lvl>
  </w:abstractNum>
  <w:abstractNum w:abstractNumId="24">
    <w:nsid w:val="153EA438"/>
    <w:multiLevelType w:val="hybridMultilevel"/>
    <w:lvl w:ilvl="0">
      <w:lvlJc w:val="left"/>
      <w:lvlText w:val="(%1)"/>
      <w:numFmt w:val="lowerLetter"/>
      <w:start w:val="2"/>
    </w:lvl>
  </w:abstractNum>
  <w:abstractNum w:abstractNumId="25">
    <w:nsid w:val="3855585C"/>
    <w:multiLevelType w:val="hybridMultilevel"/>
    <w:lvl w:ilvl="0">
      <w:lvlJc w:val="left"/>
      <w:lvlText w:val="%1."/>
      <w:numFmt w:val="decimal"/>
      <w:start w:val="5"/>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2"/>
    </w:lvl>
  </w:abstractNum>
  <w:abstractNum w:abstractNumId="28">
    <w:nsid w:val="2A487CB0"/>
    <w:multiLevelType w:val="hybridMultilevel"/>
    <w:lvl w:ilvl="0">
      <w:lvlJc w:val="left"/>
      <w:lvlText w:val="(%1)"/>
      <w:numFmt w:val="lowerLetter"/>
      <w:start w:val="3"/>
    </w:lvl>
  </w:abstractNum>
  <w:abstractNum w:abstractNumId="29">
    <w:nsid w:val="1D4ED43B"/>
    <w:multiLevelType w:val="hybridMultilevel"/>
    <w:lvl w:ilvl="0">
      <w:lvlJc w:val="left"/>
      <w:lvlText w:val="(%1)"/>
      <w:numFmt w:val="upperLetter"/>
      <w:start w:val="4"/>
    </w:lvl>
    <w:lvl w:ilvl="1">
      <w:lvlJc w:val="left"/>
      <w:lvlText w:val="(%2)"/>
      <w:numFmt w:val="lowerLetter"/>
      <w:start w:val="6"/>
    </w:lvl>
  </w:abstractNum>
  <w:abstractNum w:abstractNumId="30">
    <w:nsid w:val="725A06FB"/>
    <w:multiLevelType w:val="hybridMultilevel"/>
    <w:lvl w:ilvl="0">
      <w:lvlJc w:val="left"/>
      <w:lvlText w:val="(%1)"/>
      <w:numFmt w:val="lowerLetter"/>
      <w:start w:val="7"/>
    </w:lvl>
  </w:abstractNum>
  <w:abstractNum w:abstractNumId="31">
    <w:nsid w:val="2CD89A32"/>
    <w:multiLevelType w:val="hybridMultilevel"/>
    <w:lvl w:ilvl="0">
      <w:lvlJc w:val="left"/>
      <w:lvlText w:val="(%1)"/>
      <w:numFmt w:val="lowerLetter"/>
      <w:start w:val="8"/>
    </w:lvl>
  </w:abstractNum>
  <w:abstractNum w:abstractNumId="32">
    <w:nsid w:val="57E4CCAF"/>
    <w:multiLevelType w:val="hybridMultilevel"/>
    <w:lvl w:ilvl="0">
      <w:lvlJc w:val="left"/>
      <w:lvlText w:val="%1."/>
      <w:numFmt w:val="decimal"/>
      <w:start w:val="6"/>
    </w:lvl>
  </w:abstractNum>
  <w:abstractNum w:abstractNumId="33">
    <w:nsid w:val="7A6D8D3C"/>
    <w:multiLevelType w:val="hybridMultilevel"/>
    <w:lvl w:ilvl="0">
      <w:lvlJc w:val="left"/>
      <w:lvlText w:val="(%1)"/>
      <w:numFmt w:val="lowerLetter"/>
      <w:start w:val="2"/>
    </w:lvl>
  </w:abstractNum>
  <w:abstractNum w:abstractNumId="34">
    <w:nsid w:val="4B588F54"/>
    <w:multiLevelType w:val="hybridMultilevel"/>
    <w:lvl w:ilvl="0">
      <w:lvlJc w:val="left"/>
      <w:lvlText w:val="(%1)"/>
      <w:numFmt w:val="lowerLetter"/>
      <w:start w:val="3"/>
    </w:lvl>
  </w:abstractNum>
  <w:abstractNum w:abstractNumId="35">
    <w:nsid w:val="542289EC"/>
    <w:multiLevelType w:val="hybridMultilevel"/>
    <w:lvl w:ilvl="0">
      <w:lvlJc w:val="left"/>
      <w:lvlText w:val="%1."/>
      <w:numFmt w:val="decimal"/>
      <w:start w:val="7"/>
    </w:lvl>
  </w:abstractNum>
  <w:abstractNum w:abstractNumId="36">
    <w:nsid w:val="6DE91B18"/>
    <w:multiLevelType w:val="hybridMultilevel"/>
    <w:lvl w:ilvl="0">
      <w:lvlJc w:val="left"/>
      <w:lvlText w:val="%1."/>
      <w:numFmt w:val="decimal"/>
      <w:start w:val="8"/>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2"/>
    </w:lvl>
    <w:lvl w:ilvl="1">
      <w:lvlJc w:val="left"/>
      <w:lvlText w:val="(%2)"/>
      <w:numFmt w:val="lowerLetter"/>
      <w:start w:val="5"/>
    </w:lvl>
  </w:abstractNum>
  <w:abstractNum w:abstractNumId="39">
    <w:nsid w:val="32FFF902"/>
    <w:multiLevelType w:val="hybridMultilevel"/>
    <w:lvl w:ilvl="0">
      <w:lvlJc w:val="left"/>
      <w:lvlText w:val="%1"/>
      <w:numFmt w:val="lowerLetter"/>
      <w:start w:val="1"/>
    </w:lvl>
    <w:lvl w:ilvl="1">
      <w:lvlJc w:val="left"/>
      <w:lvlText w:val="(%2)"/>
      <w:numFmt w:val="lowerLetter"/>
      <w:start w:val="7"/>
    </w:lvl>
  </w:abstractNum>
  <w:abstractNum w:abstractNumId="40">
    <w:nsid w:val="684A481A"/>
    <w:multiLevelType w:val="hybridMultilevel"/>
    <w:lvl w:ilvl="0">
      <w:lvlJc w:val="left"/>
      <w:lvlText w:val="(%1)"/>
      <w:numFmt w:val="lowerLetter"/>
      <w:start w:val="8"/>
    </w:lvl>
    <w:lvl w:ilvl="1">
      <w:lvlJc w:val="left"/>
      <w:lvlText w:val="%2"/>
      <w:numFmt w:val="lowerLetter"/>
      <w:start w:val="1"/>
    </w:lvl>
  </w:abstractNum>
  <w:abstractNum w:abstractNumId="41">
    <w:nsid w:val="579478FE"/>
    <w:multiLevelType w:val="hybridMultilevel"/>
    <w:lvl w:ilvl="0">
      <w:lvlJc w:val="left"/>
      <w:lvlText w:val="(%1)"/>
      <w:numFmt w:val="lowerLetter"/>
      <w:start w:val="10"/>
    </w:lvl>
  </w:abstractNum>
  <w:abstractNum w:abstractNumId="42">
    <w:nsid w:val="749ABB43"/>
    <w:multiLevelType w:val="hybridMultilevel"/>
    <w:lvl w:ilvl="0">
      <w:lvlJc w:val="left"/>
      <w:lvlText w:val="%1"/>
      <w:numFmt w:val="decimal"/>
      <w:start w:val="1"/>
    </w:lvl>
    <w:lvl w:ilvl="1">
      <w:lvlJc w:val="left"/>
      <w:lvlText w:val="(%2)"/>
      <w:numFmt w:val="lowerLetter"/>
      <w:start w:val="12"/>
    </w:lvl>
  </w:abstractNum>
  <w:abstractNum w:abstractNumId="43">
    <w:nsid w:val="3DC240FB"/>
    <w:multiLevelType w:val="hybridMultilevel"/>
    <w:lvl w:ilvl="0">
      <w:lvlJc w:val="left"/>
      <w:lvlText w:val="%1."/>
      <w:numFmt w:val="decimal"/>
      <w:start w:val="9"/>
    </w:lvl>
    <w:lvl w:ilvl="1">
      <w:lvlJc w:val="left"/>
      <w:lvlText w:val="%2"/>
      <w:numFmt w:val="lowerLetter"/>
      <w:start w:val="1"/>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lowerLetter"/>
      <w:start w:val="1"/>
    </w:lvl>
    <w:lvl w:ilvl="1">
      <w:lvlJc w:val="left"/>
      <w:lvlText w:val="(%2)"/>
      <w:numFmt w:val="lowerLetter"/>
      <w:start w:val="4"/>
    </w:lvl>
  </w:abstractNum>
  <w:abstractNum w:abstractNumId="46">
    <w:nsid w:val="75C6C33A"/>
    <w:multiLevelType w:val="hybridMultilevel"/>
    <w:lvl w:ilvl="0">
      <w:lvlJc w:val="left"/>
      <w:lvlText w:val="(%1)"/>
      <w:numFmt w:val="lowerLetter"/>
      <w:start w:val="1"/>
    </w:lvl>
    <w:lvl w:ilvl="1">
      <w:lvlJc w:val="left"/>
      <w:lvlText w:val="%2"/>
      <w:numFmt w:val="lowerLetter"/>
      <w:start w:val="1"/>
    </w:lvl>
  </w:abstractNum>
  <w:abstractNum w:abstractNumId="47">
    <w:nsid w:val="12E685FB"/>
    <w:multiLevelType w:val="hybridMultilevel"/>
    <w:lvl w:ilvl="0">
      <w:lvlJc w:val="left"/>
      <w:lvlText w:val="(%1)"/>
      <w:numFmt w:val="lowerLetter"/>
      <w:start w:val="5"/>
    </w:lvl>
  </w:abstractNum>
  <w:abstractNum w:abstractNumId="48">
    <w:nsid w:val="70C6A529"/>
    <w:multiLevelType w:val="hybridMultilevel"/>
    <w:lvl w:ilvl="0">
      <w:lvlJc w:val="left"/>
      <w:lvlText w:val="%1."/>
      <w:numFmt w:val="decimal"/>
      <w:start w:val="10"/>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1."/>
      <w:numFmt w:val="decimal"/>
      <w:start w:val="11"/>
    </w:lvl>
  </w:abstractNum>
  <w:abstractNum w:abstractNumId="51">
    <w:nsid w:val="4F4EF005"/>
    <w:multiLevelType w:val="hybridMultilevel"/>
    <w:lvl w:ilvl="0">
      <w:lvlJc w:val="left"/>
      <w:lvlText w:val="%1."/>
      <w:numFmt w:val="decimal"/>
      <w:start w:val="13"/>
    </w:lvl>
  </w:abstractNum>
  <w:abstractNum w:abstractNumId="52">
    <w:nsid w:val="23F9C13C"/>
    <w:multiLevelType w:val="hybridMultilevel"/>
    <w:lvl w:ilvl="0">
      <w:lvlJc w:val="left"/>
      <w:lvlText w:val="%1."/>
      <w:numFmt w:val="decimal"/>
      <w:start w:val="14"/>
    </w:lvl>
  </w:abstractNum>
  <w:abstractNum w:abstractNumId="53">
    <w:nsid w:val="649BB77C"/>
    <w:multiLevelType w:val="hybridMultilevel"/>
    <w:lvl w:ilvl="0">
      <w:lvlJc w:val="left"/>
      <w:lvlText w:val="%1."/>
      <w:numFmt w:val="decimal"/>
      <w:start w:val="15"/>
    </w:lvl>
  </w:abstractNum>
  <w:abstractNum w:abstractNumId="54">
    <w:nsid w:val="275AC794"/>
    <w:multiLevelType w:val="hybridMultilevel"/>
    <w:lvl w:ilvl="0">
      <w:lvlJc w:val="left"/>
      <w:lvlText w:val="%1."/>
      <w:numFmt w:val="decimal"/>
      <w:start w:val="21"/>
    </w:lvl>
  </w:abstractNum>
  <w:abstractNum w:abstractNumId="55">
    <w:nsid w:val="39386575"/>
    <w:multiLevelType w:val="hybridMultilevel"/>
    <w:lvl w:ilvl="0">
      <w:lvlJc w:val="left"/>
      <w:lvlText w:val="(%1)"/>
      <w:numFmt w:val="lowerLetter"/>
      <w:start w:val="2"/>
    </w:lvl>
  </w:abstractNum>
  <w:abstractNum w:abstractNumId="56">
    <w:nsid w:val="1CF10FD8"/>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2019-12-07T21:52:23Z</dcterms:created>
  <dcterms:modified xsi:type="dcterms:W3CDTF">2019-12-07T21:52:23Z</dcterms:modified>
</cp:coreProperties>
</file>