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May 6, 2020, Blueprint Medicines Corporation (the “Company”) announced its financial results for the quarter ended March 31, 2020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May 6, 2020</w:t>
              </w:r>
            </w:hyperlink>
          </w:p>
        </w:tc>
      </w:tr>
      <w:tr>
        <w:trPr>
          <w:trHeight w:val="230"/>
        </w:trPr>
        <w:tc>
          <w:tcPr>
            <w:tcW w:w="1460" w:type="dxa"/>
            <w:vAlign w:val="bottom"/>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jc w:val="center"/>
        <w:ind w:right="19"/>
        <w:spacing w:after="0"/>
        <w:rPr>
          <w:sz w:val="20"/>
          <w:szCs w:val="20"/>
          <w:color w:val="auto"/>
        </w:rPr>
      </w:pPr>
      <w:r>
        <w:rPr>
          <w:rFonts w:ascii="Arial" w:cs="Arial" w:eastAsia="Arial" w:hAnsi="Arial"/>
          <w:sz w:val="20"/>
          <w:szCs w:val="20"/>
          <w:b w:val="1"/>
          <w:bCs w:val="1"/>
          <w:color w:val="auto"/>
        </w:rPr>
        <w:t>Blueprint Medicines Reports First Quarter 2020 Financial Results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Submitted US and EU marketing applications for pralsetinib for RET fusion-positive NSCLC --</w:t>
      </w:r>
    </w:p>
    <w:p>
      <w:pPr>
        <w:spacing w:after="0" w:line="67" w:lineRule="exact"/>
        <w:rPr>
          <w:sz w:val="20"/>
          <w:szCs w:val="20"/>
          <w:color w:val="auto"/>
        </w:rPr>
      </w:pPr>
    </w:p>
    <w:p>
      <w:pPr>
        <w:ind w:left="2180" w:right="479" w:hanging="1714"/>
        <w:spacing w:after="0" w:line="229" w:lineRule="auto"/>
        <w:tabs>
          <w:tab w:leader="none" w:pos="642"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On track to submit NDA to FDA for pralsetinib for previously treated RET mutant MTC in Q2 2020 under FDA’s Real-Time Oncology Review pilot program --</w:t>
      </w:r>
    </w:p>
    <w:p>
      <w:pPr>
        <w:spacing w:after="0" w:line="47" w:lineRule="exact"/>
        <w:rPr>
          <w:rFonts w:ascii="Arial" w:cs="Arial" w:eastAsia="Arial" w:hAnsi="Arial"/>
          <w:sz w:val="20"/>
          <w:szCs w:val="20"/>
          <w:i w:val="1"/>
          <w:iCs w:val="1"/>
          <w:color w:val="auto"/>
        </w:rPr>
      </w:pPr>
    </w:p>
    <w:p>
      <w:pPr>
        <w:ind w:left="260" w:right="259" w:firstLine="271"/>
        <w:spacing w:after="0" w:line="256" w:lineRule="auto"/>
        <w:tabs>
          <w:tab w:leader="none" w:pos="721"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Multiple abstracts for pralsetinib in RET-altered cancers and avapritinib in systemic mastocytosis accepted for presentation at the ASCO Annual Meeting, EAACI 2020 Congress and EHA Annual Congress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IND for BLU-263 for indolent systemic mastocytosis cleared by FDA --</w:t>
      </w:r>
    </w:p>
    <w:p>
      <w:pPr>
        <w:spacing w:after="0" w:line="67" w:lineRule="exact"/>
        <w:rPr>
          <w:sz w:val="20"/>
          <w:szCs w:val="20"/>
          <w:color w:val="auto"/>
        </w:rPr>
      </w:pPr>
    </w:p>
    <w:p>
      <w:pPr>
        <w:ind w:left="2100" w:right="619" w:hanging="1482"/>
        <w:spacing w:after="0" w:line="242" w:lineRule="auto"/>
        <w:tabs>
          <w:tab w:leader="none" w:pos="803"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AYVAKIT™ (avapritinib) launch in PDGFRA exon 18 mutant GIST underway with reported net product revenue of $3.5M in first partial quarter of launch --</w:t>
      </w:r>
    </w:p>
    <w:p>
      <w:pPr>
        <w:spacing w:after="0" w:line="234" w:lineRule="exact"/>
        <w:rPr>
          <w:sz w:val="20"/>
          <w:szCs w:val="20"/>
          <w:color w:val="auto"/>
        </w:rPr>
      </w:pPr>
    </w:p>
    <w:p>
      <w:pPr>
        <w:ind w:left="200" w:right="379"/>
        <w:spacing w:after="0" w:line="289" w:lineRule="auto"/>
        <w:rPr>
          <w:sz w:val="20"/>
          <w:szCs w:val="20"/>
          <w:color w:val="auto"/>
        </w:rPr>
      </w:pPr>
      <w:r>
        <w:rPr>
          <w:rFonts w:ascii="Arial" w:cs="Arial" w:eastAsia="Arial" w:hAnsi="Arial"/>
          <w:sz w:val="16"/>
          <w:szCs w:val="16"/>
          <w:color w:val="auto"/>
        </w:rPr>
        <w:t>CAMBRIDGE, Mass., May 6, 2020 – Blueprint Medicines Corporation (NASDAQ: BPMC), a precision therapy company focused on genomically defined cancers, rare diseases and cancer immunotherapy, today reported financial results and provided a business update for the first quarter ended March 31, 2020.</w:t>
      </w:r>
    </w:p>
    <w:p>
      <w:pPr>
        <w:spacing w:after="0" w:line="91" w:lineRule="exact"/>
        <w:rPr>
          <w:sz w:val="20"/>
          <w:szCs w:val="20"/>
          <w:color w:val="auto"/>
        </w:rPr>
      </w:pPr>
    </w:p>
    <w:p>
      <w:pPr>
        <w:ind w:left="200" w:right="219"/>
        <w:spacing w:after="0" w:line="222" w:lineRule="auto"/>
        <w:rPr>
          <w:sz w:val="20"/>
          <w:szCs w:val="20"/>
          <w:color w:val="auto"/>
        </w:rPr>
      </w:pPr>
      <w:r>
        <w:rPr>
          <w:rFonts w:ascii="Arial" w:cs="Arial" w:eastAsia="Arial" w:hAnsi="Arial"/>
          <w:sz w:val="18"/>
          <w:szCs w:val="18"/>
          <w:color w:val="auto"/>
        </w:rPr>
        <w:t>“Our progress in recent months is a testament to the agility of the Blueprint Medicines team and the strength of our fully-integrated business,” said Jeff Albers, Chief Executive Officer of Blueprint Medicines. “Despite challenges related to the COVID-19 pandemic and top-line results from the VOYAGER trial, we broadly executed against our planned milestones, including the submission of marketing applications for pralsetinib for RET fusion-positive non-small cell lung cancer in the U.S. and Europe and the reporting of transformative datasets for avapritinib in systemic mastocytosis and pralsetinib in RET-altered</w:t>
      </w:r>
    </w:p>
    <w:p>
      <w:pPr>
        <w:spacing w:after="0" w:line="1" w:lineRule="exact"/>
        <w:rPr>
          <w:sz w:val="20"/>
          <w:szCs w:val="20"/>
          <w:color w:val="auto"/>
        </w:rPr>
      </w:pPr>
    </w:p>
    <w:p>
      <w:pPr>
        <w:ind w:left="200" w:right="3259"/>
        <w:spacing w:after="0" w:line="388" w:lineRule="auto"/>
        <w:rPr>
          <w:sz w:val="20"/>
          <w:szCs w:val="20"/>
          <w:color w:val="auto"/>
        </w:rPr>
      </w:pPr>
      <w:r>
        <w:rPr>
          <w:rFonts w:ascii="Arial" w:cs="Arial" w:eastAsia="Arial" w:hAnsi="Arial"/>
          <w:sz w:val="20"/>
          <w:szCs w:val="20"/>
          <w:color w:val="auto"/>
        </w:rPr>
        <w:t xml:space="preserve">cancers, paving the way for multiple planned launches through 2021.” </w:t>
      </w:r>
      <w:r>
        <w:rPr>
          <w:rFonts w:ascii="Arial" w:cs="Arial" w:eastAsia="Arial" w:hAnsi="Arial"/>
          <w:sz w:val="20"/>
          <w:szCs w:val="20"/>
          <w:b w:val="1"/>
          <w:bCs w:val="1"/>
          <w:color w:val="auto"/>
        </w:rPr>
        <w:t>First Quarter 2020 Highlights and Recent Updates Avapritinib: systemic mastocytosis (SM)</w:t>
      </w:r>
    </w:p>
    <w:p>
      <w:pPr>
        <w:spacing w:after="0" w:line="3" w:lineRule="exact"/>
        <w:rPr>
          <w:sz w:val="20"/>
          <w:szCs w:val="20"/>
          <w:color w:val="auto"/>
        </w:rPr>
      </w:pPr>
    </w:p>
    <w:p>
      <w:pPr>
        <w:ind w:left="540" w:right="519" w:hanging="331"/>
        <w:spacing w:after="0" w:line="21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Announced results from Part 1 of the Phase 2 PIONEER trial in patients with indolent SM, which showed treatment with avapritinib at the recommended Part 2 dose of 25 mg once daily showed improvements in symptom scores, measures of mast cell burden and patient-reported quality of life. Avapritinib was well-tolerated, and no patients discontinued treatment due to an adverse event (AE). Read the press release here.</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Avapritinib: gastrointestinal stromal tumors (GIST)</w:t>
      </w:r>
    </w:p>
    <w:p>
      <w:pPr>
        <w:spacing w:after="0" w:line="154" w:lineRule="exact"/>
        <w:rPr>
          <w:sz w:val="20"/>
          <w:szCs w:val="20"/>
          <w:color w:val="auto"/>
        </w:rPr>
      </w:pPr>
    </w:p>
    <w:p>
      <w:pPr>
        <w:ind w:left="540" w:right="679" w:hanging="331"/>
        <w:spacing w:after="0" w:line="21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Launched AYVAKIT in the U.S. for the treatment of adults with unresectable or metastatic GIST harboring a PDGFRA exon 18 mutations, including PDGFRA D842V mutations, and achieved net product revenue of $3.5 million in the first partial quarter of the launch.</w:t>
      </w:r>
    </w:p>
    <w:p>
      <w:pPr>
        <w:spacing w:after="0" w:line="1" w:lineRule="exact"/>
        <w:rPr>
          <w:rFonts w:ascii="Arial" w:cs="Arial" w:eastAsia="Arial" w:hAnsi="Arial"/>
          <w:sz w:val="19"/>
          <w:szCs w:val="19"/>
          <w:color w:val="auto"/>
        </w:rPr>
      </w:pPr>
    </w:p>
    <w:p>
      <w:pPr>
        <w:ind w:left="540" w:right="239" w:hanging="331"/>
        <w:spacing w:after="0" w:line="206" w:lineRule="auto"/>
        <w:tabs>
          <w:tab w:leader="none" w:pos="5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Announced top-line data from the Phase 3 VOYAGER trial of avapritinib versus regorafenib in third- or fourth-line GIST. The VOYAGER trial did not meet its primary endpoint of an improvement in progression-free survival for avapritinib versus regorafenib. Based on the top-line results, Blueprint Medicines plans to discontinue further development of avapritinib in GIST indications other than PDGFRA exon 18 mutant GIST. Read the press release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4"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20"/>
          <w:szCs w:val="20"/>
          <w:b w:val="1"/>
          <w:bCs w:val="1"/>
          <w:color w:val="auto"/>
        </w:rPr>
        <w:t>Pralsetinib: RET-altered cancers</w:t>
      </w:r>
    </w:p>
    <w:p>
      <w:pPr>
        <w:spacing w:after="0" w:line="154" w:lineRule="exact"/>
        <w:rPr>
          <w:sz w:val="20"/>
          <w:szCs w:val="20"/>
          <w:color w:val="auto"/>
        </w:rPr>
      </w:pPr>
    </w:p>
    <w:p>
      <w:pPr>
        <w:ind w:left="540" w:right="259" w:hanging="339"/>
        <w:spacing w:after="0" w:line="200" w:lineRule="auto"/>
        <w:tabs>
          <w:tab w:leader="none" w:pos="520" w:val="left"/>
        </w:tabs>
        <w:rPr>
          <w:sz w:val="20"/>
          <w:szCs w:val="20"/>
          <w:color w:val="auto"/>
        </w:rPr>
      </w:pPr>
      <w:r>
        <w:rPr>
          <w:rFonts w:ascii="Arial" w:cs="Arial" w:eastAsia="Arial" w:hAnsi="Arial"/>
          <w:sz w:val="20"/>
          <w:szCs w:val="20"/>
          <w:color w:val="auto"/>
        </w:rPr>
        <w:t>-</w:t>
        <w:tab/>
        <w:t>Announced top-line data from the Phase 1/2 ARROW trial of pralsetinib in patients with RET fusion-positive non-small cell lung cancer (NSCLC). The top-line data showed overall response rates (ORRs) of 61 percent in patients previously treated with platinum-based chemotherapy and 73 percent in patients naïve to prior systemic therapy. In both populations, the median duration of response (DOR) was not reached. Pralsetinib was well-tolerated, and most AEs were grade 1 or 2. Read the press release here.</w:t>
      </w:r>
    </w:p>
    <w:p>
      <w:pPr>
        <w:ind w:left="540" w:right="319" w:hanging="331"/>
        <w:spacing w:after="0" w:line="21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the submission of a new drug application (NDA) to the U.S. Food and Drug Administration (FDA) and a marketing authorization application to the European Medicines Agency for pralsetinib for the treatment of patients with RET fusion-positive NSCLC. In connection with the NDA submission, Blueprint Medicines plans to participate in the FDA’s Project Orbis initiative, which provides a framework for concurrent submission and review of marketing applications for oncology drugs across participating global health authorities. Additional information about the FDA’s Project</w:t>
      </w:r>
    </w:p>
    <w:p>
      <w:pPr>
        <w:ind w:left="540"/>
        <w:spacing w:after="0" w:line="197" w:lineRule="auto"/>
        <w:rPr>
          <w:rFonts w:ascii="Arial" w:cs="Arial" w:eastAsia="Arial" w:hAnsi="Arial"/>
          <w:sz w:val="18"/>
          <w:szCs w:val="18"/>
          <w:color w:val="auto"/>
        </w:rPr>
      </w:pPr>
      <w:r>
        <w:rPr>
          <w:rFonts w:ascii="Arial" w:cs="Arial" w:eastAsia="Arial" w:hAnsi="Arial"/>
          <w:sz w:val="20"/>
          <w:szCs w:val="20"/>
          <w:color w:val="auto"/>
        </w:rPr>
        <w:t>Orbis initiative can be found here.</w:t>
      </w:r>
    </w:p>
    <w:p>
      <w:pPr>
        <w:ind w:left="540" w:right="239" w:hanging="331"/>
        <w:spacing w:after="0" w:line="206"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Announced top-line data from the Phase 1/2 ARROW trial of pralsetinib in patients with RET mutant medullary thyroid cancer (MTC). The top-line data showed ORRs of 60 percent in patients previously treated with a multi-kinase inhibitor and 74 percent in patients naïve to prior systemic treatment. In both populations, the median DOR was not reached. Pralsetinib was well-tolerated, and most AEs were grade 1 or 2. Read the press release here.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BLU-263: SM</w:t>
      </w:r>
    </w:p>
    <w:p>
      <w:pPr>
        <w:spacing w:after="0" w:line="154" w:lineRule="exact"/>
        <w:rPr>
          <w:sz w:val="20"/>
          <w:szCs w:val="20"/>
          <w:color w:val="auto"/>
        </w:rPr>
      </w:pPr>
    </w:p>
    <w:p>
      <w:pPr>
        <w:ind w:left="540" w:right="439" w:hanging="331"/>
        <w:spacing w:after="0" w:line="229" w:lineRule="auto"/>
        <w:tabs>
          <w:tab w:leader="none" w:pos="5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Received clearance from the FDA for an investigational new drug (IND) application for BLU-263 for the treatment of patients with indolent SM.</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Key Upcoming Milestones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company expects to achieve the following near-term milestones:</w:t>
      </w:r>
    </w:p>
    <w:p>
      <w:pPr>
        <w:ind w:left="860" w:right="359" w:hanging="327"/>
        <w:spacing w:after="0" w:line="197"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Submit an NDA to the FDA for pralsetinib for the treatment of patients with MTC previously treated with an approved multi-kinase inhibitor in the second quarter of 2020 under the FDA’s Oncology Center of Excellence Real-Time Oncology Review pilot program (RTOR program). The FDA’s RTOR program aims to explore a more efficient review process to ensure that safe and effective treatments are available to patients as early as possible, while maintaining and improving review quality by the FDA. Additional information about the FDA’s RTOR program can be found here.</w:t>
      </w:r>
    </w:p>
    <w:p>
      <w:pPr>
        <w:spacing w:after="0" w:line="1" w:lineRule="exact"/>
        <w:rPr>
          <w:rFonts w:ascii="Arial" w:cs="Arial" w:eastAsia="Arial" w:hAnsi="Arial"/>
          <w:sz w:val="20"/>
          <w:szCs w:val="20"/>
          <w:color w:val="auto"/>
        </w:rPr>
      </w:pPr>
    </w:p>
    <w:p>
      <w:pPr>
        <w:ind w:left="860" w:right="379" w:hanging="327"/>
        <w:spacing w:after="0" w:line="197"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updated data from the ARROW trial of pralsetinib in RET-altered cancers at the American Society of Clinical Oncology (ASCO) Annual Meeting.</w:t>
      </w:r>
    </w:p>
    <w:p>
      <w:pPr>
        <w:ind w:left="860" w:right="819" w:hanging="327"/>
        <w:spacing w:after="0" w:line="207" w:lineRule="auto"/>
        <w:tabs>
          <w:tab w:leader="none" w:pos="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Present additional data from Part 1 of the PIONEER trial of avapritinib in indolent SM at the European Academy of Allergy and Clinical Immunology (EAACI) 2020 Congress.</w:t>
      </w:r>
    </w:p>
    <w:p>
      <w:pPr>
        <w:spacing w:after="0" w:line="1" w:lineRule="exact"/>
        <w:rPr>
          <w:rFonts w:ascii="Arial" w:cs="Arial" w:eastAsia="Arial" w:hAnsi="Arial"/>
          <w:sz w:val="19"/>
          <w:szCs w:val="19"/>
          <w:color w:val="auto"/>
        </w:rPr>
      </w:pPr>
    </w:p>
    <w:p>
      <w:pPr>
        <w:ind w:left="860" w:right="619" w:hanging="327"/>
        <w:spacing w:after="0" w:line="197"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Present updated data from the EXPLORER trial of avapritinib in advanced SM at the European Hematology Association (EHA) 25</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Annual Congress.</w:t>
      </w:r>
    </w:p>
    <w:p>
      <w:pPr>
        <w:ind w:left="860" w:right="339" w:hanging="327"/>
        <w:spacing w:after="0" w:line="197"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Initiate patient screening for the registration-enabling Part 2 of the PIONEER trial of avapritinib in indolent SM in June 2020.</w:t>
      </w:r>
    </w:p>
    <w:p>
      <w:pPr>
        <w:ind w:left="860" w:hanging="327"/>
        <w:spacing w:after="0" w:line="197"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Initiate a Phase 1 trial of BLU-263 in healthy volunteers in June 2020.</w:t>
      </w:r>
    </w:p>
    <w:p>
      <w:pPr>
        <w:ind w:left="860" w:right="299" w:hanging="327"/>
        <w:spacing w:after="0" w:line="220"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Report top-line data from the EXPLORER and PATHFINDER trials of avapritinib in advanced SM in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20"/>
          <w:szCs w:val="20"/>
          <w:b w:val="1"/>
          <w:bCs w:val="1"/>
          <w:color w:val="auto"/>
        </w:rPr>
        <w:t>Response to the COVID-19 Pandemic and Potential Business Impacts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evolving and uncertain global impacts of the COVID-19 pandemic, Blueprint Medicines cannot</w:t>
      </w:r>
    </w:p>
    <w:p>
      <w:pPr>
        <w:ind w:left="200"/>
        <w:spacing w:after="0" w:line="197" w:lineRule="auto"/>
        <w:rPr>
          <w:sz w:val="20"/>
          <w:szCs w:val="20"/>
          <w:color w:val="auto"/>
        </w:rPr>
      </w:pPr>
      <w:r>
        <w:rPr>
          <w:rFonts w:ascii="Arial" w:cs="Arial" w:eastAsia="Arial" w:hAnsi="Arial"/>
          <w:sz w:val="20"/>
          <w:szCs w:val="20"/>
          <w:color w:val="auto"/>
        </w:rPr>
        <w:t>precisely determine or quantify the impact this pandemic will have on its business, operations</w:t>
      </w:r>
    </w:p>
    <w:p>
      <w:pPr>
        <w:ind w:left="260"/>
        <w:spacing w:after="0" w:line="219" w:lineRule="auto"/>
        <w:rPr>
          <w:sz w:val="20"/>
          <w:szCs w:val="20"/>
          <w:color w:val="auto"/>
        </w:rPr>
      </w:pPr>
      <w:r>
        <w:rPr>
          <w:rFonts w:ascii="Arial" w:cs="Arial" w:eastAsia="Arial" w:hAnsi="Arial"/>
          <w:sz w:val="18"/>
          <w:szCs w:val="18"/>
          <w:color w:val="auto"/>
        </w:rPr>
        <w:t>(including clinical trials) and financial performance for the remainder of our fiscal year ending December</w:t>
      </w:r>
    </w:p>
    <w:p>
      <w:pPr>
        <w:ind w:left="200"/>
        <w:spacing w:after="0"/>
        <w:rPr>
          <w:sz w:val="20"/>
          <w:szCs w:val="20"/>
          <w:color w:val="auto"/>
        </w:rPr>
      </w:pPr>
      <w:r>
        <w:rPr>
          <w:rFonts w:ascii="Arial" w:cs="Arial" w:eastAsia="Arial" w:hAnsi="Arial"/>
          <w:sz w:val="20"/>
          <w:szCs w:val="20"/>
          <w:color w:val="auto"/>
        </w:rPr>
        <w:t>31, 2020 and beyond.</w:t>
      </w:r>
    </w:p>
    <w:p>
      <w:pPr>
        <w:spacing w:after="0" w:line="132" w:lineRule="exact"/>
        <w:rPr>
          <w:sz w:val="20"/>
          <w:szCs w:val="20"/>
          <w:color w:val="auto"/>
        </w:rPr>
      </w:pPr>
    </w:p>
    <w:p>
      <w:pPr>
        <w:jc w:val="both"/>
        <w:ind w:left="860" w:right="459" w:hanging="327"/>
        <w:spacing w:after="0" w:line="213" w:lineRule="auto"/>
        <w:tabs>
          <w:tab w:leader="none" w:pos="86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 ongoing and planned clinical trials, while the company anticipates and has experienced some temporary delays or disruptions due to the COVID-19 pandemic, Blueprint Medicines is working with any impacted clinical trial sites to ensure study continuity.</w:t>
      </w:r>
    </w:p>
    <w:p>
      <w:pPr>
        <w:spacing w:after="0" w:line="1" w:lineRule="exact"/>
        <w:rPr>
          <w:rFonts w:ascii="Arial" w:cs="Arial" w:eastAsia="Arial" w:hAnsi="Arial"/>
          <w:sz w:val="19"/>
          <w:szCs w:val="19"/>
          <w:color w:val="auto"/>
        </w:rPr>
      </w:pPr>
    </w:p>
    <w:p>
      <w:pPr>
        <w:jc w:val="both"/>
        <w:ind w:left="860" w:right="619" w:hanging="327"/>
        <w:spacing w:after="0" w:line="21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Blueprint Medicines currently has sufficient supply to meet anticipated global commercial and clinical development needs for avapritinib, pralsetinib, fisogatinib and BLU-263 through 2021. However, the COVID-19 pandemic could adversely impact Blueprint Medicines’ suppliers and result in delays or disruptions in the company’s current or future supply chain.</w:t>
      </w:r>
    </w:p>
    <w:p>
      <w:pPr>
        <w:ind w:left="860" w:right="319" w:hanging="327"/>
        <w:spacing w:after="0" w:line="206" w:lineRule="auto"/>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Blueprint Medicines has shifted commercial and medical affairs field activities across its portfolio toward virtual formats where possible in order to allow the company to continue to serve the needs of healthcare providers, patients and other stakeholders during this critical time. As the pandemic evolves, the company anticipates utilizing a mix of in-person and virtual engagement formats, as is locally and regionally appropriate.</w:t>
      </w:r>
    </w:p>
    <w:p>
      <w:pPr>
        <w:spacing w:after="0" w:line="131" w:lineRule="exact"/>
        <w:rPr>
          <w:sz w:val="20"/>
          <w:szCs w:val="20"/>
          <w:color w:val="auto"/>
        </w:rPr>
      </w:pPr>
    </w:p>
    <w:p>
      <w:pPr>
        <w:ind w:left="200" w:right="279"/>
        <w:spacing w:after="0" w:line="213" w:lineRule="auto"/>
        <w:rPr>
          <w:sz w:val="20"/>
          <w:szCs w:val="20"/>
          <w:color w:val="auto"/>
        </w:rPr>
      </w:pPr>
      <w:r>
        <w:rPr>
          <w:rFonts w:ascii="Arial" w:cs="Arial" w:eastAsia="Arial" w:hAnsi="Arial"/>
          <w:sz w:val="20"/>
          <w:szCs w:val="20"/>
          <w:color w:val="auto"/>
        </w:rPr>
        <w:t>Blueprint Medicines will continue to assess potential impacts of the COVID-19 pandemic and seek to advance the company’s pipeline of targeted therapies as quickly as possible, while making the health and safety of the company’s employees and their families, healthcare providers, patients and communities a top priority.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First Quarter 2020 Financial Results</w:t>
      </w:r>
    </w:p>
    <w:p>
      <w:pPr>
        <w:spacing w:after="0" w:line="148" w:lineRule="exact"/>
        <w:rPr>
          <w:sz w:val="20"/>
          <w:szCs w:val="20"/>
          <w:color w:val="auto"/>
        </w:rPr>
      </w:pPr>
    </w:p>
    <w:p>
      <w:pPr>
        <w:ind w:left="860" w:right="259" w:hanging="327"/>
        <w:spacing w:after="0" w:line="213" w:lineRule="auto"/>
        <w:tabs>
          <w:tab w:leader="none" w:pos="86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March 31, 2020, cash, cash equivalents and investments were $750.4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as compared to $548.0 million as of December 31, 2019. This increase was primarily related to $308.4 million in estimated net proceeds received from the company’s January 2020 follow-on underwritten public offering, partially offset by cash used in operating activities.</w:t>
      </w:r>
    </w:p>
    <w:p>
      <w:pPr>
        <w:spacing w:after="0" w:line="2" w:lineRule="exact"/>
        <w:rPr>
          <w:rFonts w:ascii="Arial" w:cs="Arial" w:eastAsia="Arial" w:hAnsi="Arial"/>
          <w:sz w:val="19"/>
          <w:szCs w:val="19"/>
          <w:color w:val="auto"/>
        </w:rPr>
      </w:pPr>
    </w:p>
    <w:p>
      <w:pPr>
        <w:ind w:left="860" w:right="439" w:hanging="327"/>
        <w:spacing w:after="0" w:line="197"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Revenues were $6.2 million for the first quarter of 2020, including $3.5 million of net</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revenues from sales of AYVAKIT and $2.7 million in collaboration revenues under the collaboration agreements with CStone and Roche. Blueprint Medicines recorded $0.7 million in collaboration revenues for the first quarter of 2019.</w:t>
      </w:r>
    </w:p>
    <w:p>
      <w:pPr>
        <w:ind w:left="860" w:right="319" w:hanging="327"/>
        <w:spacing w:after="0" w:line="197" w:lineRule="auto"/>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Cost of sales was less than $0.1 million for the first quarter of 2020.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Medicines did not incur cost of sales in the first quarter of 2019 as no product sales were generated during that period.</w:t>
      </w:r>
    </w:p>
    <w:p>
      <w:pPr>
        <w:ind w:left="860" w:right="319" w:hanging="327"/>
        <w:spacing w:after="0" w:line="21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$84.1 million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as compared to $74.3 million for the first quarter of 2019. This increase was primarily due to increased clinical and manufacturing costs and personnel expenses driven by the progression of Blueprint Medicines’ lead programs. Research and development expenses included $7.8 million in stock-based compensation expenses for the first quarter of 2020.</w:t>
      </w:r>
    </w:p>
    <w:p>
      <w:pPr>
        <w:ind w:left="860" w:right="479" w:hanging="327"/>
        <w:spacing w:after="0" w:line="232"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$35.7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as compared to $16.6 million for the first quarter of 2019. This increase was primarily due to increased costs and personnel expenses associated with building Blueprint Medicines’ commercial infrastructure for the commercialization of AYVAKIT and to support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6" w:name="page7"/>
    <w:bookmarkEnd w:id="6"/>
    <w:p>
      <w:pPr>
        <w:ind w:left="860" w:right="739"/>
        <w:spacing w:after="0" w:line="228" w:lineRule="auto"/>
        <w:rPr>
          <w:sz w:val="20"/>
          <w:szCs w:val="20"/>
          <w:color w:val="auto"/>
        </w:rPr>
      </w:pPr>
      <w:r>
        <w:rPr>
          <w:rFonts w:ascii="Arial" w:cs="Arial" w:eastAsia="Arial" w:hAnsi="Arial"/>
          <w:sz w:val="18"/>
          <w:szCs w:val="18"/>
          <w:color w:val="auto"/>
        </w:rPr>
        <w:t>overall growth of the company’s business. General and administrative expenses included $9.1 million in stock-based compensation expenses for the first quarter of 2020.</w:t>
      </w:r>
    </w:p>
    <w:p>
      <w:pPr>
        <w:spacing w:after="0" w:line="1" w:lineRule="exact"/>
        <w:rPr>
          <w:sz w:val="20"/>
          <w:szCs w:val="20"/>
          <w:color w:val="auto"/>
        </w:rPr>
      </w:pPr>
    </w:p>
    <w:p>
      <w:pPr>
        <w:ind w:left="860" w:right="339" w:hanging="327"/>
        <w:spacing w:after="0" w:line="213"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$111.0 million for the first quarter of 2020, or a net loss per share of $2.11,</w:t>
      </w:r>
      <w:r>
        <w:rPr>
          <w:rFonts w:ascii="Arial" w:cs="Arial" w:eastAsia="Arial" w:hAnsi="Arial"/>
          <w:sz w:val="20"/>
          <w:szCs w:val="20"/>
          <w:b w:val="1"/>
          <w:bCs w:val="1"/>
          <w:color w:val="auto"/>
        </w:rPr>
        <w:t xml:space="preserve"> </w:t>
      </w:r>
      <w:r>
        <w:rPr>
          <w:rFonts w:ascii="Arial" w:cs="Arial" w:eastAsia="Arial" w:hAnsi="Arial"/>
          <w:sz w:val="20"/>
          <w:szCs w:val="20"/>
          <w:color w:val="auto"/>
        </w:rPr>
        <w:t>as compared to a net loss of $87.4 million for the first quarter of 2019, or a net loss per share of $1.98.</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ind w:left="200" w:right="439"/>
        <w:spacing w:after="0" w:line="275" w:lineRule="auto"/>
        <w:rPr>
          <w:sz w:val="20"/>
          <w:szCs w:val="20"/>
          <w:color w:val="auto"/>
        </w:rPr>
      </w:pPr>
      <w:r>
        <w:rPr>
          <w:rFonts w:ascii="Arial" w:cs="Arial" w:eastAsia="Arial" w:hAnsi="Arial"/>
          <w:sz w:val="16"/>
          <w:szCs w:val="16"/>
          <w:color w:val="auto"/>
        </w:rPr>
        <w:t>Based on its current operating plans, Blueprint Medicines expects that its existing cash, cash equivalents and investments, together with anticipated product revenues but excluding any potential option fees, milestone payments or other payments under its collaboration or license agreements, will be sufficient to enable it to fund its operating expenses and capital expenditure requirements into the second half of 2022.</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ind w:left="200" w:right="279"/>
        <w:spacing w:after="0" w:line="256" w:lineRule="auto"/>
        <w:rPr>
          <w:sz w:val="20"/>
          <w:szCs w:val="20"/>
          <w:color w:val="auto"/>
        </w:rPr>
      </w:pPr>
      <w:r>
        <w:rPr>
          <w:rFonts w:ascii="Arial" w:cs="Arial" w:eastAsia="Arial" w:hAnsi="Arial"/>
          <w:sz w:val="16"/>
          <w:szCs w:val="16"/>
          <w:color w:val="auto"/>
        </w:rPr>
        <w:t>Blueprint Medicines will host a live conference call and webcast at 8:30 a.m. ET today to discuss first quarter 2020 financial results and recent business activities. The conference call may be accessed by dialing</w:t>
      </w:r>
    </w:p>
    <w:p>
      <w:pPr>
        <w:spacing w:after="0" w:line="1" w:lineRule="exact"/>
        <w:rPr>
          <w:sz w:val="20"/>
          <w:szCs w:val="20"/>
          <w:color w:val="auto"/>
        </w:rPr>
      </w:pPr>
    </w:p>
    <w:p>
      <w:pPr>
        <w:ind w:left="200" w:right="219" w:firstLine="9"/>
        <w:spacing w:after="0" w:line="206" w:lineRule="auto"/>
        <w:tabs>
          <w:tab w:leader="none" w:pos="6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728-4793 (domestic) or (503) 343-6666 (international), and referring to conference ID 7980947.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200" w:right="339"/>
        <w:spacing w:after="0" w:line="228"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precision therapy approved by the U.S. Food and Drug Administration and are currently advancing multiple investigational medicines in clinical development, along with a number of research programs. For more information, visit www.BlueprintMedicines.com and follow us on Twitter (@BlueprintMeds) and LinkedIn.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ind w:left="200" w:right="359"/>
        <w:spacing w:after="0" w:line="22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development of AYVAKIT (avapritinib), pralsetinib, fisogatinib, and BLU-263, including the timing, designs, implementation, enrollment, plans and announcement of results regarding Blueprint Medicines' ongoing and planned clinical trials; plans and timelines for submitting marketing applications for avapritinib and pralsetinib and, if approved, commercializing avapritinib for additional indications or pralsetinib; the impact of the COVID-19 pandemic on Blueprint Medicines’ business, operations and financial performance; the potential benefits of the FDA’s RTOR program or the FDA’s Project Orbis initiative; the potential benefits of Blueprint Medicines' current and future approved drugs or drug candidates in treating patients; expectations regarding Blueprint Medicines' existing cash, cash equivalents and investments; and Blueprint Medicines' strategy, goals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7" w:name="page8"/>
    <w:bookmarkEnd w:id="7"/>
    <w:p>
      <w:pPr>
        <w:ind w:left="200" w:right="219"/>
        <w:spacing w:after="0" w:line="219" w:lineRule="auto"/>
        <w:rPr>
          <w:sz w:val="20"/>
          <w:szCs w:val="20"/>
          <w:color w:val="auto"/>
        </w:rPr>
      </w:pPr>
      <w:r>
        <w:rPr>
          <w:rFonts w:ascii="Arial" w:cs="Arial" w:eastAsia="Arial" w:hAnsi="Arial"/>
          <w:sz w:val="18"/>
          <w:szCs w:val="18"/>
          <w:color w:val="auto"/>
        </w:rPr>
        <w:t>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its approved product; Blueprint Medicines’ ability to successfully expand the approved indications for AYVAKIT or obtain marketing approval for AYVAKIT in additional geographies in the future;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w:t>
      </w:r>
    </w:p>
    <w:p>
      <w:pPr>
        <w:spacing w:after="0" w:line="19" w:lineRule="exact"/>
        <w:rPr>
          <w:sz w:val="20"/>
          <w:szCs w:val="20"/>
          <w:color w:val="auto"/>
        </w:rPr>
      </w:pPr>
    </w:p>
    <w:p>
      <w:pPr>
        <w:ind w:left="200" w:right="279"/>
        <w:spacing w:after="0" w:line="206" w:lineRule="auto"/>
        <w:rPr>
          <w:sz w:val="20"/>
          <w:szCs w:val="20"/>
          <w:color w:val="auto"/>
        </w:rPr>
      </w:pPr>
      <w:r>
        <w:rPr>
          <w:rFonts w:ascii="Arial" w:cs="Arial" w:eastAsia="Arial" w:hAnsi="Arial"/>
          <w:sz w:val="20"/>
          <w:szCs w:val="20"/>
          <w:color w:val="auto"/>
        </w:rPr>
        <w:t>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Blueprint Medicines Corporation</w:t>
      </w:r>
    </w:p>
    <w:p>
      <w:pPr>
        <w:jc w:val="center"/>
        <w:ind w:right="19"/>
        <w:spacing w:after="0"/>
        <w:rPr>
          <w:sz w:val="20"/>
          <w:szCs w:val="20"/>
          <w:color w:val="auto"/>
        </w:rPr>
      </w:pPr>
      <w:r>
        <w:rPr>
          <w:rFonts w:ascii="Arial" w:cs="Arial" w:eastAsia="Arial" w:hAnsi="Arial"/>
          <w:sz w:val="16"/>
          <w:szCs w:val="16"/>
          <w:b w:val="1"/>
          <w:bCs w:val="1"/>
          <w:color w:val="auto"/>
        </w:rPr>
        <w:t>Selected Condensed Consolidated Balance Sheet Data</w:t>
      </w:r>
    </w:p>
    <w:p>
      <w:pPr>
        <w:jc w:val="center"/>
        <w:ind w:right="19"/>
        <w:spacing w:after="0" w:line="202" w:lineRule="auto"/>
        <w:rPr>
          <w:sz w:val="20"/>
          <w:szCs w:val="20"/>
          <w:color w:val="auto"/>
        </w:rPr>
      </w:pPr>
      <w:r>
        <w:rPr>
          <w:rFonts w:ascii="Arial" w:cs="Arial" w:eastAsia="Arial" w:hAnsi="Arial"/>
          <w:sz w:val="20"/>
          <w:szCs w:val="20"/>
          <w:b w:val="1"/>
          <w:bCs w:val="1"/>
          <w:color w:val="auto"/>
        </w:rPr>
        <w:t>(in thousands)</w:t>
      </w:r>
    </w:p>
    <w:p>
      <w:pPr>
        <w:jc w:val="center"/>
        <w:ind w:right="19"/>
        <w:spacing w:after="0"/>
        <w:rPr>
          <w:sz w:val="20"/>
          <w:szCs w:val="20"/>
          <w:color w:val="auto"/>
        </w:rPr>
      </w:pPr>
      <w:r>
        <w:rPr>
          <w:rFonts w:ascii="Arial" w:cs="Arial" w:eastAsia="Arial" w:hAnsi="Arial"/>
          <w:sz w:val="20"/>
          <w:szCs w:val="20"/>
          <w:b w:val="1"/>
          <w:bCs w:val="1"/>
          <w:i w:val="1"/>
          <w:iCs w:val="1"/>
          <w:color w:val="auto"/>
        </w:rPr>
        <w:t>(unaudited)</w:t>
      </w:r>
    </w:p>
    <w:p>
      <w:pPr>
        <w:sectPr>
          <w:pgSz w:w="11900" w:h="16838" w:orient="portrait"/>
          <w:cols w:equalWidth="0" w:num="1">
            <w:col w:w="9019"/>
          </w:cols>
          <w:pgMar w:left="1440" w:top="4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cash equivalents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545211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Working capital (1)</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545211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Deferred revenue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545211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Total stockholders’ equity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March 31,</w:t>
            </w:r>
          </w:p>
        </w:tc>
        <w:tc>
          <w:tcPr>
            <w:tcW w:w="220" w:type="dxa"/>
            <w:vAlign w:val="bottom"/>
            <w:vMerge w:val="restart"/>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88"/>
              </w:rPr>
              <w:t>December</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ind w:right="341"/>
              <w:spacing w:after="0" w:line="216" w:lineRule="exact"/>
              <w:rPr>
                <w:sz w:val="20"/>
                <w:szCs w:val="20"/>
                <w:color w:val="auto"/>
              </w:rPr>
            </w:pPr>
            <w:r>
              <w:rPr>
                <w:rFonts w:ascii="Arial" w:cs="Arial" w:eastAsia="Arial" w:hAnsi="Arial"/>
                <w:sz w:val="20"/>
                <w:szCs w:val="20"/>
                <w:b w:val="1"/>
                <w:bCs w:val="1"/>
                <w:color w:val="auto"/>
              </w:rPr>
              <w:t>31,</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520"/>
        <w:spacing w:after="0"/>
        <w:tabs>
          <w:tab w:leader="none" w:pos="1820" w:val="left"/>
        </w:tabs>
        <w:rPr>
          <w:sz w:val="20"/>
          <w:szCs w:val="20"/>
          <w:color w:val="auto"/>
        </w:rPr>
      </w:pPr>
      <w:r>
        <w:rPr>
          <w:rFonts w:ascii="Arial" w:cs="Arial" w:eastAsia="Arial" w:hAnsi="Arial"/>
          <w:sz w:val="20"/>
          <w:szCs w:val="20"/>
          <w:b w:val="1"/>
          <w:bCs w:val="1"/>
          <w:color w:val="auto"/>
        </w:rPr>
        <w:t>2020</w:t>
      </w:r>
      <w:r>
        <w:rPr>
          <w:sz w:val="20"/>
          <w:szCs w:val="20"/>
          <w:color w:val="auto"/>
        </w:rPr>
        <w:tab/>
      </w:r>
      <w:r>
        <w:rPr>
          <w:rFonts w:ascii="Arial" w:cs="Arial" w:eastAsia="Arial" w:hAnsi="Arial"/>
          <w:sz w:val="20"/>
          <w:szCs w:val="20"/>
          <w:b w:val="1"/>
          <w:bCs w:val="1"/>
          <w:color w:val="auto"/>
        </w:rPr>
        <w:t>2019</w:t>
      </w:r>
    </w:p>
    <w:p>
      <w:pPr>
        <w:ind w:left="600" w:hanging="550"/>
        <w:spacing w:after="0"/>
        <w:tabs>
          <w:tab w:leader="none" w:pos="6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750,430   $   547,960</w:t>
      </w:r>
    </w:p>
    <w:p>
      <w:pPr>
        <w:spacing w:after="0" w:line="17"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606,395</w:t>
      </w:r>
      <w:r>
        <w:rPr>
          <w:rFonts w:ascii="Arial" w:cs="Arial" w:eastAsia="Arial" w:hAnsi="Arial"/>
          <w:sz w:val="16"/>
          <w:szCs w:val="16"/>
          <w:color w:val="auto"/>
        </w:rPr>
        <w:t>410,304</w:t>
      </w:r>
    </w:p>
    <w:p>
      <w:pPr>
        <w:spacing w:after="0" w:line="19"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913,623</w:t>
      </w:r>
      <w:r>
        <w:rPr>
          <w:rFonts w:ascii="Arial" w:cs="Arial" w:eastAsia="Arial" w:hAnsi="Arial"/>
          <w:sz w:val="16"/>
          <w:szCs w:val="16"/>
          <w:color w:val="auto"/>
        </w:rPr>
        <w:t>707,694</w:t>
      </w:r>
    </w:p>
    <w:p>
      <w:pPr>
        <w:spacing w:after="0" w:line="26"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Arial" w:cs="Arial" w:eastAsia="Arial" w:hAnsi="Arial"/>
          <w:sz w:val="20"/>
          <w:szCs w:val="20"/>
          <w:color w:val="auto"/>
        </w:rPr>
        <w:t>45,499</w:t>
      </w:r>
      <w:r>
        <w:rPr>
          <w:rFonts w:ascii="Arial" w:cs="Arial" w:eastAsia="Arial" w:hAnsi="Arial"/>
          <w:sz w:val="16"/>
          <w:szCs w:val="16"/>
          <w:color w:val="auto"/>
        </w:rPr>
        <w:t>46,073</w:t>
      </w:r>
    </w:p>
    <w:p>
      <w:pPr>
        <w:spacing w:after="0" w:line="26"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230,692</w:t>
      </w:r>
      <w:r>
        <w:rPr>
          <w:rFonts w:ascii="Arial" w:cs="Arial" w:eastAsia="Arial" w:hAnsi="Arial"/>
          <w:sz w:val="16"/>
          <w:szCs w:val="16"/>
          <w:color w:val="auto"/>
        </w:rPr>
        <w:t>243,335</w:t>
      </w:r>
    </w:p>
    <w:p>
      <w:pPr>
        <w:spacing w:after="0" w:line="26"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682,931</w:t>
      </w:r>
      <w:r>
        <w:rPr>
          <w:rFonts w:ascii="Arial" w:cs="Arial" w:eastAsia="Arial" w:hAnsi="Arial"/>
          <w:sz w:val="16"/>
          <w:szCs w:val="16"/>
          <w:color w:val="auto"/>
        </w:rPr>
        <w:t>464,359</w:t>
      </w:r>
    </w:p>
    <w:p>
      <w:pPr>
        <w:spacing w:after="0" w:line="200" w:lineRule="exact"/>
        <w:rPr>
          <w:sz w:val="20"/>
          <w:szCs w:val="20"/>
          <w:color w:val="auto"/>
        </w:rPr>
      </w:pPr>
    </w:p>
    <w:p>
      <w:pPr>
        <w:sectPr>
          <w:pgSz w:w="11900" w:h="16838" w:orient="portrait"/>
          <w:cols w:equalWidth="0" w:num="2">
            <w:col w:w="5480" w:space="720"/>
            <w:col w:w="2819"/>
          </w:cols>
          <w:pgMar w:left="1440" w:top="462" w:right="1440" w:bottom="1440" w:gutter="0" w:footer="0" w:header="0"/>
          <w:type w:val="continuous"/>
        </w:sectPr>
      </w:pPr>
    </w:p>
    <w:p>
      <w:pPr>
        <w:spacing w:after="0" w:line="153" w:lineRule="exact"/>
        <w:rPr>
          <w:sz w:val="20"/>
          <w:szCs w:val="20"/>
          <w:color w:val="auto"/>
        </w:rPr>
      </w:pPr>
    </w:p>
    <w:p>
      <w:pPr>
        <w:ind w:left="600" w:hanging="389"/>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338" w:lineRule="exact"/>
        <w:rPr>
          <w:sz w:val="20"/>
          <w:szCs w:val="20"/>
          <w:color w:val="auto"/>
        </w:rPr>
      </w:pPr>
    </w:p>
    <w:p>
      <w:pPr>
        <w:jc w:val="center"/>
        <w:ind w:left="1660" w:right="1920"/>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48" w:lineRule="exact"/>
        <w:rPr>
          <w:sz w:val="20"/>
          <w:szCs w:val="20"/>
          <w:color w:val="auto"/>
        </w:rPr>
      </w:pPr>
    </w:p>
    <w:p>
      <w:pPr>
        <w:ind w:left="6920"/>
        <w:spacing w:after="0"/>
        <w:rPr>
          <w:sz w:val="20"/>
          <w:szCs w:val="20"/>
          <w:color w:val="auto"/>
        </w:rPr>
      </w:pPr>
      <w:r>
        <w:rPr>
          <w:rFonts w:ascii="Arial" w:cs="Arial" w:eastAsia="Arial" w:hAnsi="Arial"/>
          <w:sz w:val="19"/>
          <w:szCs w:val="19"/>
          <w:b w:val="1"/>
          <w:bCs w:val="1"/>
          <w:color w:val="auto"/>
        </w:rPr>
        <w:t>Three Months Ended</w:t>
      </w:r>
    </w:p>
    <w:p>
      <w:pPr>
        <w:ind w:left="7360"/>
        <w:spacing w:after="0" w:line="211" w:lineRule="auto"/>
        <w:rPr>
          <w:sz w:val="20"/>
          <w:szCs w:val="20"/>
          <w:color w:val="auto"/>
        </w:rPr>
      </w:pPr>
      <w:r>
        <w:rPr>
          <w:rFonts w:ascii="Arial" w:cs="Arial" w:eastAsia="Arial" w:hAnsi="Arial"/>
          <w:sz w:val="20"/>
          <w:szCs w:val="20"/>
          <w:b w:val="1"/>
          <w:bCs w:val="1"/>
          <w:color w:val="auto"/>
        </w:rPr>
        <w:t>March 31,</w:t>
      </w:r>
    </w:p>
    <w:tbl>
      <w:tblPr>
        <w:tblLayout w:type="fixed"/>
        <w:tblInd w:w="220" w:type="dxa"/>
        <w:tblCellMar>
          <w:top w:w="0" w:type="dxa"/>
          <w:left w:w="0" w:type="dxa"/>
          <w:bottom w:w="0" w:type="dxa"/>
          <w:right w:w="0" w:type="dxa"/>
        </w:tblCellMar>
      </w:tblPr>
      <w:tr>
        <w:trPr>
          <w:trHeight w:val="184"/>
        </w:trPr>
        <w:tc>
          <w:tcPr>
            <w:tcW w:w="6600" w:type="dxa"/>
            <w:vAlign w:val="bottom"/>
            <w:tcBorders>
              <w:bottom w:val="single" w:sz="8" w:color="CCEC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81"/>
              <w:spacing w:after="0" w:line="184" w:lineRule="exact"/>
              <w:rPr>
                <w:sz w:val="20"/>
                <w:szCs w:val="20"/>
                <w:color w:val="auto"/>
              </w:rPr>
            </w:pPr>
            <w:r>
              <w:rPr>
                <w:rFonts w:ascii="Arial" w:cs="Arial" w:eastAsia="Arial" w:hAnsi="Arial"/>
                <w:sz w:val="20"/>
                <w:szCs w:val="20"/>
                <w:b w:val="1"/>
                <w:bCs w:val="1"/>
                <w:color w:val="auto"/>
              </w:rPr>
              <w:t>2020</w:t>
            </w:r>
          </w:p>
        </w:tc>
        <w:tc>
          <w:tcPr>
            <w:tcW w:w="160" w:type="dxa"/>
            <w:vAlign w:val="bottom"/>
            <w:tcBorders>
              <w:top w:val="single" w:sz="8" w:color="auto"/>
              <w:bottom w:val="single" w:sz="8" w:color="CCEC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41"/>
              <w:spacing w:after="0" w:line="184" w:lineRule="exact"/>
              <w:rPr>
                <w:sz w:val="20"/>
                <w:szCs w:val="20"/>
                <w:color w:val="auto"/>
              </w:rPr>
            </w:pPr>
            <w:r>
              <w:rPr>
                <w:rFonts w:ascii="Arial" w:cs="Arial" w:eastAsia="Arial" w:hAnsi="Arial"/>
                <w:sz w:val="20"/>
                <w:szCs w:val="20"/>
                <w:b w:val="1"/>
                <w:bCs w:val="1"/>
                <w:color w:val="auto"/>
              </w:rPr>
              <w:t>2019</w:t>
            </w:r>
          </w:p>
        </w:tc>
        <w:tc>
          <w:tcPr>
            <w:tcW w:w="0" w:type="dxa"/>
            <w:vAlign w:val="bottom"/>
          </w:tcPr>
          <w:p>
            <w:pPr>
              <w:spacing w:after="0"/>
              <w:rPr>
                <w:sz w:val="1"/>
                <w:szCs w:val="1"/>
                <w:color w:val="auto"/>
              </w:rPr>
            </w:pPr>
          </w:p>
        </w:tc>
      </w:tr>
      <w:tr>
        <w:trPr>
          <w:trHeight w:val="169"/>
        </w:trPr>
        <w:tc>
          <w:tcPr>
            <w:tcW w:w="6600" w:type="dxa"/>
            <w:vAlign w:val="bottom"/>
            <w:shd w:val="clear" w:color="auto" w:fill="CCECFF"/>
          </w:tcPr>
          <w:p>
            <w:pPr>
              <w:spacing w:after="0" w:line="169" w:lineRule="exact"/>
              <w:rPr>
                <w:sz w:val="20"/>
                <w:szCs w:val="20"/>
                <w:color w:val="auto"/>
              </w:rPr>
            </w:pPr>
            <w:r>
              <w:rPr>
                <w:rFonts w:ascii="Arial" w:cs="Arial" w:eastAsia="Arial" w:hAnsi="Arial"/>
                <w:sz w:val="19"/>
                <w:szCs w:val="19"/>
                <w:color w:val="auto"/>
              </w:rPr>
              <w:t>Revenues:</w:t>
            </w:r>
          </w:p>
        </w:tc>
        <w:tc>
          <w:tcPr>
            <w:tcW w:w="1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180"/>
              <w:spacing w:after="0" w:line="189" w:lineRule="exact"/>
              <w:rPr>
                <w:sz w:val="20"/>
                <w:szCs w:val="20"/>
                <w:color w:val="auto"/>
              </w:rPr>
            </w:pPr>
            <w:r>
              <w:rPr>
                <w:rFonts w:ascii="Arial" w:cs="Arial" w:eastAsia="Arial" w:hAnsi="Arial"/>
                <w:sz w:val="20"/>
                <w:szCs w:val="20"/>
                <w:color w:val="auto"/>
              </w:rPr>
              <w:t>Product revenue, net</w:t>
            </w:r>
          </w:p>
        </w:tc>
        <w:tc>
          <w:tcPr>
            <w:tcW w:w="120" w:type="dxa"/>
            <w:vAlign w:val="bottom"/>
          </w:tcPr>
          <w:p>
            <w:pPr>
              <w:jc w:val="right"/>
              <w:spacing w:after="0" w:line="189" w:lineRule="exact"/>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line="189" w:lineRule="exact"/>
              <w:rPr>
                <w:sz w:val="20"/>
                <w:szCs w:val="20"/>
                <w:color w:val="auto"/>
              </w:rPr>
            </w:pPr>
            <w:r>
              <w:rPr>
                <w:rFonts w:ascii="Arial" w:cs="Arial" w:eastAsia="Arial" w:hAnsi="Arial"/>
                <w:sz w:val="20"/>
                <w:szCs w:val="20"/>
                <w:color w:val="auto"/>
              </w:rPr>
              <w:t>3,458</w:t>
            </w:r>
          </w:p>
        </w:tc>
        <w:tc>
          <w:tcPr>
            <w:tcW w:w="280" w:type="dxa"/>
            <w:vAlign w:val="bottom"/>
            <w:gridSpan w:val="2"/>
          </w:tcPr>
          <w:p>
            <w:pPr>
              <w:jc w:val="right"/>
              <w:spacing w:after="0" w:line="189" w:lineRule="exact"/>
              <w:rPr>
                <w:sz w:val="20"/>
                <w:szCs w:val="20"/>
                <w:color w:val="auto"/>
              </w:rPr>
            </w:pPr>
            <w:r>
              <w:rPr>
                <w:rFonts w:ascii="Arial" w:cs="Arial" w:eastAsia="Arial" w:hAnsi="Arial"/>
                <w:sz w:val="20"/>
                <w:szCs w:val="20"/>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Collaboration revenue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223"/>
        </w:trPr>
        <w:tc>
          <w:tcPr>
            <w:tcW w:w="6600" w:type="dxa"/>
            <w:vAlign w:val="bottom"/>
          </w:tcPr>
          <w:p>
            <w:pPr>
              <w:spacing w:after="0" w:line="223" w:lineRule="exact"/>
              <w:rPr>
                <w:sz w:val="20"/>
                <w:szCs w:val="20"/>
                <w:color w:val="auto"/>
              </w:rPr>
            </w:pPr>
            <w:r>
              <w:rPr>
                <w:rFonts w:ascii="Arial" w:cs="Arial" w:eastAsia="Arial" w:hAnsi="Arial"/>
                <w:sz w:val="20"/>
                <w:szCs w:val="20"/>
                <w:color w:val="auto"/>
              </w:rPr>
              <w:t>Total revenues</w:t>
            </w:r>
          </w:p>
        </w:tc>
        <w:tc>
          <w:tcPr>
            <w:tcW w:w="12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Arial" w:cs="Arial" w:eastAsia="Arial" w:hAnsi="Arial"/>
                <w:sz w:val="20"/>
                <w:szCs w:val="20"/>
                <w:color w:val="auto"/>
              </w:rPr>
              <w:t>6,167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189"/>
        </w:trPr>
        <w:tc>
          <w:tcPr>
            <w:tcW w:w="6600" w:type="dxa"/>
            <w:vAlign w:val="bottom"/>
            <w:shd w:val="clear" w:color="auto" w:fill="CCEEFF"/>
          </w:tcPr>
          <w:p>
            <w:pPr>
              <w:spacing w:after="0" w:line="189" w:lineRule="exact"/>
              <w:rPr>
                <w:sz w:val="20"/>
                <w:szCs w:val="20"/>
                <w:color w:val="auto"/>
              </w:rPr>
            </w:pPr>
            <w:r>
              <w:rPr>
                <w:rFonts w:ascii="Arial" w:cs="Arial" w:eastAsia="Arial" w:hAnsi="Arial"/>
                <w:sz w:val="20"/>
                <w:szCs w:val="20"/>
                <w:color w:val="auto"/>
              </w:rPr>
              <w:t>Cost and operating expenses: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20"/>
                <w:szCs w:val="20"/>
                <w:color w:val="auto"/>
              </w:rPr>
              <w:t>Cost of sales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84,146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74,250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20"/>
                <w:szCs w:val="20"/>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35,655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16,553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Total cost and operating expenses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119,825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90,803</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Arial" w:cs="Arial" w:eastAsia="Arial" w:hAnsi="Arial"/>
                <w:sz w:val="20"/>
                <w:szCs w:val="20"/>
                <w:color w:val="auto"/>
              </w:rPr>
              <w:t>Other income (expense):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 income (expense), net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20"/>
                <w:szCs w:val="20"/>
                <w:color w:val="auto"/>
              </w:rPr>
              <w:t>Other income (expense), net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Total other income (expense)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2,703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2,666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Net loss</w:t>
            </w: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8"/>
              </w:rPr>
              <w:t>(110,955)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8"/>
              </w:rPr>
              <w:t>(87,407)</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0"/>
                <w:szCs w:val="20"/>
                <w:color w:val="auto"/>
              </w:rPr>
            </w:pPr>
            <w:r>
              <w:rPr>
                <w:rFonts w:ascii="Arial" w:cs="Arial" w:eastAsia="Arial" w:hAnsi="Arial"/>
                <w:sz w:val="20"/>
                <w:szCs w:val="20"/>
                <w:color w:val="auto"/>
              </w:rPr>
              <w:t>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135"/>
        </w:trPr>
        <w:tc>
          <w:tcPr>
            <w:tcW w:w="6600" w:type="dxa"/>
            <w:vAlign w:val="bottom"/>
            <w:tcBorders>
              <w:top w:val="single" w:sz="8" w:color="CCEEFF"/>
            </w:tcBorders>
          </w:tcPr>
          <w:p>
            <w:pPr>
              <w:spacing w:after="0" w:line="136" w:lineRule="exact"/>
              <w:rPr>
                <w:sz w:val="20"/>
                <w:szCs w:val="20"/>
                <w:color w:val="auto"/>
              </w:rPr>
            </w:pPr>
            <w:r>
              <w:rPr>
                <w:rFonts w:ascii="Arial" w:cs="Arial" w:eastAsia="Arial" w:hAnsi="Arial"/>
                <w:sz w:val="15"/>
                <w:szCs w:val="15"/>
                <w:color w:val="auto"/>
              </w:rPr>
              <w:t>Weighted-average number of common shares used in net loss per share — basic</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52,655</w:t>
            </w: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44,097</w:t>
            </w:r>
          </w:p>
        </w:tc>
        <w:tc>
          <w:tcPr>
            <w:tcW w:w="0" w:type="dxa"/>
            <w:vAlign w:val="bottom"/>
          </w:tcPr>
          <w:p>
            <w:pPr>
              <w:spacing w:after="0"/>
              <w:rPr>
                <w:sz w:val="1"/>
                <w:szCs w:val="1"/>
                <w:color w:val="auto"/>
              </w:rPr>
            </w:pPr>
          </w:p>
        </w:tc>
      </w:tr>
      <w:tr>
        <w:trPr>
          <w:trHeight w:val="210"/>
        </w:trPr>
        <w:tc>
          <w:tcPr>
            <w:tcW w:w="6600" w:type="dxa"/>
            <w:vAlign w:val="bottom"/>
          </w:tcPr>
          <w:p>
            <w:pPr>
              <w:ind w:left="220"/>
              <w:spacing w:after="0" w:line="203" w:lineRule="exact"/>
              <w:rPr>
                <w:sz w:val="20"/>
                <w:szCs w:val="20"/>
                <w:color w:val="auto"/>
              </w:rPr>
            </w:pPr>
            <w:r>
              <w:rPr>
                <w:rFonts w:ascii="Arial" w:cs="Arial" w:eastAsia="Arial" w:hAnsi="Arial"/>
                <w:sz w:val="20"/>
                <w:szCs w:val="20"/>
                <w:color w:val="auto"/>
              </w:rPr>
              <w:t>and diluted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6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62" w:right="1440" w:bottom="1440" w:gutter="0" w:footer="0" w:header="0"/>
          <w:type w:val="continuous"/>
        </w:sectPr>
      </w:pPr>
    </w:p>
    <w:bookmarkStart w:id="9" w:name="page10"/>
    <w:bookmarkEnd w:id="9"/>
    <w:p>
      <w:pPr>
        <w:ind w:left="200"/>
        <w:spacing w:after="0"/>
        <w:rPr>
          <w:sz w:val="20"/>
          <w:szCs w:val="20"/>
          <w:color w:val="auto"/>
        </w:rPr>
      </w:pPr>
      <w:r>
        <w:rPr>
          <w:rFonts w:ascii="Arial" w:cs="Arial" w:eastAsia="Arial" w:hAnsi="Arial"/>
          <w:sz w:val="19"/>
          <w:szCs w:val="19"/>
          <w:b w:val="1"/>
          <w:bCs w:val="1"/>
          <w:color w:val="auto"/>
        </w:rPr>
        <w:t>Investor and Media Contact</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Jim Baker</w:t>
      </w:r>
    </w:p>
    <w:p>
      <w:pPr>
        <w:ind w:left="200"/>
        <w:spacing w:after="0" w:line="197" w:lineRule="auto"/>
        <w:rPr>
          <w:sz w:val="20"/>
          <w:szCs w:val="20"/>
          <w:color w:val="auto"/>
        </w:rPr>
      </w:pPr>
      <w:r>
        <w:rPr>
          <w:rFonts w:ascii="Arial" w:cs="Arial" w:eastAsia="Arial" w:hAnsi="Arial"/>
          <w:sz w:val="20"/>
          <w:szCs w:val="20"/>
          <w:color w:val="auto"/>
        </w:rPr>
        <w:t>617-844-8236</w:t>
      </w:r>
    </w:p>
    <w:p>
      <w:pPr>
        <w:ind w:left="200"/>
        <w:spacing w:after="0"/>
        <w:rPr>
          <w:sz w:val="20"/>
          <w:szCs w:val="20"/>
          <w:color w:val="auto"/>
        </w:rPr>
      </w:pPr>
      <w:r>
        <w:rPr>
          <w:rFonts w:ascii="Arial" w:cs="Arial" w:eastAsia="Arial" w:hAnsi="Arial"/>
          <w:sz w:val="18"/>
          <w:szCs w:val="18"/>
          <w:color w:val="auto"/>
        </w:rPr>
        <w:t>media@blueprintmedicines.com</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Investor Contact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Kristin Hodous</w:t>
      </w:r>
    </w:p>
    <w:p>
      <w:pPr>
        <w:ind w:left="200"/>
        <w:spacing w:after="0" w:line="197" w:lineRule="auto"/>
        <w:rPr>
          <w:sz w:val="20"/>
          <w:szCs w:val="20"/>
          <w:color w:val="auto"/>
        </w:rPr>
      </w:pPr>
      <w:r>
        <w:rPr>
          <w:rFonts w:ascii="Arial" w:cs="Arial" w:eastAsia="Arial" w:hAnsi="Arial"/>
          <w:sz w:val="20"/>
          <w:szCs w:val="20"/>
          <w:color w:val="auto"/>
        </w:rPr>
        <w:t>617-714-6674</w:t>
      </w:r>
    </w:p>
    <w:p>
      <w:pPr>
        <w:ind w:left="200"/>
        <w:spacing w:after="0"/>
        <w:rPr>
          <w:sz w:val="20"/>
          <w:szCs w:val="20"/>
          <w:color w:val="auto"/>
        </w:rPr>
      </w:pPr>
      <w:r>
        <w:rPr>
          <w:rFonts w:ascii="Arial" w:cs="Arial" w:eastAsia="Arial" w:hAnsi="Arial"/>
          <w:sz w:val="20"/>
          <w:szCs w:val="20"/>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855"/>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2020-05-06T06:16:00Z</dcterms:created>
  <dcterms:modified xsi:type="dcterms:W3CDTF">2020-05-06T06:16:00Z</dcterms:modified>
</cp:coreProperties>
</file>