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7583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8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LYNCH DANIEL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</w:tcPr>
          <w:p>
            <w:pPr>
              <w:ind w:left="60"/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Blueprint Medicines Corp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BPMC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06/19/2020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C/O BLUEPRINT MEDICINES CORPORATION</w:t>
            </w: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 SIDNEY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40" w:type="dxa"/>
            <w:vAlign w:val="bottom"/>
            <w:gridSpan w:val="1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7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4"/>
            <w:vMerge w:val="restart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06/19/2020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1,312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125,654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5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06/19/2020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1,312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Each restricted stock unit represents a contingent right to receive one share of the Issuer's common stock.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2. On June 19, 2019, the reporting person was granted 1,312 restricted stock units. These restricted stock units are fully vested.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 Christopher Frankenfield,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06/23/2020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Attorney-in-Fact</w:t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-4258310</wp:posOffset>
            </wp:positionV>
            <wp:extent cx="7033260" cy="32029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20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77082" TargetMode="External"/><Relationship Id="rId14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2020-06-23T15:19:18Z</dcterms:created>
  <dcterms:modified xsi:type="dcterms:W3CDTF">2020-06-23T15:19:18Z</dcterms:modified>
</cp:coreProperties>
</file>