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2202024_041204.xml.htm"/>
      <w:bookmarkStart w:id="1" w:name="ksform412202024_0412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Rossi Christina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BLUEPRINT MEDICINES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SIDNEY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Blueprint Medicines Corp</w:t>
              </w:r>
            </w:hyperlink>
            <w:r>
              <w:rPr/>
              <w:t xml:space="preserve"> [ </w:t>
            </w:r>
            <w:r>
              <w:rPr>
                <w:rFonts w:ascii="Times;serif" w:hAnsi="Times;serif"/>
                <w:color w:val="0000FF"/>
                <w:sz w:val="24"/>
                <w:shd w:fill="FFFFFF" w:val="clear"/>
              </w:rPr>
              <w:t>BPMC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12/18/2024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12/18/2024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2,166</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95.88</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69,491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12/18/2024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96.5</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69,383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Effected pursuant to a trading plan adopted on August 27, 2024 pursuant to Rule 10b5-1 under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an average sale price. The shares were sold in multiple transactions ranging from $95.44 to $96.29.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(2).</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Masse,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56941" TargetMode="External"/><Relationship Id="rId5" Type="http://schemas.openxmlformats.org/officeDocument/2006/relationships/hyperlink" Target="http://www.sec.gov/cgi-bin/browse-edgar?action=getcompany&amp;CIK=00015972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664</Words>
  <Characters>3594</Characters>
  <CharactersWithSpaces>4192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