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April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001-37359</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26-3632015</w:t>
            </w:r>
          </w:p>
        </w:tc>
      </w:tr>
      <w:tr>
        <w:trPr>
          <w:trHeight w:val="144"/>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3920" w:type="dxa"/>
            <w:vAlign w:val="bottom"/>
          </w:tcPr>
          <w:p>
            <w:pPr>
              <w:spacing w:after="0"/>
              <w:rPr>
                <w:sz w:val="13"/>
                <w:szCs w:val="13"/>
                <w:color w:val="auto"/>
              </w:rPr>
            </w:pP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60" w:type="dxa"/>
            <w:vAlign w:val="bottom"/>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rPr>
              <w:t>45 Sidney Street</w:t>
            </w:r>
          </w:p>
        </w:tc>
        <w:tc>
          <w:tcPr>
            <w:tcW w:w="392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148"/>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Cambridge, Massachusetts</w:t>
            </w:r>
          </w:p>
        </w:tc>
        <w:tc>
          <w:tcPr>
            <w:tcW w:w="3920" w:type="dxa"/>
            <w:vAlign w:val="bottom"/>
          </w:tcPr>
          <w:p>
            <w:pPr>
              <w:spacing w:after="0"/>
              <w:rPr>
                <w:sz w:val="12"/>
                <w:szCs w:val="12"/>
                <w:color w:val="auto"/>
              </w:rPr>
            </w:pPr>
          </w:p>
        </w:tc>
        <w:tc>
          <w:tcPr>
            <w:tcW w:w="3520" w:type="dxa"/>
            <w:vAlign w:val="bottom"/>
          </w:tcPr>
          <w:p>
            <w:pPr>
              <w:jc w:val="right"/>
              <w:ind w:right="2560"/>
              <w:spacing w:after="0"/>
              <w:rPr>
                <w:sz w:val="20"/>
                <w:szCs w:val="20"/>
                <w:color w:val="auto"/>
              </w:rPr>
            </w:pPr>
            <w:r>
              <w:rPr>
                <w:rFonts w:ascii="Times New Roman" w:cs="Times New Roman" w:eastAsia="Times New Roman" w:hAnsi="Times New Roman"/>
                <w:sz w:val="12"/>
                <w:szCs w:val="12"/>
                <w:b w:val="1"/>
                <w:bCs w:val="1"/>
                <w:color w:val="auto"/>
              </w:rPr>
              <w:t>02139</w:t>
            </w:r>
          </w:p>
        </w:tc>
      </w:tr>
      <w:tr>
        <w:trPr>
          <w:trHeight w:val="155"/>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920" w:type="dxa"/>
            <w:vAlign w:val="bottom"/>
          </w:tcPr>
          <w:p>
            <w:pPr>
              <w:spacing w:after="0"/>
              <w:rPr>
                <w:sz w:val="13"/>
                <w:szCs w:val="13"/>
                <w:color w:val="auto"/>
              </w:rPr>
            </w:pPr>
          </w:p>
        </w:tc>
        <w:tc>
          <w:tcPr>
            <w:tcW w:w="352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(617) 374-7580</w:t>
            </w:r>
          </w:p>
        </w:tc>
        <w:tc>
          <w:tcPr>
            <w:tcW w:w="3520" w:type="dxa"/>
            <w:vAlign w:val="bottom"/>
          </w:tcPr>
          <w:p>
            <w:pPr>
              <w:spacing w:after="0"/>
              <w:rPr>
                <w:sz w:val="24"/>
                <w:szCs w:val="24"/>
                <w:color w:val="auto"/>
              </w:rPr>
            </w:pPr>
          </w:p>
        </w:tc>
      </w:tr>
      <w:tr>
        <w:trPr>
          <w:trHeight w:val="293"/>
        </w:trPr>
        <w:tc>
          <w:tcPr>
            <w:tcW w:w="3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right="30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520" w:type="dxa"/>
            <w:vAlign w:val="bottom"/>
            <w:tcBorders>
              <w:bottom w:val="single" w:sz="8" w:color="auto"/>
            </w:tcBorders>
          </w:tcPr>
          <w:p>
            <w:pPr>
              <w:spacing w:after="0"/>
              <w:rPr>
                <w:sz w:val="24"/>
                <w:szCs w:val="24"/>
                <w:color w:val="auto"/>
              </w:rPr>
            </w:pPr>
          </w:p>
        </w:tc>
      </w:tr>
    </w:tbl>
    <w:p>
      <w:pPr>
        <w:spacing w:after="0" w:line="13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4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right="480" w:firstLine="432"/>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Exchange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45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BPMC</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Nasdaq Global Select Market</w:t>
            </w:r>
          </w:p>
        </w:tc>
      </w:tr>
      <w:tr>
        <w:trPr>
          <w:trHeight w:val="158"/>
        </w:trPr>
        <w:tc>
          <w:tcPr>
            <w:tcW w:w="45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r>
      <w:tr>
        <w:trPr>
          <w:trHeight w:val="450"/>
        </w:trPr>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4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212529"/>
        </w:rPr>
        <w:t>Item 7.01 Regulation FD.</w:t>
      </w:r>
    </w:p>
    <w:p>
      <w:pPr>
        <w:spacing w:after="0" w:line="154"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212529"/>
        </w:rPr>
        <w:t>On April 8, 2022, Blueprint Medicines Corporation (the “Company”) is hosting an investor conference call and webcast to review data presented at the American Association for Cancer Research (“AACR”) Annual Meeting 2022 for multiple research- and clinical-stage programs across its precision oncology and hematology portfolio. A copy of the presentation from the investor conference call and webcast is furnished as Exhibit 99.1 to this Current Report on Form 8-K.</w:t>
      </w:r>
    </w:p>
    <w:p>
      <w:pPr>
        <w:spacing w:after="0" w:line="119"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212529"/>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12529"/>
        </w:rPr>
        <w:t>Item 8.01 Other Events.</w:t>
      </w:r>
    </w:p>
    <w:p>
      <w:pPr>
        <w:spacing w:after="0" w:line="154"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212529"/>
        </w:rPr>
        <w:t>On April 8, 2022, the Company issued a press release announcing data for multiple research- and clinical-stage programs across its precision oncology and hematology portfolio from various poster presentations at the AACR Annual Meeting 2022. A copy of the press release is filed herewith as Exhibit 99.2 to this Current Report on Form 8-K and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3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20" w:type="dxa"/>
            <w:vAlign w:val="bottom"/>
          </w:tcPr>
          <w:p>
            <w:pPr>
              <w:spacing w:after="0"/>
              <w:rPr>
                <w:sz w:val="13"/>
                <w:szCs w:val="13"/>
                <w:color w:val="auto"/>
              </w:rPr>
            </w:pPr>
          </w:p>
        </w:tc>
      </w:tr>
      <w:tr>
        <w:trPr>
          <w:trHeight w:val="288"/>
        </w:trPr>
        <w:tc>
          <w:tcPr>
            <w:tcW w:w="1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2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5"/>
        </w:trPr>
        <w:tc>
          <w:tcPr>
            <w:tcW w:w="200" w:type="dxa"/>
            <w:vAlign w:val="bottom"/>
            <w:tcBorders>
              <w:top w:val="single" w:sz="8" w:color="auto"/>
              <w:bottom w:val="single" w:sz="8" w:color="0000EE"/>
            </w:tcBorders>
          </w:tcPr>
          <w:p>
            <w:pPr>
              <w:spacing w:after="0" w:line="115" w:lineRule="exact"/>
              <w:rPr>
                <w:rFonts w:ascii="Times New Roman" w:cs="Times New Roman" w:eastAsia="Times New Roman" w:hAnsi="Times New Roman"/>
                <w:sz w:val="12"/>
                <w:szCs w:val="12"/>
                <w:color w:val="0000EE"/>
                <w:w w:val="85"/>
              </w:rPr>
            </w:pPr>
            <w:hyperlink w:anchor="page4">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hyperlink>
          </w:p>
        </w:tc>
        <w:tc>
          <w:tcPr>
            <w:tcW w:w="11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100" w:type="dxa"/>
            <w:vAlign w:val="bottom"/>
            <w:tcBorders>
              <w:top w:val="single" w:sz="8" w:color="auto"/>
              <w:bottom w:val="single" w:sz="8" w:color="0000EE"/>
            </w:tcBorders>
            <w:gridSpan w:val="2"/>
          </w:tcPr>
          <w:p>
            <w:pPr>
              <w:spacing w:after="0" w:line="115" w:lineRule="exact"/>
              <w:rPr>
                <w:rFonts w:ascii="Times New Roman" w:cs="Times New Roman" w:eastAsia="Times New Roman" w:hAnsi="Times New Roman"/>
                <w:sz w:val="12"/>
                <w:szCs w:val="12"/>
                <w:color w:val="0000EE"/>
              </w:rPr>
            </w:pPr>
            <w:hyperlink w:anchor="page4">
              <w:r>
                <w:rPr>
                  <w:rFonts w:ascii="Times New Roman" w:cs="Times New Roman" w:eastAsia="Times New Roman" w:hAnsi="Times New Roman"/>
                  <w:sz w:val="12"/>
                  <w:szCs w:val="12"/>
                  <w:color w:val="0000EE"/>
                </w:rPr>
                <w:t>Corporate slide presentation of Blueprint Medicines Corporation dated April 8, 2022</w:t>
              </w:r>
            </w:hyperlink>
          </w:p>
        </w:tc>
        <w:tc>
          <w:tcPr>
            <w:tcW w:w="5620" w:type="dxa"/>
            <w:vAlign w:val="bottom"/>
            <w:tcBorders>
              <w:top w:val="single" w:sz="8" w:color="auto"/>
            </w:tcBorders>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85"/>
              </w:rPr>
            </w:pPr>
            <w:hyperlink w:anchor="page31">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hyperlink>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9"/>
              </w:rPr>
            </w:pPr>
            <w:hyperlink w:anchor="page31">
              <w:r>
                <w:rPr>
                  <w:rFonts w:ascii="Times New Roman" w:cs="Times New Roman" w:eastAsia="Times New Roman" w:hAnsi="Times New Roman"/>
                  <w:sz w:val="12"/>
                  <w:szCs w:val="12"/>
                  <w:color w:val="0000EE"/>
                  <w:w w:val="99"/>
                </w:rPr>
                <w:t>Press release issued by Blueprint Medicines Corporation on April 8, 2022</w:t>
              </w:r>
            </w:hyperlink>
          </w:p>
        </w:tc>
        <w:tc>
          <w:tcPr>
            <w:tcW w:w="6180" w:type="dxa"/>
            <w:vAlign w:val="bottom"/>
            <w:gridSpan w:val="2"/>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 and incorporated as Exhibit 101)</w:t>
            </w:r>
          </w:p>
        </w:tc>
      </w:tr>
      <w:tr>
        <w:trPr>
          <w:trHeight w:val="450"/>
        </w:trPr>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tc>
      </w:tr>
      <w:tr>
        <w:trPr>
          <w:trHeight w:val="28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April 8, 2022</w:t>
            </w:r>
          </w:p>
        </w:tc>
        <w:tc>
          <w:tcPr>
            <w:tcW w:w="282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Kathryn Haviland</w:t>
            </w:r>
          </w:p>
        </w:tc>
      </w:tr>
      <w:tr>
        <w:trPr>
          <w:trHeight w:val="122"/>
        </w:trPr>
        <w:tc>
          <w:tcPr>
            <w:tcW w:w="32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52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r>
      <w:tr>
        <w:trPr>
          <w:trHeight w:val="155"/>
        </w:trPr>
        <w:tc>
          <w:tcPr>
            <w:tcW w:w="3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5352415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5352415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6418580</wp:posOffset>
            </wp:positionH>
            <wp:positionV relativeFrom="paragraph">
              <wp:posOffset>116205</wp:posOffset>
            </wp:positionV>
            <wp:extent cx="75438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543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Blueprint Medicines Announces BLU-945 Proof-of-Concept Data Supporting Initiation of Comprehensive Combination Development Strategy in EGFR-mutant Non-Small Cell Lung Cancer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Early dose escalation data show dose-dependent reductions in ctDNA and tumor burden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Generally well-tolerated with most AEs Grade 1 or 2, supporting continued dose escalation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Initiating SYMPHONY trial cohort to evaluate BLU-945 in combination with osimertinib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Clinical trial supply agreement signed with AstraZeneca to provide osimertinib for combination development in ongoing BLU-945 and BLU-701 trials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Blueprint Medicines to host investor conference call and webcast on Friday, April 8 at 2:00 pm ET --</w:t>
      </w:r>
    </w:p>
    <w:p>
      <w:pPr>
        <w:spacing w:after="0" w:line="15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CAMBRIDGE, Mass., April 8, 2022 -- Blueprint Medicines Corporation (NASDAQ: BPMC) today announced proof-of-concept data from the Phase 1/2 SYMPHONY clinical trial of BLU-945, an investigational precision therapy for advanced EGFR-mutant non-small cell lung cancer (NSCLC). The trial results showed early evidence of safety and clinical activity consistent with preclinical data, supporting plans to expand development of BLU-945 in combination with multiple agents including osimertinib, with the goal of preventing or treating tumor resistance to prolong patient benefit. The data were reported today at the American Association for Cancer Research (AACR) Annual Meeting 2022 in New Orleans.</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Early data from the ongoing Phase 1 dose escalation part of the SYMPHONY trial showed dose-dependent decreases in circulating tumor DNA (EGFR variant allele fractions) and radiographic tumor reductions, including a partial response (PR) in a patient treated with 400 mg once daily (QD), the highest dose tested as of the data cutoff date. Pharmacokinetic results showed BLU-945 exposures at higher doses were associated with broad EGFR mutation coverage, including the activating L858R mutation with or without the osimertinib-resistant C797S mutation. BLU-945 was generally well-tolerated, with no significant adverse events (AEs) associated with wild-type EGFR inhibition. The maximum tolerated dose and recommended Phase 2 dose have not yet been identified, and dose escalation is continuing.</w:t>
      </w:r>
    </w:p>
    <w:p>
      <w:pPr>
        <w:spacing w:after="0" w:line="12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“Today, targeted therapies are the mainstay treatment for EGFR-mutant lung cancer, but tumor resistance emerges in the majority of patients, driving mutational heterogeneity and disease progression. Innovative treatment strategies, including targeted therapy combinations, are urgently needed to prevent or treat this mutational heterogeneity and prolong patient benefit,” said Elaine Shum, M.D., assistant professor in the Department of Medicine and a medical oncologist at NYU Langone Health’s Perlmutter Cancer Center, and an investigator on the SYMPHONY trial. “The initial BLU-945 data reported today, which highlight its potential to address resistance to current standard of care therapies including osimertinib and enable well-tolerated, broad-acting combinations, are an important step forward toward improving outcomes for patients with EGFR-mutant lung cancer.”</w:t>
      </w:r>
    </w:p>
    <w:p>
      <w:pPr>
        <w:spacing w:after="0" w:line="1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“We believe BLU-945 is distinguished from other EGFR-directed therapies, based on its ability to inhibit the most difficult-to-target EGFR mutations while maintaining a wide therapeutic index over wild-type EGFR, a known driver of toxicity. As a result, BLU-945 has significant potential as a combination partner with other targeted therapies and broad-acting agents,” said Fouad Namouni, M.D., President, Research &amp; Development at Blueprint Medicines. “We are excited to see the preclinical profile of BLU-945 translated in the clinic, with early dose escalation data showing evidence of clinical activity, broad EGFR mutation coverage and tolerability. Based on these promising data, we plan to rapidly expand development of BLU-945 in combination with osimertinib and other agents to address important medical needs across all lines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1" w:name="page32"/>
    <w:bookmarkEnd w:id="31"/>
    <w:p>
      <w:pPr>
        <w:jc w:val="both"/>
        <w:ind w:left="8" w:right="32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6609080</wp:posOffset>
            </wp:positionH>
            <wp:positionV relativeFrom="page">
              <wp:posOffset>431800</wp:posOffset>
            </wp:positionV>
            <wp:extent cx="75438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54380" cy="274320"/>
                    </a:xfrm>
                    <a:prstGeom prst="rect">
                      <a:avLst/>
                    </a:prstGeom>
                    <a:noFill/>
                  </pic:spPr>
                </pic:pic>
              </a:graphicData>
            </a:graphic>
          </wp:anchor>
        </w:drawing>
        <w:t>Blueprint Medicines is initiating a SYMPHONY trial cohort assessing BLU-945 in combination with osimertinib in patients with second-line or later EGFR-mutant NSCLC, following disease progression on osimertinib. After the selection of a recommended Phase 2 combination dose regimen, the company plans to initiate an expansion cohort with registration potential in biomarker-selected second-line patients, as well as an expansion cohort in front-line patients, by the end of 2022. Additional combinations with BLU-701, chemotherapy and antibody-drug conjugate therapy are planned across multiple mutation profiles and lines of therapy.</w:t>
      </w:r>
    </w:p>
    <w:p>
      <w:pPr>
        <w:spacing w:after="0" w:line="119" w:lineRule="exact"/>
        <w:rPr>
          <w:sz w:val="20"/>
          <w:szCs w:val="20"/>
          <w:color w:val="auto"/>
        </w:rPr>
      </w:pPr>
    </w:p>
    <w:p>
      <w:pPr>
        <w:ind w:left="8" w:right="500"/>
        <w:spacing w:after="0" w:line="279" w:lineRule="auto"/>
        <w:rPr>
          <w:sz w:val="20"/>
          <w:szCs w:val="20"/>
          <w:color w:val="auto"/>
        </w:rPr>
      </w:pPr>
      <w:r>
        <w:rPr>
          <w:rFonts w:ascii="Times New Roman" w:cs="Times New Roman" w:eastAsia="Times New Roman" w:hAnsi="Times New Roman"/>
          <w:sz w:val="12"/>
          <w:szCs w:val="12"/>
          <w:color w:val="auto"/>
        </w:rPr>
        <w:t>In addition, Blueprint Medicines announced today a clinical trial supply agreement with AstraZeneca (LSE/STO/Nasdaq: AZN). Under the terms of the agreement, Blueprint Medicines will evaluate BLU-945 and BLU-701 in combination with osimertinib in the ongoing SYMPHONY and HARMONY trials, respectively.</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BLU-945: Data from the Phase 1/2 SYMPHONY Trial</w:t>
      </w:r>
    </w:p>
    <w:p>
      <w:pPr>
        <w:spacing w:after="0" w:line="154"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As of a data cutoff date of March 9, 2022, 33 patients with EGFR-mutant NSCLC have been treated with BLU-945 across five dose escalation cohorts (range: 25-400 mg QD). The majority of patients (79 percent) previously received at least three lines of systemic therapy, including osimertinib (97 percent). Patient eligibility criteria require the presence of an EGFR mutation based on local assessment of tumor biopsy or circulating tumor DNA (ctDNA).</w:t>
      </w:r>
    </w:p>
    <w:p>
      <w:pPr>
        <w:spacing w:after="0" w:line="111"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BLU-945 was generally well-tolerated at all doses tested. The most common AEs (regardless of relationship to BLU-945; ≥10 percent) were nausea, headache, fatigue, cough, dyspnea, vomiting, hyponatremia, dry mouth and anemia. Reported AEs associated with wild-type EGFR inhibition were infrequent and low grade, including rash (one patient; Grade 1) and diarrhea (three patients; all Grade 1). One dose-limiting toxicity (Grade 3 transaminitis) occurred in the 400 mg QD cohort, which improved with dose interruption. There were no treatment discontinuations due to AEs.</w:t>
      </w:r>
    </w:p>
    <w:p>
      <w:pPr>
        <w:spacing w:after="0" w:line="119" w:lineRule="exact"/>
        <w:rPr>
          <w:sz w:val="20"/>
          <w:szCs w:val="20"/>
          <w:color w:val="auto"/>
        </w:rPr>
      </w:pPr>
    </w:p>
    <w:p>
      <w:pPr>
        <w:ind w:left="8" w:right="100"/>
        <w:spacing w:after="0" w:line="219" w:lineRule="auto"/>
        <w:rPr>
          <w:sz w:val="20"/>
          <w:szCs w:val="20"/>
          <w:color w:val="auto"/>
        </w:rPr>
      </w:pPr>
      <w:r>
        <w:rPr>
          <w:rFonts w:ascii="Times New Roman" w:cs="Times New Roman" w:eastAsia="Times New Roman" w:hAnsi="Times New Roman"/>
          <w:sz w:val="12"/>
          <w:szCs w:val="12"/>
          <w:color w:val="auto"/>
        </w:rPr>
        <w:t>Pharmacokinetic data showed dose-proportional plasma concentrations, with exposures at increasing doses consistent with broad EGFR mutation coverage, based on preclinical activity thresholds. Mean plasma exposures at doses of 100 mg QD or higher exceeded the IC</w:t>
      </w:r>
      <w:r>
        <w:rPr>
          <w:rFonts w:ascii="Times New Roman" w:cs="Times New Roman" w:eastAsia="Times New Roman" w:hAnsi="Times New Roman"/>
          <w:sz w:val="19"/>
          <w:szCs w:val="19"/>
          <w:color w:val="auto"/>
          <w:vertAlign w:val="subscript"/>
        </w:rPr>
        <w:t>90</w:t>
      </w:r>
      <w:r>
        <w:rPr>
          <w:rFonts w:ascii="Times New Roman" w:cs="Times New Roman" w:eastAsia="Times New Roman" w:hAnsi="Times New Roman"/>
          <w:sz w:val="12"/>
          <w:szCs w:val="12"/>
          <w:color w:val="auto"/>
        </w:rPr>
        <w:t xml:space="preserve"> for mutants harboring the T790M and C797S resistance mutations, regardless of activating mutation. In addition, mean plasma exposure at 400 mg QD exceeded the IC</w:t>
      </w:r>
      <w:r>
        <w:rPr>
          <w:rFonts w:ascii="Times New Roman" w:cs="Times New Roman" w:eastAsia="Times New Roman" w:hAnsi="Times New Roman"/>
          <w:sz w:val="19"/>
          <w:szCs w:val="19"/>
          <w:color w:val="auto"/>
          <w:vertAlign w:val="subscript"/>
        </w:rPr>
        <w:t>90</w:t>
      </w:r>
      <w:r>
        <w:rPr>
          <w:rFonts w:ascii="Times New Roman" w:cs="Times New Roman" w:eastAsia="Times New Roman" w:hAnsi="Times New Roman"/>
          <w:sz w:val="12"/>
          <w:szCs w:val="12"/>
          <w:color w:val="auto"/>
        </w:rPr>
        <w:t xml:space="preserve"> for mutants harboring the activating L858R mutation with or without the C797S mutation.</w:t>
      </w:r>
    </w:p>
    <w:p>
      <w:pPr>
        <w:spacing w:after="0" w:line="134"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SYMPHONY trial is one of the first oncology studies to analyze plasma ctDNA via real-time next-generation sequencing to assess tumor biology and early drug activity. Results for patients with detectable T790M and C797S allele fractions at baseline and available post-baseline assessments showed dose-dependent reductions in both variant allele fractions. In patients treated with 400 mg QD, all detectable T790M and C797S allele fractions declined, including three that fell below the limit of detection (clearance).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Patients with measurable target lesions at baseline and at least one post-baseline scan were evaluable per Response Evaluation Criteria in Solid Tumors (RECIST) version 1.1. In a heavily pre-treated population, higher BLU-945 doses</w:t>
      </w:r>
    </w:p>
    <w:p>
      <w:pPr>
        <w:spacing w:after="0" w:line="17" w:lineRule="exact"/>
        <w:rPr>
          <w:sz w:val="20"/>
          <w:szCs w:val="20"/>
          <w:color w:val="auto"/>
        </w:rPr>
      </w:pPr>
    </w:p>
    <w:p>
      <w:pPr>
        <w:ind w:left="8" w:right="280"/>
        <w:spacing w:after="0" w:line="212" w:lineRule="auto"/>
        <w:rPr>
          <w:sz w:val="20"/>
          <w:szCs w:val="20"/>
          <w:color w:val="auto"/>
        </w:rPr>
      </w:pPr>
      <w:r>
        <w:rPr>
          <w:rFonts w:ascii="Times New Roman" w:cs="Times New Roman" w:eastAsia="Times New Roman" w:hAnsi="Times New Roman"/>
          <w:sz w:val="12"/>
          <w:szCs w:val="12"/>
          <w:color w:val="auto"/>
        </w:rPr>
        <w:t>led to increased antitumor activity. Tumor shrinkage was observed in patients treated with 200-400 mg QD, including an unconfirmed PR</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a patient treated with 400 mg QD. This patient had NSCLC harboring exon 19 deletion, T790M and C797S mutations, and previously received platinum-based chemotherapy, erlotinib and osimertinib with a best response of stable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79451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83" w:lineRule="exact"/>
        <w:rPr>
          <w:sz w:val="20"/>
          <w:szCs w:val="20"/>
          <w:color w:val="auto"/>
        </w:rPr>
      </w:pPr>
    </w:p>
    <w:p>
      <w:pPr>
        <w:ind w:left="68" w:hanging="68"/>
        <w:spacing w:after="0"/>
        <w:tabs>
          <w:tab w:leader="none" w:pos="68"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An unconfirmed PR is a PR in which tumor reduction ≥30% has occurred, but has not yet been confirmed via a subsequent scan.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63" w:right="299" w:bottom="1440" w:gutter="0" w:footer="0" w:header="0"/>
        </w:sectPr>
      </w:pPr>
    </w:p>
    <w:bookmarkStart w:id="32" w:name="page33"/>
    <w:bookmarkEnd w:id="32"/>
    <w:p>
      <w:pPr>
        <w:ind w:right="340"/>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6609080</wp:posOffset>
            </wp:positionH>
            <wp:positionV relativeFrom="page">
              <wp:posOffset>431800</wp:posOffset>
            </wp:positionV>
            <wp:extent cx="75438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54380" cy="274320"/>
                    </a:xfrm>
                    <a:prstGeom prst="rect">
                      <a:avLst/>
                    </a:prstGeom>
                    <a:noFill/>
                  </pic:spPr>
                </pic:pic>
              </a:graphicData>
            </a:graphic>
          </wp:anchor>
        </w:drawing>
        <w:t xml:space="preserve">Copies of Blueprint Medicines data presentations from the AACR annual meeting, including the SYMPHONY trial presentation, are available in the “Science—Publications and Presentations” section of the company’s website at </w:t>
      </w:r>
      <w:r>
        <w:rPr>
          <w:rFonts w:ascii="Times New Roman" w:cs="Times New Roman" w:eastAsia="Times New Roman" w:hAnsi="Times New Roman"/>
          <w:sz w:val="12"/>
          <w:szCs w:val="12"/>
          <w:u w:val="single" w:color="auto"/>
          <w:color w:val="auto"/>
        </w:rPr>
        <w:t>www.blueprintmedicines.com</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Conference Call Information</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 xml:space="preserve">Blueprint Medicines will host a live webcast today, April 8, 2022 beginning at 2:00 p.m. ET, to discuss the data reported at AACR. To access the live call, please dial 844-200-6205 (domestic) or 929-526-1599 (international), and refer to conference ID 084402. A webcast of the conference call will be available in the Investors &amp; Media section of Blueprint Medicines’ website at </w:t>
      </w:r>
      <w:r>
        <w:rPr>
          <w:rFonts w:ascii="Times New Roman" w:cs="Times New Roman" w:eastAsia="Times New Roman" w:hAnsi="Times New Roman"/>
          <w:sz w:val="12"/>
          <w:szCs w:val="12"/>
          <w:u w:val="single" w:color="auto"/>
          <w:color w:val="auto"/>
        </w:rPr>
        <w:t>http://ir.blueprintmedicines.com/</w:t>
      </w:r>
      <w:r>
        <w:rPr>
          <w:rFonts w:ascii="Times New Roman" w:cs="Times New Roman" w:eastAsia="Times New Roman" w:hAnsi="Times New Roman"/>
          <w:sz w:val="12"/>
          <w:szCs w:val="12"/>
          <w:color w:val="auto"/>
        </w:rPr>
        <w:t>. The archived webcast will be available on Blueprint Medicines’ website approximately two hours after the conference call and will be available for 30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27432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A0A0A"/>
        </w:rPr>
        <w:t>About Blueprint Medicines’ Clinical Development Programs in EGFR-Mutant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91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0A0A0A"/>
        </w:rPr>
        <w:t>Blueprint Medicines is developing three investigational agents, BLU-701, BLU-945 and BLU-451, with the goal of addressing nearly all activating mutations (&gt;90 percent) in EGFR-mutant NSCLC. The introduction of EGFR-targeted therapies, including osimertinib, has transformed the care of patients with EGFR-mutant NSCLC; however, there is a significant need for new treatment options designed to prevent or treat a broad range of resistance mechanisms before they emerge, with the goal of prolonging patient benefit. There are no approved targeted therapies for patients with disease progression following osimertinib, and limited treatment options for patients with EGFR exon 20 insertion-positive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7178040" cy="36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65760"/>
                    </a:xfrm>
                    <a:prstGeom prst="rect">
                      <a:avLst/>
                    </a:prstGeom>
                    <a:noFill/>
                  </pic:spPr>
                </pic:pic>
              </a:graphicData>
            </a:graphic>
          </wp:anchor>
        </w:drawing>
      </w:r>
    </w:p>
    <w:p>
      <w:pPr>
        <w:spacing w:after="0" w:line="10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0A0A0A"/>
        </w:rPr>
        <w:t>BLU-701 and BLU-945 were designed to provide broad coverage of common activating and on-target resistance mutations, spare wild-type EGFR and other kinases to help limit off-target toxicities, and prevent or treat central nervous system (CNS) metastases. These preclinical profiles may enable BLU-701 and BLU-945 to become the backbones of a range of combination strategies across lines of therapy. The Phase 1/2 SYMPHONY trial (</w:t>
      </w:r>
      <w:r>
        <w:rPr>
          <w:rFonts w:ascii="Times New Roman" w:cs="Times New Roman" w:eastAsia="Times New Roman" w:hAnsi="Times New Roman"/>
          <w:sz w:val="12"/>
          <w:szCs w:val="12"/>
          <w:u w:val="single" w:color="auto"/>
          <w:color w:val="000000"/>
        </w:rPr>
        <w:t>NCT04862780</w:t>
      </w:r>
      <w:r>
        <w:rPr>
          <w:rFonts w:ascii="Times New Roman" w:cs="Times New Roman" w:eastAsia="Times New Roman" w:hAnsi="Times New Roman"/>
          <w:sz w:val="12"/>
          <w:szCs w:val="12"/>
          <w:color w:val="0A0A0A"/>
        </w:rPr>
        <w:t>) of BLU-945 and the Phase 1/2 HARMONY trial (</w:t>
      </w:r>
      <w:r>
        <w:rPr>
          <w:rFonts w:ascii="Times New Roman" w:cs="Times New Roman" w:eastAsia="Times New Roman" w:hAnsi="Times New Roman"/>
          <w:sz w:val="12"/>
          <w:szCs w:val="12"/>
          <w:u w:val="single" w:color="auto"/>
          <w:color w:val="000000"/>
        </w:rPr>
        <w:t>NCT05153408</w:t>
      </w:r>
      <w:r>
        <w:rPr>
          <w:rFonts w:ascii="Times New Roman" w:cs="Times New Roman" w:eastAsia="Times New Roman" w:hAnsi="Times New Roman"/>
          <w:sz w:val="12"/>
          <w:szCs w:val="12"/>
          <w:color w:val="0A0A0A"/>
        </w:rPr>
        <w:t>) of BLU-701 are currently ongoing for patients with EGFR-mutant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274320"/>
                    </a:xfrm>
                    <a:prstGeom prst="rect">
                      <a:avLst/>
                    </a:prstGeom>
                    <a:noFill/>
                  </pic:spPr>
                </pic:pic>
              </a:graphicData>
            </a:graphic>
          </wp:anchor>
        </w:drawing>
      </w:r>
    </w:p>
    <w:p>
      <w:pPr>
        <w:spacing w:after="0" w:line="9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0A0A0A"/>
        </w:rPr>
        <w:t>BLU-451 is a selective and potent inhibitor of EGFR exon 20 insertion-positive NSCLC. Based on preclinical data, BLU-451 potently inhibited all common EGFR exon 20 insertion variants with marked selectivity over wild-type EGFR and off-target kinases, and has shown CNS penetration. Blueprint Medicines has initiated a Phase 1/2 trial of BLU-451 (</w:t>
      </w:r>
      <w:r>
        <w:rPr>
          <w:rFonts w:ascii="Times New Roman" w:cs="Times New Roman" w:eastAsia="Times New Roman" w:hAnsi="Times New Roman"/>
          <w:sz w:val="12"/>
          <w:szCs w:val="12"/>
          <w:u w:val="single" w:color="auto"/>
          <w:color w:val="000000"/>
        </w:rPr>
        <w:t>NCT05241873</w:t>
      </w:r>
      <w:r>
        <w:rPr>
          <w:rFonts w:ascii="Times New Roman" w:cs="Times New Roman" w:eastAsia="Times New Roman" w:hAnsi="Times New Roman"/>
          <w:sz w:val="12"/>
          <w:szCs w:val="12"/>
          <w:color w:val="0A0A0A"/>
        </w:rPr>
        <w:t>) in EGFR exon 20 insertion-positive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7178040" cy="182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82880"/>
                    </a:xfrm>
                    <a:prstGeom prst="rect">
                      <a:avLst/>
                    </a:prstGeom>
                    <a:noFill/>
                  </pic:spPr>
                </pic:pic>
              </a:graphicData>
            </a:graphic>
          </wp:anchor>
        </w:drawing>
      </w:r>
    </w:p>
    <w:p>
      <w:pPr>
        <w:spacing w:after="0" w:line="91"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2"/>
          <w:szCs w:val="12"/>
          <w:color w:val="0A0A0A"/>
        </w:rPr>
        <w:t xml:space="preserve">To learn about ongoing or planned clinical trials, contact Blueprint Medicines at </w:t>
      </w:r>
      <w:r>
        <w:rPr>
          <w:rFonts w:ascii="Times New Roman" w:cs="Times New Roman" w:eastAsia="Times New Roman" w:hAnsi="Times New Roman"/>
          <w:sz w:val="12"/>
          <w:szCs w:val="12"/>
          <w:u w:val="single" w:color="auto"/>
          <w:color w:val="000000"/>
        </w:rPr>
        <w:t>medinfo@blueprintmedicines.com</w:t>
      </w:r>
      <w:r>
        <w:rPr>
          <w:rFonts w:ascii="Times New Roman" w:cs="Times New Roman" w:eastAsia="Times New Roman" w:hAnsi="Times New Roman"/>
          <w:sz w:val="12"/>
          <w:szCs w:val="12"/>
          <w:color w:val="0A0A0A"/>
        </w:rPr>
        <w:t xml:space="preserve"> or 1-888-BLU-PRNT (1-888-258-7768). Additional information is available at </w:t>
      </w:r>
      <w:r>
        <w:rPr>
          <w:rFonts w:ascii="Times New Roman" w:cs="Times New Roman" w:eastAsia="Times New Roman" w:hAnsi="Times New Roman"/>
          <w:sz w:val="12"/>
          <w:szCs w:val="12"/>
          <w:u w:val="single" w:color="auto"/>
          <w:color w:val="000000"/>
        </w:rPr>
        <w:t>blueprintclinicaltrials.com</w:t>
      </w:r>
      <w:r>
        <w:rPr>
          <w:rFonts w:ascii="Times New Roman" w:cs="Times New Roman" w:eastAsia="Times New Roman" w:hAnsi="Times New Roman"/>
          <w:sz w:val="12"/>
          <w:szCs w:val="12"/>
          <w:color w:val="0A0A0A"/>
        </w:rPr>
        <w:t xml:space="preserve"> or </w:t>
      </w:r>
      <w:r>
        <w:rPr>
          <w:rFonts w:ascii="Times New Roman" w:cs="Times New Roman" w:eastAsia="Times New Roman" w:hAnsi="Times New Roman"/>
          <w:sz w:val="12"/>
          <w:szCs w:val="12"/>
          <w:u w:val="single" w:color="auto"/>
          <w:color w:val="000000"/>
        </w:rPr>
        <w:t>clinicaltrials.gov</w:t>
      </w:r>
      <w:r>
        <w:rPr>
          <w:rFonts w:ascii="Times New Roman" w:cs="Times New Roman" w:eastAsia="Times New Roman" w:hAnsi="Times New Roman"/>
          <w:sz w:val="12"/>
          <w:szCs w:val="12"/>
          <w:color w:val="0A0A0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7178040" cy="182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63"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color w:val="0A0A0A"/>
        </w:rPr>
        <w:drawing>
          <wp:anchor simplePos="0" relativeHeight="251657728" behindDoc="1" locked="0" layoutInCell="0" allowOverlap="1">
            <wp:simplePos x="0" y="0"/>
            <wp:positionH relativeFrom="page">
              <wp:posOffset>6609080</wp:posOffset>
            </wp:positionH>
            <wp:positionV relativeFrom="page">
              <wp:posOffset>431800</wp:posOffset>
            </wp:positionV>
            <wp:extent cx="75438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54380" cy="274320"/>
                    </a:xfrm>
                    <a:prstGeom prst="rect">
                      <a:avLst/>
                    </a:prstGeom>
                    <a:noFill/>
                  </pic:spPr>
                </pic:pic>
              </a:graphicData>
            </a:graphic>
          </wp:anchor>
        </w:drawing>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914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as amended, including, without limitation, statements regarding Blueprint Medicines’ plans, strategies, timelines and expectations for clinical trials, trial cohorts and indications; the anticipated benefits of the preclinical profiles of BLU-945, BLU-701 and BLU-451; Blueprint Medicines’ plans, strategies and timelines for the development of BLU-945 and BLU-701 as monotherapies and in combination with other agents; the potential benefits of Blueprint Medicines’ current or future approved drugs or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 (avapritinib) and GAVRETO® (pralsetinib); Blueprint Medicines’ ability to successfully expand the approved indications for AYVAKIT and GAVRETO or obtain marketing and reimbursement approvals for AYVAKIT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and marketing applications; Blueprint Medicines’ ability to develop and commercialize companion diagnostic tests for its current and future drug candidates; Blueprint Medicines’ ability to successfully expand its operations, research platform and portfolio of therapeutic candidates, and the timing and costs thereof; Blueprint Medicines’ ability to realize the anticipated benefits of its executive leadership transition plan; and the success of Blueprint Medicines’ current and future acquisitions,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color w:val="0A0A0A"/>
        </w:rPr>
        <w:drawing>
          <wp:anchor simplePos="0" relativeHeight="251657728" behindDoc="1" locked="0" layoutInCell="0" allowOverlap="1">
            <wp:simplePos x="0" y="0"/>
            <wp:positionH relativeFrom="page">
              <wp:posOffset>6609080</wp:posOffset>
            </wp:positionH>
            <wp:positionV relativeFrom="page">
              <wp:posOffset>431800</wp:posOffset>
            </wp:positionV>
            <wp:extent cx="75438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54380" cy="274320"/>
                    </a:xfrm>
                    <a:prstGeom prst="rect">
                      <a:avLst/>
                    </a:prstGeom>
                    <a:noFill/>
                  </pic:spPr>
                </pic:pic>
              </a:graphicData>
            </a:graphic>
          </wp:anchor>
        </w:drawing>
        <w:t>About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91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0A0A0A"/>
        </w:rPr>
        <w:t xml:space="preserve">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t>
      </w:r>
      <w:r>
        <w:rPr>
          <w:rFonts w:ascii="Times New Roman" w:cs="Times New Roman" w:eastAsia="Times New Roman" w:hAnsi="Times New Roman"/>
          <w:sz w:val="12"/>
          <w:szCs w:val="12"/>
          <w:u w:val="single" w:color="auto"/>
          <w:color w:val="000000"/>
        </w:rPr>
        <w:t>www.BlueprintMedicines.com</w:t>
      </w:r>
      <w:r>
        <w:rPr>
          <w:rFonts w:ascii="Times New Roman" w:cs="Times New Roman" w:eastAsia="Times New Roman" w:hAnsi="Times New Roman"/>
          <w:sz w:val="12"/>
          <w:szCs w:val="12"/>
          <w:color w:val="0A0A0A"/>
        </w:rPr>
        <w:t xml:space="preserve"> and follow us on </w:t>
      </w:r>
      <w:r>
        <w:rPr>
          <w:rFonts w:ascii="Times New Roman" w:cs="Times New Roman" w:eastAsia="Times New Roman" w:hAnsi="Times New Roman"/>
          <w:sz w:val="12"/>
          <w:szCs w:val="12"/>
          <w:u w:val="single" w:color="auto"/>
          <w:color w:val="000000"/>
        </w:rPr>
        <w:t>Twitter</w:t>
      </w:r>
      <w:r>
        <w:rPr>
          <w:rFonts w:ascii="Times New Roman" w:cs="Times New Roman" w:eastAsia="Times New Roman" w:hAnsi="Times New Roman"/>
          <w:sz w:val="12"/>
          <w:szCs w:val="12"/>
          <w:color w:val="0A0A0A"/>
        </w:rPr>
        <w:t xml:space="preserve"> (@BlueprintMeds) and </w:t>
      </w:r>
      <w:r>
        <w:rPr>
          <w:rFonts w:ascii="Times New Roman" w:cs="Times New Roman" w:eastAsia="Times New Roman" w:hAnsi="Times New Roman"/>
          <w:sz w:val="12"/>
          <w:szCs w:val="12"/>
          <w:u w:val="single" w:color="auto"/>
          <w:color w:val="000000"/>
        </w:rPr>
        <w:t>LinkedIn</w:t>
      </w:r>
      <w:r>
        <w:rPr>
          <w:rFonts w:ascii="Times New Roman" w:cs="Times New Roman" w:eastAsia="Times New Roman" w:hAnsi="Times New Roman"/>
          <w:sz w:val="12"/>
          <w:szCs w:val="12"/>
          <w:color w:val="0A0A0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7178040" cy="36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6576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Trademarks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Blueprint Medicines, AYVAKIT,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78040" cy="91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Law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617-844-8205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media@blueprintmedicines.com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Kristin Hodous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617-714-6674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280"/>
      </w:cols>
      <w:pgMar w:left="300" w:top="12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2022-04-08T12:22:14Z</dcterms:created>
  <dcterms:modified xsi:type="dcterms:W3CDTF">2022-04-08T12:22:14Z</dcterms:modified>
</cp:coreProperties>
</file>