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333-210125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333-216575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333-223131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333-236421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333-238039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333-253215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333-262800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333-277149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333-280405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 TO:</w:t>
      </w:r>
    </w:p>
    <w:p>
      <w:pPr>
        <w:spacing w:after="0" w:line="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FORM S-8 REGISTRATION STATEMENT NO. 333-203749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333-210125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333-216575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333-223131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333-229885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333-236421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333-238039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333-253215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333-262800</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333-266469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333-269844</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333-277149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333-280405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333-284918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212090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2011 Stock Option and Grant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Amended and Restated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Michael J. Tolpa</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Treasurer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Wilmington, Delaware 19808</w:t>
      </w:r>
    </w:p>
    <w:p>
      <w:pPr>
        <w:sectPr>
          <w:pgSz w:w="11900" w:h="16838" w:orient="portrait"/>
          <w:cols w:equalWidth="0" w:num="1">
            <w:col w:w="10020"/>
          </w:cols>
          <w:pgMar w:left="1440" w:top="225" w:right="439" w:bottom="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(302) 636-5401</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310-8000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Blueprint Medicines Corporation, a Delaware corporation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istrant</w:t>
      </w:r>
      <w:r>
        <w:rPr>
          <w:rFonts w:ascii="Times New Roman" w:cs="Times New Roman" w:eastAsia="Times New Roman" w:hAnsi="Times New Roman"/>
          <w:sz w:val="18"/>
          <w:szCs w:val="18"/>
          <w:color w:val="auto"/>
        </w:rPr>
        <w:t>”), is filing with the U.S. Securities and Exchange Commission 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to deregister all shares of common stock, par value $0.001 per share, of the Registrant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previously registered under the following Registration Statements on Form S-8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Statements</w:t>
      </w:r>
      <w:r>
        <w:rPr>
          <w:rFonts w:ascii="Times New Roman" w:cs="Times New Roman" w:eastAsia="Times New Roman" w:hAnsi="Times New Roman"/>
          <w:sz w:val="18"/>
          <w:szCs w:val="18"/>
          <w:color w:val="auto"/>
        </w:rPr>
        <w:t>”), together with any and all plan interests and other securities registered thereunder:</w:t>
      </w:r>
    </w:p>
    <w:p>
      <w:pPr>
        <w:spacing w:after="0" w:line="85" w:lineRule="exact"/>
        <w:rPr>
          <w:sz w:val="20"/>
          <w:szCs w:val="20"/>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333-203749,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30, 2015, relating to the registration of 3,598,200 Shares under the Blueprint Medicines Corporation 2011 Stock Option and Grant Plan, Blueprint Medicines Corporation 2015 Stock Option and Incentive Plan and the Blueprint Medicines Corporation 2015 Employee Stock Purchase Plan;</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333-210125,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11, 2016, relating to the registration of 1,359,802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333-216575,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9, 2017, relating to the registration of 1,656,273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color w:val="0000EE"/>
          </w:rPr>
          <w:t>333-223131,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21, 2018, relating to the registration of 2,178,876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color w:val="0000EE"/>
          </w:rPr>
          <w:t>333-229885,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26, 2019, relating to the registration of 2,201,851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color w:val="0000EE"/>
          </w:rPr>
          <w:t>333-236421,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13, 2020, relating to the registration of 2,463,610 Shares under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333-238039,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6, 2020, relating to the registration of 1,000,000 Shares under the Blueprint Medicines Corporation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333-253215,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2021, relating to the registration of 2,889,676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333-262800,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2022, relating to the registration of 2,957,053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333-266469,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 2022 relating to the registration of 1,500,000 Shares under the Amended and Restated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9">
        <w:r>
          <w:rPr>
            <w:rFonts w:ascii="Times New Roman" w:cs="Times New Roman" w:eastAsia="Times New Roman" w:hAnsi="Times New Roman"/>
            <w:sz w:val="18"/>
            <w:szCs w:val="18"/>
            <w:u w:val="single" w:color="auto"/>
            <w:color w:val="0000EE"/>
          </w:rPr>
          <w:t>333-269844,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2023, relating to the registration of 2,997,945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0">
        <w:r>
          <w:rPr>
            <w:rFonts w:ascii="Times New Roman" w:cs="Times New Roman" w:eastAsia="Times New Roman" w:hAnsi="Times New Roman"/>
            <w:sz w:val="18"/>
            <w:szCs w:val="18"/>
            <w:u w:val="single" w:color="auto"/>
            <w:color w:val="0000EE"/>
          </w:rPr>
          <w:t>333-277149,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16, 2024 relating to the registration of 3,057,361 Shares under the 2015 Stock Option and Incentive Plan and the 2015 Employee Stock Purchase Plan;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1855470</wp:posOffset>
            </wp:positionH>
            <wp:positionV relativeFrom="paragraph">
              <wp:posOffset>-2997200</wp:posOffset>
            </wp:positionV>
            <wp:extent cx="609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-2645410</wp:posOffset>
            </wp:positionV>
            <wp:extent cx="609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-2294255</wp:posOffset>
            </wp:positionV>
            <wp:extent cx="609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3" w:name="page4"/>
    <w:bookmarkEnd w:id="3"/>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No. </w:t>
      </w:r>
      <w:hyperlink r:id="rId35">
        <w:r>
          <w:rPr>
            <w:rFonts w:ascii="Times New Roman" w:cs="Times New Roman" w:eastAsia="Times New Roman" w:hAnsi="Times New Roman"/>
            <w:sz w:val="18"/>
            <w:szCs w:val="18"/>
            <w:u w:val="single" w:color="auto"/>
            <w:color w:val="0000EE"/>
          </w:rPr>
          <w:t>333-280405,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21, 2024 relating to the registration of 9,200,000 Shares under the 2024 Stock Incentive Plan; and</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6">
        <w:r>
          <w:rPr>
            <w:rFonts w:ascii="Times New Roman" w:cs="Times New Roman" w:eastAsia="Times New Roman" w:hAnsi="Times New Roman"/>
            <w:sz w:val="18"/>
            <w:szCs w:val="18"/>
            <w:u w:val="single" w:color="auto"/>
            <w:color w:val="0000EE"/>
          </w:rPr>
          <w:t>333-284918,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relating to the registration of 637,122 Shares under the 2015 Employee Stock Purchase Plan.</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July 17, 2025, pursuant to the terms of the Agreement and Plan of Merger, dated as of June 2, 2025, by and among the Registrant,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Rothko Merger Sub, Inc., a Delaware corporation and wholly owned Subsidiary of Aventis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Merger, the Registrant has terminated all offerings and sales pursuant to the Registration Statements. In accordance with an undertaking made by the Registrant in the Registration Statements to remove from registration, by means of a post-effective amendment, any of the securities registered under the Registration Statements that remain unsold at the termination of the offerings, the Registrant hereby amends the Registration Statements to remove from registration the Shares registered but remaining unsold under the Registration Statements.</w:t>
      </w:r>
    </w:p>
    <w:p>
      <w:pPr>
        <w:sectPr>
          <w:pgSz w:w="11900" w:h="16838" w:orient="portrait"/>
          <w:cols w:equalWidth="0" w:num="1">
            <w:col w:w="10780"/>
          </w:cols>
          <w:pgMar w:left="440" w:top="270" w:right="6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in the Commonwealth of Massachusetts, on July 18,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BLUEPRINT MEDECINES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Tolpa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478 of the Securities Act of 1933, as amended, no other person is required to sign these Post-Effective Amendments to the Registration Statements.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19" Type="http://schemas.openxmlformats.org/officeDocument/2006/relationships/hyperlink" Target="http://www.sec.gov/Archives/edgar/data/1597264/000110465915032381/a15-10041_1s8.htm" TargetMode="External"/><Relationship Id="rId20" Type="http://schemas.openxmlformats.org/officeDocument/2006/relationships/hyperlink" Target="http://www.sec.gov/Archives/edgar/data/1597264/000155837016004067/bpmc-20160311xs8.htm" TargetMode="External"/><Relationship Id="rId21" Type="http://schemas.openxmlformats.org/officeDocument/2006/relationships/hyperlink" Target="http://www.sec.gov/Archives/edgar/data/1597264/000155837017001552/bpmc_currentfolios8.htm" TargetMode="External"/><Relationship Id="rId22" Type="http://schemas.openxmlformats.org/officeDocument/2006/relationships/hyperlink" Target="http://www.sec.gov/Archives/edgar/data/1597264/000155837018000868/s-8.htm" TargetMode="External"/><Relationship Id="rId23" Type="http://schemas.openxmlformats.org/officeDocument/2006/relationships/hyperlink" Target="http://www.sec.gov/Archives/edgar/data/1597264/000155837019001099/s-8.htm" TargetMode="External"/><Relationship Id="rId24" Type="http://schemas.openxmlformats.org/officeDocument/2006/relationships/hyperlink" Target="http://www.sec.gov/Archives/edgar/data/1597264/000155837020000787/s-8.htm" TargetMode="External"/><Relationship Id="rId25" Type="http://schemas.openxmlformats.org/officeDocument/2006/relationships/hyperlink" Target="http://www.sec.gov/Archives/edgar/data/1597264/000155837020005420/tmb-20200506xs8.htm" TargetMode="External"/><Relationship Id="rId26" Type="http://schemas.openxmlformats.org/officeDocument/2006/relationships/hyperlink" Target="http://www.sec.gov/Archives/edgar/data/1597264/000155837021001147/tmb-20210217xs8.htm" TargetMode="External"/><Relationship Id="rId27" Type="http://schemas.openxmlformats.org/officeDocument/2006/relationships/hyperlink" Target="http://www.sec.gov/Archives/edgar/data/1597264/000110465922024503/tm226665d1_s8.htm" TargetMode="External"/><Relationship Id="rId28" Type="http://schemas.openxmlformats.org/officeDocument/2006/relationships/hyperlink" Target="http://www.sec.gov/Archives/edgar/data/1597264/000110465922085262/tm2222251d1_s8.htm" TargetMode="External"/><Relationship Id="rId29" Type="http://schemas.openxmlformats.org/officeDocument/2006/relationships/hyperlink" Target="http://www.sec.gov/Archives/edgar/data/1597264/000110465923023067/tm236850d1_s8.htm" TargetMode="External"/><Relationship Id="rId30" Type="http://schemas.openxmlformats.org/officeDocument/2006/relationships/hyperlink" Target="http://www.sec.gov/Archives/edgar/data/1597264/000110465924024937/tm246267d1_s8.htm" TargetMode="External"/><Relationship Id="rId35" Type="http://schemas.openxmlformats.org/officeDocument/2006/relationships/hyperlink" Target="http://www.sec.gov/Archives/edgar/data/1597264/000110465924073973/tm2417605d1_s8.htm" TargetMode="External"/><Relationship Id="rId36" Type="http://schemas.openxmlformats.org/officeDocument/2006/relationships/hyperlink" Target="http://www.sec.gov/Archives/edgar/data/1597264/000155837025000954/tmb-20250213x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2025-07-18T15:19:48Z</dcterms:created>
  <dcterms:modified xsi:type="dcterms:W3CDTF">2025-07-18T15:19:48Z</dcterms:modified>
</cp:coreProperties>
</file>