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#09627Y109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8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4,670,794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4,673,111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4,673,111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7.687%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4,673,111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4,673,111</w:t>
      </w:r>
    </w:p>
    <w:p>
      <w:pPr>
        <w:spacing w:after="0"/>
        <w:rPr>
          <w:sz w:val="20"/>
          <w:szCs w:val="20"/>
          <w:color w:val="auto"/>
        </w:rPr>
      </w:pPr>
      <w:r>
        <w:rPr>
          <w:rFonts w:ascii="Courier New" w:cs="Courier New" w:eastAsia="Courier New" w:hAnsi="Courier New"/>
          <w:sz w:val="18"/>
          <w:szCs w:val="18"/>
          <w:color w:val="auto"/>
        </w:rPr>
        <w:t>Item 11: 7.687%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1" w:lineRule="exact"/>
        <w:rPr>
          <w:sz w:val="24"/>
          <w:szCs w:val="24"/>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4,673,111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7.687%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26" w:right="1440" w:bottom="0" w:gutter="0" w:footer="0" w:header="0"/>
        </w:sectPr>
      </w:pPr>
    </w:p>
    <w:bookmarkStart w:id="1" w:name="page2"/>
    <w:bookmarkEnd w:id="1"/>
    <w:p>
      <w:pPr>
        <w:ind w:right="2439" w:firstLine="8"/>
        <w:spacing w:after="0" w:line="25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6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4,673,111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385"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4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10,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18"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ind w:right="2019" w:firstLine="8"/>
        <w:spacing w:after="0" w:line="24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20" w:right="1440" w:bottom="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2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21" w:lineRule="exact"/>
        <w:rPr>
          <w:sz w:val="20"/>
          <w:szCs w:val="20"/>
          <w:color w:val="auto"/>
        </w:rPr>
      </w:pPr>
    </w:p>
    <w:p>
      <w:pPr>
        <w:sectPr>
          <w:pgSz w:w="11900" w:h="16838" w:orient="portrait"/>
          <w:cols w:equalWidth="0" w:num="2">
            <w:col w:w="5580" w:space="220"/>
            <w:col w:w="4339"/>
          </w:cols>
          <w:pgMar w:left="320" w:top="320"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20" w:right="1440" w:bottom="0" w:gutter="0" w:footer="0" w:header="0"/>
          <w:type w:val="continuous"/>
        </w:sectPr>
      </w:pPr>
    </w:p>
    <w:bookmarkStart w:id="2" w:name="page3"/>
    <w:bookmarkEnd w:id="2"/>
    <w:p>
      <w:pPr>
        <w:ind w:right="2439" w:firstLine="8"/>
        <w:spacing w:after="0" w:line="25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0"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The undersigned persons, on November 10, 2023, agree and consent to the joint filing on their behalf of this Schedule 13G in connection with their beneficial ownership of the COMMON STOCK of BLUEPRINT MEDICINES CORP at October 31, 2023.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386" w:lineRule="exact"/>
        <w:rPr>
          <w:sz w:val="20"/>
          <w:szCs w:val="20"/>
          <w:color w:val="auto"/>
        </w:rPr>
      </w:pPr>
    </w:p>
    <w:p>
      <w:pPr>
        <w:ind w:right="2019" w:firstLine="8"/>
        <w:spacing w:after="0" w:line="249"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175" w:lineRule="exact"/>
        <w:rPr>
          <w:sz w:val="20"/>
          <w:szCs w:val="20"/>
          <w:color w:val="auto"/>
        </w:rPr>
      </w:pPr>
    </w:p>
    <w:p>
      <w:pPr>
        <w:ind w:right="1919" w:firstLine="8"/>
        <w:spacing w:after="0" w:line="249"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2023-11-13T08:18:52Z</dcterms:created>
  <dcterms:modified xsi:type="dcterms:W3CDTF">2023-11-13T08:18:52Z</dcterms:modified>
</cp:coreProperties>
</file>