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5"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line="203"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8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5" w:lineRule="exact"/>
        <w:rPr>
          <w:sz w:val="24"/>
          <w:szCs w:val="24"/>
          <w:color w:val="auto"/>
        </w:rPr>
      </w:pPr>
    </w:p>
    <w:p>
      <w:pPr>
        <w:ind w:left="260"/>
        <w:spacing w:after="0" w:line="242" w:lineRule="exact"/>
        <w:rPr>
          <w:sz w:val="24"/>
          <w:szCs w:val="24"/>
          <w:color w:val="auto"/>
        </w:rPr>
      </w:pPr>
      <w:r>
        <w:rPr>
          <w:rFonts w:ascii="Arial Unicode MS" w:cs="Arial Unicode MS" w:eastAsia="Arial Unicode MS" w:hAnsi="Arial Unicode MS"/>
          <w:sz w:val="18"/>
          <w:szCs w:val="18"/>
          <w:color w:val="auto"/>
        </w:rPr>
        <w:t>☒</w:t>
      </w:r>
      <w:r>
        <w:rPr>
          <w:rFonts w:ascii="Arial" w:cs="Arial" w:eastAsia="Arial" w:hAnsi="Arial"/>
          <w:sz w:val="18"/>
          <w:szCs w:val="18"/>
          <w:b w:val="1"/>
          <w:bCs w:val="1"/>
          <w:color w:val="auto"/>
        </w:rPr>
        <w:t xml:space="preserve"> QUARTERLY REPORT PURSUANT TO SECTION 13 OR 15(d) OF THE 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period-ended September 30, 2017</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39" w:lineRule="exact"/>
        <w:rPr>
          <w:sz w:val="24"/>
          <w:szCs w:val="24"/>
          <w:color w:val="auto"/>
        </w:rPr>
      </w:pPr>
    </w:p>
    <w:p>
      <w:pPr>
        <w:ind w:left="260"/>
        <w:spacing w:after="0"/>
        <w:rPr>
          <w:sz w:val="24"/>
          <w:szCs w:val="24"/>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001-37359</w:t>
      </w: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BLUEPRINT MEDICINES CORPORATION</w:t>
      </w:r>
    </w:p>
    <w:p>
      <w:pPr>
        <w:jc w:val="center"/>
        <w:spacing w:after="0" w:line="213" w:lineRule="auto"/>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98"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5640" w:type="dxa"/>
            <w:vAlign w:val="bottom"/>
          </w:tcPr>
          <w:p>
            <w:pPr>
              <w:jc w:val="center"/>
              <w:ind w:right="3488"/>
              <w:spacing w:after="0"/>
              <w:rPr>
                <w:sz w:val="20"/>
                <w:szCs w:val="20"/>
                <w:color w:val="auto"/>
              </w:rPr>
            </w:pPr>
            <w:r>
              <w:rPr>
                <w:rFonts w:ascii="Arial" w:cs="Arial" w:eastAsia="Arial" w:hAnsi="Arial"/>
                <w:sz w:val="18"/>
                <w:szCs w:val="18"/>
                <w:b w:val="1"/>
                <w:bCs w:val="1"/>
                <w:color w:val="auto"/>
                <w:w w:val="91"/>
              </w:rPr>
              <w:t>Delaware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5"/>
              </w:rPr>
              <w:t>26-3632015</w:t>
            </w:r>
          </w:p>
        </w:tc>
        <w:tc>
          <w:tcPr>
            <w:tcW w:w="0" w:type="dxa"/>
            <w:vAlign w:val="bottom"/>
          </w:tcPr>
          <w:p>
            <w:pPr>
              <w:spacing w:after="0"/>
              <w:rPr>
                <w:sz w:val="1"/>
                <w:szCs w:val="1"/>
                <w:color w:val="auto"/>
              </w:rPr>
            </w:pPr>
          </w:p>
        </w:tc>
      </w:tr>
      <w:tr>
        <w:trPr>
          <w:trHeight w:val="108"/>
        </w:trPr>
        <w:tc>
          <w:tcPr>
            <w:tcW w:w="5640" w:type="dxa"/>
            <w:vAlign w:val="bottom"/>
          </w:tcPr>
          <w:p>
            <w:pPr>
              <w:jc w:val="center"/>
              <w:ind w:right="3488"/>
              <w:spacing w:after="0" w:line="109" w:lineRule="exact"/>
              <w:rPr>
                <w:sz w:val="20"/>
                <w:szCs w:val="20"/>
                <w:color w:val="auto"/>
              </w:rPr>
            </w:pPr>
            <w:r>
              <w:rPr>
                <w:rFonts w:ascii="Arial" w:cs="Arial" w:eastAsia="Arial" w:hAnsi="Arial"/>
                <w:sz w:val="11"/>
                <w:szCs w:val="11"/>
                <w:b w:val="1"/>
                <w:bCs w:val="1"/>
                <w:color w:val="auto"/>
                <w:w w:val="89"/>
              </w:rPr>
              <w:t>(State or Other Jurisdiction of</w:t>
            </w:r>
          </w:p>
        </w:tc>
        <w:tc>
          <w:tcPr>
            <w:tcW w:w="9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5640" w:type="dxa"/>
            <w:vAlign w:val="bottom"/>
          </w:tcPr>
          <w:p>
            <w:pPr>
              <w:jc w:val="center"/>
              <w:ind w:right="3488"/>
              <w:spacing w:after="0"/>
              <w:rPr>
                <w:sz w:val="20"/>
                <w:szCs w:val="20"/>
                <w:color w:val="auto"/>
              </w:rPr>
            </w:pPr>
            <w:r>
              <w:rPr>
                <w:rFonts w:ascii="Arial" w:cs="Arial" w:eastAsia="Arial" w:hAnsi="Arial"/>
                <w:sz w:val="11"/>
                <w:szCs w:val="11"/>
                <w:b w:val="1"/>
                <w:bCs w:val="1"/>
                <w:color w:val="auto"/>
                <w:w w:val="90"/>
              </w:rPr>
              <w:t>Incorporation or Organization)</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51"/>
        </w:trPr>
        <w:tc>
          <w:tcPr>
            <w:tcW w:w="5640" w:type="dxa"/>
            <w:vAlign w:val="bottom"/>
          </w:tcPr>
          <w:p>
            <w:pPr>
              <w:jc w:val="center"/>
              <w:ind w:right="3488"/>
              <w:spacing w:after="0"/>
              <w:rPr>
                <w:sz w:val="20"/>
                <w:szCs w:val="20"/>
                <w:color w:val="auto"/>
              </w:rPr>
            </w:pPr>
            <w:r>
              <w:rPr>
                <w:rFonts w:ascii="Arial" w:cs="Arial" w:eastAsia="Arial" w:hAnsi="Arial"/>
                <w:sz w:val="18"/>
                <w:szCs w:val="18"/>
                <w:b w:val="1"/>
                <w:bCs w:val="1"/>
                <w:color w:val="auto"/>
                <w:w w:val="89"/>
              </w:rPr>
              <w:t>38 Sidney Street, Suite 200</w:t>
            </w:r>
          </w:p>
        </w:tc>
        <w:tc>
          <w:tcPr>
            <w:tcW w:w="94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76"/>
        </w:trPr>
        <w:tc>
          <w:tcPr>
            <w:tcW w:w="5640" w:type="dxa"/>
            <w:vAlign w:val="bottom"/>
          </w:tcPr>
          <w:p>
            <w:pPr>
              <w:jc w:val="center"/>
              <w:ind w:right="3488"/>
              <w:spacing w:after="0" w:line="176" w:lineRule="exact"/>
              <w:rPr>
                <w:sz w:val="20"/>
                <w:szCs w:val="20"/>
                <w:color w:val="auto"/>
              </w:rPr>
            </w:pPr>
            <w:r>
              <w:rPr>
                <w:rFonts w:ascii="Arial" w:cs="Arial" w:eastAsia="Arial" w:hAnsi="Arial"/>
                <w:sz w:val="18"/>
                <w:szCs w:val="18"/>
                <w:b w:val="1"/>
                <w:bCs w:val="1"/>
                <w:color w:val="auto"/>
                <w:w w:val="89"/>
              </w:rPr>
              <w:t>Cambridge, Massachusetts</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640" w:type="dxa"/>
            <w:vAlign w:val="bottom"/>
          </w:tcPr>
          <w:p>
            <w:pPr>
              <w:jc w:val="center"/>
              <w:ind w:right="3488"/>
              <w:spacing w:after="0" w:line="109"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9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176"/>
        </w:trPr>
        <w:tc>
          <w:tcPr>
            <w:tcW w:w="5640" w:type="dxa"/>
            <w:vAlign w:val="bottom"/>
          </w:tcPr>
          <w:p>
            <w:pPr>
              <w:jc w:val="right"/>
              <w:ind w:right="1468"/>
              <w:spacing w:after="0" w:line="176" w:lineRule="exact"/>
              <w:rPr>
                <w:sz w:val="20"/>
                <w:szCs w:val="20"/>
                <w:color w:val="auto"/>
              </w:rPr>
            </w:pPr>
            <w:r>
              <w:rPr>
                <w:rFonts w:ascii="Arial" w:cs="Arial" w:eastAsia="Arial" w:hAnsi="Arial"/>
                <w:sz w:val="18"/>
                <w:szCs w:val="18"/>
                <w:b w:val="1"/>
                <w:bCs w:val="1"/>
                <w:color w:val="auto"/>
              </w:rPr>
              <w:t>(617) 374-7580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640" w:type="dxa"/>
            <w:vAlign w:val="bottom"/>
          </w:tcPr>
          <w:p>
            <w:pPr>
              <w:jc w:val="center"/>
              <w:ind w:left="1348"/>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5640" w:type="dxa"/>
            <w:vAlign w:val="bottom"/>
          </w:tcPr>
          <w:p>
            <w:pPr>
              <w:jc w:val="center"/>
              <w:ind w:left="1348"/>
              <w:spacing w:after="0"/>
              <w:rPr>
                <w:sz w:val="20"/>
                <w:szCs w:val="20"/>
                <w:color w:val="auto"/>
              </w:rPr>
            </w:pPr>
            <w:r>
              <w:rPr>
                <w:rFonts w:ascii="Arial" w:cs="Arial" w:eastAsia="Arial" w:hAnsi="Arial"/>
                <w:sz w:val="11"/>
                <w:szCs w:val="11"/>
                <w:b w:val="1"/>
                <w:bCs w:val="1"/>
                <w:color w:val="auto"/>
                <w:w w:val="89"/>
              </w:rPr>
              <w:t>(Former Name, Former Address and Former Fiscal Year, if Changed Since Last Report)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40" w:type="dxa"/>
            <w:vAlign w:val="bottom"/>
          </w:tcPr>
          <w:p>
            <w:pPr>
              <w:jc w:val="right"/>
              <w:ind w:right="728"/>
              <w:spacing w:after="0"/>
              <w:rPr>
                <w:sz w:val="20"/>
                <w:szCs w:val="20"/>
                <w:color w:val="auto"/>
              </w:rPr>
            </w:pPr>
            <w:r>
              <w:rPr>
                <w:rFonts w:ascii="Arial" w:cs="Arial" w:eastAsia="Arial" w:hAnsi="Arial"/>
                <w:sz w:val="18"/>
                <w:szCs w:val="18"/>
                <w:b w:val="1"/>
                <w:bCs w:val="1"/>
                <w:color w:val="auto"/>
              </w:rPr>
              <w:t>_____________________________</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4"/>
          <w:szCs w:val="24"/>
          <w:color w:val="auto"/>
        </w:rPr>
      </w:pPr>
    </w:p>
    <w:p>
      <w:pPr>
        <w:ind w:right="24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114" w:lineRule="exact"/>
        <w:rPr>
          <w:sz w:val="24"/>
          <w:szCs w:val="24"/>
          <w:color w:val="auto"/>
        </w:rPr>
      </w:pPr>
    </w:p>
    <w:p>
      <w:pPr>
        <w:ind w:right="28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127" w:lineRule="exact"/>
        <w:rPr>
          <w:sz w:val="24"/>
          <w:szCs w:val="24"/>
          <w:color w:val="auto"/>
        </w:rPr>
      </w:pPr>
    </w:p>
    <w:p>
      <w:pPr>
        <w:ind w:firstLine="415"/>
        <w:spacing w:after="0" w:line="31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spacing w:after="0"/>
              <w:rPr>
                <w:sz w:val="19"/>
                <w:szCs w:val="19"/>
                <w:color w:val="auto"/>
              </w:rPr>
            </w:pPr>
          </w:p>
        </w:tc>
        <w:tc>
          <w:tcPr>
            <w:tcW w:w="2160" w:type="dxa"/>
            <w:vAlign w:val="bottom"/>
          </w:tcPr>
          <w:p>
            <w:pPr>
              <w:ind w:left="38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84"/>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260"/>
              <w:spacing w:after="0"/>
              <w:rPr>
                <w:sz w:val="20"/>
                <w:szCs w:val="20"/>
                <w:color w:val="auto"/>
              </w:rPr>
            </w:pPr>
            <w:r>
              <w:rPr>
                <w:rFonts w:ascii="Arial" w:cs="Arial" w:eastAsia="Arial" w:hAnsi="Arial"/>
                <w:sz w:val="14"/>
                <w:szCs w:val="14"/>
                <w:color w:val="auto"/>
              </w:rPr>
              <w:t>(Do not check if a smaller reporting company)</w:t>
            </w:r>
          </w:p>
        </w:tc>
        <w:tc>
          <w:tcPr>
            <w:tcW w:w="2160" w:type="dxa"/>
            <w:vAlign w:val="bottom"/>
          </w:tcPr>
          <w:p>
            <w:pPr>
              <w:ind w:left="38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spacing w:after="0"/>
              <w:rPr>
                <w:sz w:val="24"/>
                <w:szCs w:val="24"/>
                <w:color w:val="auto"/>
              </w:rPr>
            </w:pPr>
          </w:p>
        </w:tc>
      </w:tr>
      <w:tr>
        <w:trPr>
          <w:trHeight w:val="284"/>
        </w:trPr>
        <w:tc>
          <w:tcPr>
            <w:tcW w:w="18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480" w:type="dxa"/>
            <w:vAlign w:val="bottom"/>
          </w:tcPr>
          <w:p>
            <w:pPr>
              <w:ind w:left="2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58" w:lineRule="exact"/>
        <w:rPr>
          <w:sz w:val="24"/>
          <w:szCs w:val="24"/>
          <w:color w:val="auto"/>
        </w:rPr>
      </w:pPr>
    </w:p>
    <w:p>
      <w:pPr>
        <w:ind w:right="180" w:firstLine="415"/>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ind w:left="420" w:right="1840"/>
        <w:spacing w:after="0" w:line="22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Number of shares of the registrant’s common stock, $0.001 par value, outstanding on October 25, 2017: 39,203,200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814705</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220" w:right="91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580" w:type="dxa"/>
            <w:vAlign w:val="bottom"/>
            <w:gridSpan w:val="12"/>
            <w:vMerge w:val="restart"/>
          </w:tcPr>
          <w:p>
            <w:pPr>
              <w:jc w:val="center"/>
              <w:ind w:right="244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580" w:type="dxa"/>
            <w:vAlign w:val="bottom"/>
            <w:gridSpan w:val="1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Financial Statements (unaudited)</w:t>
              </w:r>
            </w:hyperlink>
          </w:p>
        </w:tc>
        <w:tc>
          <w:tcPr>
            <w:tcW w:w="5460" w:type="dxa"/>
            <w:vAlign w:val="bottom"/>
            <w:gridSpan w:val="11"/>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September 30, 2017 and December 31, 2016</w:t>
              </w:r>
            </w:hyperlink>
          </w:p>
        </w:tc>
        <w:tc>
          <w:tcPr>
            <w:tcW w:w="1200" w:type="dxa"/>
            <w:vAlign w:val="bottom"/>
            <w:gridSpan w:val="3"/>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9"/>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Operations and Comprehensive Loss for the three and nine</w:t>
              </w:r>
            </w:hyperlink>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100" w:type="dxa"/>
            <w:vAlign w:val="bottom"/>
            <w:tcBorders>
              <w:top w:val="single" w:sz="8" w:color="0000EE"/>
            </w:tcBorders>
            <w:gridSpan w:val="17"/>
          </w:tcPr>
          <w:p>
            <w:pPr>
              <w:spacing w:after="0" w:line="156" w:lineRule="exact"/>
              <w:rPr>
                <w:rFonts w:ascii="Arial" w:cs="Arial" w:eastAsia="Arial" w:hAnsi="Arial"/>
                <w:sz w:val="18"/>
                <w:szCs w:val="18"/>
                <w:color w:val="0000EE"/>
              </w:rPr>
            </w:pPr>
            <w:hyperlink w:anchor="page6">
              <w:r>
                <w:rPr>
                  <w:rFonts w:ascii="Arial" w:cs="Arial" w:eastAsia="Arial" w:hAnsi="Arial"/>
                  <w:sz w:val="18"/>
                  <w:szCs w:val="18"/>
                  <w:color w:val="0000EE"/>
                </w:rPr>
                <w:t>months ended September 30, 2017 and 2016</w:t>
              </w:r>
            </w:hyperlink>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9"/>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Cash Flows for the nine months ended September 30, 2017 and</w:t>
              </w:r>
            </w:hyperlink>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2016</w:t>
              </w:r>
            </w:hyperlink>
          </w:p>
        </w:tc>
        <w:tc>
          <w:tcPr>
            <w:tcW w:w="18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9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06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780" w:type="dxa"/>
            <w:vAlign w:val="bottom"/>
            <w:gridSpan w:val="8"/>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0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Item 2. Management’s Discussion and Analysis of Financial Condition and Results of Operations</w:t>
              </w:r>
            </w:hyperlink>
          </w:p>
        </w:tc>
        <w:tc>
          <w:tcPr>
            <w:tcW w:w="1380" w:type="dxa"/>
            <w:vAlign w:val="bottom"/>
            <w:gridSpan w:val="4"/>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3.</w:t>
              </w:r>
            </w:hyperlink>
          </w:p>
        </w:tc>
        <w:tc>
          <w:tcPr>
            <w:tcW w:w="43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3480" w:type="dxa"/>
            <w:vAlign w:val="bottom"/>
            <w:gridSpan w:val="7"/>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4.</w:t>
              </w:r>
            </w:hyperlink>
          </w:p>
        </w:tc>
        <w:tc>
          <w:tcPr>
            <w:tcW w:w="7860" w:type="dxa"/>
            <w:vAlign w:val="bottom"/>
            <w:gridSpan w:val="20"/>
          </w:tcPr>
          <w:p>
            <w:pPr>
              <w:ind w:left="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 OTHER INFORMATION</w:t>
              </w:r>
            </w:hyperlink>
          </w:p>
        </w:tc>
        <w:tc>
          <w:tcPr>
            <w:tcW w:w="258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1.</w:t>
              </w:r>
            </w:hyperlink>
          </w:p>
        </w:tc>
        <w:tc>
          <w:tcPr>
            <w:tcW w:w="7860" w:type="dxa"/>
            <w:vAlign w:val="bottom"/>
            <w:gridSpan w:val="20"/>
          </w:tcPr>
          <w:p>
            <w:pPr>
              <w:ind w:left="20"/>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6520" w:type="dxa"/>
            <w:vAlign w:val="bottom"/>
            <w:gridSpan w:val="14"/>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Item 6.</w:t>
              </w:r>
            </w:hyperlink>
          </w:p>
        </w:tc>
        <w:tc>
          <w:tcPr>
            <w:tcW w:w="62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Exhibits</w:t>
              </w:r>
            </w:hyperlink>
          </w:p>
        </w:tc>
        <w:tc>
          <w:tcPr>
            <w:tcW w:w="420" w:type="dxa"/>
            <w:vAlign w:val="bottom"/>
            <w:tcBorders>
              <w:top w:val="single" w:sz="8" w:color="0000EE"/>
            </w:tcBorders>
          </w:tcPr>
          <w:p>
            <w:pPr>
              <w:spacing w:after="0"/>
              <w:rPr>
                <w:sz w:val="17"/>
                <w:szCs w:val="17"/>
                <w:color w:val="auto"/>
              </w:rPr>
            </w:pPr>
          </w:p>
        </w:tc>
        <w:tc>
          <w:tcPr>
            <w:tcW w:w="6820" w:type="dxa"/>
            <w:vAlign w:val="bottom"/>
            <w:gridSpan w:val="15"/>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72">
              <w:r>
                <w:rPr>
                  <w:rFonts w:ascii="Arial" w:cs="Arial" w:eastAsia="Arial" w:hAnsi="Arial"/>
                  <w:sz w:val="18"/>
                  <w:szCs w:val="18"/>
                  <w:color w:val="0000EE"/>
                  <w:w w:val="85"/>
                </w:rPr>
                <w:t>Signatures</w:t>
              </w:r>
            </w:hyperlink>
          </w:p>
        </w:tc>
        <w:tc>
          <w:tcPr>
            <w:tcW w:w="7640" w:type="dxa"/>
            <w:vAlign w:val="bottom"/>
            <w:gridSpan w:val="18"/>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80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gridSpan w:val="12"/>
          </w:tcPr>
          <w:p>
            <w:pPr>
              <w:jc w:val="center"/>
              <w:ind w:left="3570"/>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39" w:firstLine="648"/>
        <w:spacing w:after="0" w:line="224"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subsidiary, Blueprint Medicines Security Corporation.</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79" w:firstLine="648"/>
        <w:spacing w:after="0" w:line="214"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about:</w:t>
      </w:r>
    </w:p>
    <w:p>
      <w:pPr>
        <w:spacing w:after="0" w:line="169" w:lineRule="exact"/>
        <w:rPr>
          <w:sz w:val="20"/>
          <w:szCs w:val="20"/>
          <w:color w:val="auto"/>
        </w:rPr>
      </w:pPr>
    </w:p>
    <w:p>
      <w:pPr>
        <w:ind w:left="1300" w:right="59" w:hanging="325"/>
        <w:spacing w:after="0" w:line="203" w:lineRule="exact"/>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initiation, timing, progress and results of our pre-clinical studies and clinical trials, including our Phase 1 clinical trials for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and BLU</w:t>
      </w:r>
      <w:r>
        <w:rPr>
          <w:rFonts w:ascii="MS PGothic" w:cs="MS PGothic" w:eastAsia="MS PGothic" w:hAnsi="MS PGothic"/>
          <w:sz w:val="16"/>
          <w:szCs w:val="16"/>
          <w:color w:val="auto"/>
        </w:rPr>
        <w:t>‑</w:t>
      </w:r>
      <w:r>
        <w:rPr>
          <w:rFonts w:ascii="Arial" w:cs="Arial" w:eastAsia="Arial" w:hAnsi="Arial"/>
          <w:sz w:val="16"/>
          <w:szCs w:val="16"/>
          <w:color w:val="auto"/>
        </w:rPr>
        <w:t>667, and our research and development programs;</w:t>
      </w:r>
    </w:p>
    <w:p>
      <w:pPr>
        <w:spacing w:after="0" w:line="94" w:lineRule="exact"/>
        <w:rPr>
          <w:rFonts w:ascii="Arial" w:cs="Arial" w:eastAsia="Arial" w:hAnsi="Arial"/>
          <w:sz w:val="16"/>
          <w:szCs w:val="16"/>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17" w:lineRule="exact"/>
        <w:rPr>
          <w:rFonts w:ascii="Arial" w:cs="Arial" w:eastAsia="Arial" w:hAnsi="Arial"/>
          <w:sz w:val="18"/>
          <w:szCs w:val="18"/>
          <w:color w:val="auto"/>
        </w:rPr>
      </w:pPr>
    </w:p>
    <w:p>
      <w:pPr>
        <w:ind w:left="1300" w:right="859" w:hanging="325"/>
        <w:spacing w:after="0" w:line="235"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94" w:lineRule="exact"/>
        <w:rPr>
          <w:rFonts w:ascii="Arial" w:cs="Arial" w:eastAsia="Arial" w:hAnsi="Arial"/>
          <w:sz w:val="18"/>
          <w:szCs w:val="18"/>
          <w:color w:val="auto"/>
        </w:rPr>
      </w:pPr>
    </w:p>
    <w:p>
      <w:pPr>
        <w:ind w:left="1300" w:right="219" w:hanging="325"/>
        <w:spacing w:after="0" w:line="235"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140" w:lineRule="exact"/>
        <w:rPr>
          <w:rFonts w:ascii="Arial" w:cs="Arial" w:eastAsia="Arial" w:hAnsi="Arial"/>
          <w:sz w:val="16"/>
          <w:szCs w:val="16"/>
          <w:color w:val="auto"/>
        </w:rPr>
      </w:pPr>
    </w:p>
    <w:p>
      <w:pPr>
        <w:ind w:left="1300" w:right="79" w:hanging="325"/>
        <w:spacing w:after="0" w:line="258"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our existing cancer immunotherapy collaboration with F. Hoffmann-La Roche Ltd and Hoffmann-La Roche Inc., as well as our ability to enter into other strategic arrangements;</w:t>
      </w:r>
    </w:p>
    <w:p>
      <w:pPr>
        <w:spacing w:after="0" w:line="79" w:lineRule="exact"/>
        <w:rPr>
          <w:rFonts w:ascii="Arial" w:cs="Arial" w:eastAsia="Arial" w:hAnsi="Arial"/>
          <w:sz w:val="17"/>
          <w:szCs w:val="17"/>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71" w:lineRule="exact"/>
        <w:rPr>
          <w:sz w:val="20"/>
          <w:szCs w:val="20"/>
          <w:color w:val="auto"/>
        </w:rPr>
      </w:pPr>
    </w:p>
    <w:p>
      <w:pPr>
        <w:ind w:right="19" w:firstLine="648"/>
        <w:spacing w:after="0" w:line="210"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5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04" w:lineRule="auto"/>
        <w:rPr>
          <w:sz w:val="20"/>
          <w:szCs w:val="20"/>
          <w:color w:val="auto"/>
        </w:rPr>
      </w:pPr>
      <w:r>
        <w:rPr>
          <w:rFonts w:ascii="Arial" w:cs="Arial" w:eastAsia="Arial" w:hAnsi="Arial"/>
          <w:sz w:val="18"/>
          <w:szCs w:val="18"/>
          <w:b w:val="1"/>
          <w:bCs w:val="1"/>
          <w:color w:val="auto"/>
        </w:rPr>
        <w:t>(in thousands, except share and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7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7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Assets</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spacing w:after="0" w:line="135" w:lineRule="exact"/>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Cash and cash equivalents</w:t>
            </w:r>
          </w:p>
        </w:tc>
        <w:tc>
          <w:tcPr>
            <w:tcW w:w="46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57,329</w:t>
            </w:r>
          </w:p>
        </w:tc>
        <w:tc>
          <w:tcPr>
            <w:tcW w:w="1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52,069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220"/>
              <w:spacing w:after="0" w:line="135" w:lineRule="exact"/>
              <w:rPr>
                <w:sz w:val="20"/>
                <w:szCs w:val="20"/>
                <w:color w:val="auto"/>
              </w:rPr>
            </w:pPr>
            <w:r>
              <w:rPr>
                <w:rFonts w:ascii="Arial" w:cs="Arial" w:eastAsia="Arial" w:hAnsi="Arial"/>
                <w:sz w:val="14"/>
                <w:szCs w:val="14"/>
                <w:color w:val="auto"/>
              </w:rPr>
              <w:t>Investments, available-for-sale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333,323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162,090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Unbilled accounts receivable</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3,435</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3,577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6,192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2,689</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7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400,279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220,425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spacing w:after="0" w:line="135" w:lineRule="exact"/>
              <w:rPr>
                <w:sz w:val="20"/>
                <w:szCs w:val="20"/>
                <w:color w:val="auto"/>
              </w:rPr>
            </w:pPr>
            <w:r>
              <w:rPr>
                <w:rFonts w:ascii="Arial" w:cs="Arial" w:eastAsia="Arial" w:hAnsi="Arial"/>
                <w:sz w:val="14"/>
                <w:szCs w:val="14"/>
                <w:color w:val="auto"/>
              </w:rPr>
              <w:t>Investments, available-for-sale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54,059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13,416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6,188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spacing w:after="0" w:line="135" w:lineRule="exact"/>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1,656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856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Restricted cash</w:t>
            </w:r>
          </w:p>
        </w:tc>
        <w:tc>
          <w:tcPr>
            <w:tcW w:w="2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4,767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1,267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72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420,118</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282,795</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Liabilities and stockholders’ equity</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spacing w:after="0" w:line="135" w:lineRule="exact"/>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2,092</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2,211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220"/>
              <w:spacing w:after="0" w:line="135" w:lineRule="exact"/>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23,797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11,746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Current portion of deferred revenue</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6,069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11,426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220"/>
              <w:spacing w:after="0" w:line="135" w:lineRule="exact"/>
              <w:rPr>
                <w:sz w:val="20"/>
                <w:szCs w:val="20"/>
                <w:color w:val="auto"/>
              </w:rPr>
            </w:pPr>
            <w:r>
              <w:rPr>
                <w:rFonts w:ascii="Arial" w:cs="Arial" w:eastAsia="Arial" w:hAnsi="Arial"/>
                <w:sz w:val="14"/>
                <w:szCs w:val="14"/>
                <w:color w:val="auto"/>
              </w:rPr>
              <w:t>Current portion of lease incentive obligation</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1,714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578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Current portion of term loan payable</w:t>
            </w:r>
          </w:p>
        </w:tc>
        <w:tc>
          <w:tcPr>
            <w:tcW w:w="2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1,818</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2,551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720" w:type="dxa"/>
            <w:vAlign w:val="bottom"/>
          </w:tcPr>
          <w:p>
            <w:pPr>
              <w:spacing w:after="0" w:line="129" w:lineRule="exact"/>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35,490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28,512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Deferred rent, net of current portion</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3,866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spacing w:after="0" w:line="135" w:lineRule="exact"/>
              <w:rPr>
                <w:sz w:val="20"/>
                <w:szCs w:val="20"/>
                <w:color w:val="auto"/>
              </w:rPr>
            </w:pPr>
            <w:r>
              <w:rPr>
                <w:rFonts w:ascii="Arial" w:cs="Arial" w:eastAsia="Arial" w:hAnsi="Arial"/>
                <w:sz w:val="14"/>
                <w:szCs w:val="14"/>
                <w:color w:val="auto"/>
              </w:rPr>
              <w:t>Deferred revenue, net of current portion</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30,703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35,809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Lease incentive obligation, net of current portion</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8,186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2,792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spacing w:after="0" w:line="135" w:lineRule="exact"/>
              <w:rPr>
                <w:sz w:val="20"/>
                <w:szCs w:val="20"/>
                <w:color w:val="auto"/>
              </w:rPr>
            </w:pPr>
            <w:r>
              <w:rPr>
                <w:rFonts w:ascii="Arial" w:cs="Arial" w:eastAsia="Arial" w:hAnsi="Arial"/>
                <w:sz w:val="14"/>
                <w:szCs w:val="14"/>
                <w:color w:val="auto"/>
              </w:rPr>
              <w:t>Term loan payable, net of current portion</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277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1,518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Other long term liabilities</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356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154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spacing w:after="0" w:line="135" w:lineRule="exact"/>
              <w:rPr>
                <w:sz w:val="20"/>
                <w:szCs w:val="20"/>
                <w:color w:val="auto"/>
              </w:rPr>
            </w:pPr>
            <w:r>
              <w:rPr>
                <w:rFonts w:ascii="Arial" w:cs="Arial" w:eastAsia="Arial" w:hAnsi="Arial"/>
                <w:sz w:val="14"/>
                <w:szCs w:val="14"/>
                <w:color w:val="auto"/>
              </w:rPr>
              <w:t>Commitments (Note 10)</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spacing w:after="0" w:line="135" w:lineRule="exact"/>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672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Common stock, $0.001 par value; 120,000,000 shares authorized; 39,179,019 and 33,125,479 shares issued at</w:t>
            </w: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w w:val="94"/>
              </w:rPr>
              <w:t>September 30, 2017 and December 31, 2016, respectively, and 39,179,019 and 33,123,354 shares outstanding at</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September 30, 2017 and December 31, 2016, respectively</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720" w:type="dxa"/>
            <w:vAlign w:val="bottom"/>
          </w:tcPr>
          <w:p>
            <w:pPr>
              <w:spacing w:after="0" w:line="135" w:lineRule="exact"/>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647,928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420,533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(165)</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Accumulated deficit</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(306,562)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(207,470)</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7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Total stockholders’ equity</w:t>
            </w:r>
          </w:p>
        </w:tc>
        <w:tc>
          <w:tcPr>
            <w:tcW w:w="2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341,240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213,078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720" w:type="dxa"/>
            <w:vAlign w:val="bottom"/>
          </w:tcPr>
          <w:p>
            <w:pPr>
              <w:spacing w:after="0" w:line="129" w:lineRule="exact"/>
              <w:rPr>
                <w:sz w:val="20"/>
                <w:szCs w:val="20"/>
                <w:color w:val="auto"/>
              </w:rPr>
            </w:pPr>
            <w:r>
              <w:rPr>
                <w:rFonts w:ascii="Arial" w:cs="Arial" w:eastAsia="Arial" w:hAnsi="Arial"/>
                <w:sz w:val="14"/>
                <w:szCs w:val="14"/>
                <w:color w:val="auto"/>
              </w:rPr>
              <w:t>Total liabilities and stockholders’ equity</w:t>
            </w:r>
          </w:p>
        </w:tc>
        <w:tc>
          <w:tcPr>
            <w:tcW w:w="260" w:type="dxa"/>
            <w:vAlign w:val="bottom"/>
          </w:tcPr>
          <w:p>
            <w:pPr>
              <w:spacing w:after="0"/>
              <w:rPr>
                <w:sz w:val="11"/>
                <w:szCs w:val="11"/>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420,118</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282,795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04" w:lineRule="auto"/>
        <w:rPr>
          <w:sz w:val="20"/>
          <w:szCs w:val="20"/>
          <w:color w:val="auto"/>
        </w:rPr>
      </w:pPr>
      <w:r>
        <w:rPr>
          <w:rFonts w:ascii="Arial" w:cs="Arial" w:eastAsia="Arial" w:hAnsi="Arial"/>
          <w:sz w:val="18"/>
          <w:szCs w:val="18"/>
          <w:b w:val="1"/>
          <w:bCs w:val="1"/>
          <w:color w:val="auto"/>
        </w:rPr>
        <w:t>(in thousands, except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91"/>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31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53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5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Collaboration revenue</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8,068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6,160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19,798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20,081</w:t>
            </w:r>
          </w:p>
        </w:tc>
        <w:tc>
          <w:tcPr>
            <w:tcW w:w="0" w:type="dxa"/>
            <w:vAlign w:val="bottom"/>
          </w:tcPr>
          <w:p>
            <w:pPr>
              <w:spacing w:after="0"/>
              <w:rPr>
                <w:sz w:val="1"/>
                <w:szCs w:val="1"/>
                <w:color w:val="auto"/>
              </w:rPr>
            </w:pPr>
          </w:p>
        </w:tc>
      </w:tr>
      <w:tr>
        <w:trPr>
          <w:trHeight w:val="176"/>
        </w:trPr>
        <w:tc>
          <w:tcPr>
            <w:tcW w:w="532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39,300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18,150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101,058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57,058</w:t>
            </w:r>
          </w:p>
        </w:tc>
        <w:tc>
          <w:tcPr>
            <w:tcW w:w="0" w:type="dxa"/>
            <w:vAlign w:val="bottom"/>
          </w:tcPr>
          <w:p>
            <w:pPr>
              <w:spacing w:after="0"/>
              <w:rPr>
                <w:sz w:val="1"/>
                <w:szCs w:val="1"/>
                <w:color w:val="auto"/>
              </w:rPr>
            </w:pPr>
          </w:p>
        </w:tc>
      </w:tr>
      <w:tr>
        <w:trPr>
          <w:trHeight w:val="176"/>
        </w:trPr>
        <w:tc>
          <w:tcPr>
            <w:tcW w:w="53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7,378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4,893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19,894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169"/>
        </w:trPr>
        <w:tc>
          <w:tcPr>
            <w:tcW w:w="5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46,678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23,043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120,952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71,285</w:t>
            </w:r>
          </w:p>
        </w:tc>
        <w:tc>
          <w:tcPr>
            <w:tcW w:w="0" w:type="dxa"/>
            <w:vAlign w:val="bottom"/>
          </w:tcPr>
          <w:p>
            <w:pPr>
              <w:spacing w:after="0"/>
              <w:rPr>
                <w:sz w:val="1"/>
                <w:szCs w:val="1"/>
                <w:color w:val="auto"/>
              </w:rPr>
            </w:pPr>
          </w:p>
        </w:tc>
      </w:tr>
      <w:tr>
        <w:trPr>
          <w:trHeight w:val="176"/>
        </w:trPr>
        <w:tc>
          <w:tcPr>
            <w:tcW w:w="532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2,240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76"/>
        </w:trPr>
        <w:tc>
          <w:tcPr>
            <w:tcW w:w="53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(109)</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(178)</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169"/>
        </w:trPr>
        <w:tc>
          <w:tcPr>
            <w:tcW w:w="5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2,062</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53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(37,703)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(16,834)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(99,092)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9"/>
              </w:rPr>
              <w:t>(51,232)</w:t>
            </w:r>
          </w:p>
        </w:tc>
        <w:tc>
          <w:tcPr>
            <w:tcW w:w="0" w:type="dxa"/>
            <w:vAlign w:val="bottom"/>
          </w:tcPr>
          <w:p>
            <w:pPr>
              <w:spacing w:after="0"/>
              <w:rPr>
                <w:sz w:val="1"/>
                <w:szCs w:val="1"/>
                <w:color w:val="auto"/>
              </w:rPr>
            </w:pPr>
          </w:p>
        </w:tc>
      </w:tr>
      <w:tr>
        <w:trPr>
          <w:trHeight w:val="169"/>
        </w:trPr>
        <w:tc>
          <w:tcPr>
            <w:tcW w:w="5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Unrealized gain (loss) on investments</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(147)</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(37,614)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(16,862)</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(99,239)</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(51,205)</w:t>
            </w:r>
          </w:p>
        </w:tc>
        <w:tc>
          <w:tcPr>
            <w:tcW w:w="0" w:type="dxa"/>
            <w:vAlign w:val="bottom"/>
          </w:tcPr>
          <w:p>
            <w:pPr>
              <w:spacing w:after="0"/>
              <w:rPr>
                <w:sz w:val="1"/>
                <w:szCs w:val="1"/>
                <w:color w:val="auto"/>
              </w:rPr>
            </w:pPr>
          </w:p>
        </w:tc>
      </w:tr>
      <w:tr>
        <w:trPr>
          <w:trHeight w:val="122"/>
        </w:trPr>
        <w:tc>
          <w:tcPr>
            <w:tcW w:w="5320" w:type="dxa"/>
            <w:vAlign w:val="bottom"/>
          </w:tcPr>
          <w:p>
            <w:pPr>
              <w:spacing w:after="0" w:line="122" w:lineRule="exact"/>
              <w:rPr>
                <w:sz w:val="20"/>
                <w:szCs w:val="20"/>
                <w:color w:val="auto"/>
              </w:rPr>
            </w:pPr>
            <w:r>
              <w:rPr>
                <w:rFonts w:ascii="Arial" w:cs="Arial" w:eastAsia="Arial" w:hAnsi="Arial"/>
                <w:sz w:val="14"/>
                <w:szCs w:val="14"/>
                <w:color w:val="auto"/>
              </w:rPr>
              <w:t>Net loss per share applicable to common stockholders — basic and</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(0.96)</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(0.62)</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(2.67)</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96"/>
        </w:trPr>
        <w:tc>
          <w:tcPr>
            <w:tcW w:w="5320" w:type="dxa"/>
            <w:vAlign w:val="bottom"/>
          </w:tcPr>
          <w:p>
            <w:pPr>
              <w:spacing w:after="0" w:line="189" w:lineRule="exact"/>
              <w:rPr>
                <w:sz w:val="20"/>
                <w:szCs w:val="20"/>
                <w:color w:val="auto"/>
              </w:rPr>
            </w:pPr>
            <w:r>
              <w:rPr>
                <w:rFonts w:ascii="Arial" w:cs="Arial" w:eastAsia="Arial" w:hAnsi="Arial"/>
                <w:sz w:val="18"/>
                <w:szCs w:val="18"/>
                <w:color w:val="auto"/>
              </w:rPr>
              <w:t>diluted</w:t>
            </w:r>
          </w:p>
        </w:tc>
        <w:tc>
          <w:tcPr>
            <w:tcW w:w="32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3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Weighted-average number of common shares used in net loss per share</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27,251</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37,053</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27,170</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applicable to common stockholders — basic and diluted</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3"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Nine Months Ended</w:t>
      </w:r>
    </w:p>
    <w:p>
      <w:pPr>
        <w:ind w:left="7560"/>
        <w:spacing w:after="0" w:line="221"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36"/>
        </w:trPr>
        <w:tc>
          <w:tcPr>
            <w:tcW w:w="660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51"/>
              <w:spacing w:after="0" w:line="136"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31"/>
              <w:spacing w:after="0" w:line="136"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66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(99,092)</w:t>
            </w: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(51,232)</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20"/>
              <w:spacing w:after="0" w:line="176"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1,187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Noncash interest expense</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76"/>
        </w:trPr>
        <w:tc>
          <w:tcPr>
            <w:tcW w:w="6600" w:type="dxa"/>
            <w:vAlign w:val="bottom"/>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8,818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Accretion of premiums and discounts on investments</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76"/>
        </w:trPr>
        <w:tc>
          <w:tcPr>
            <w:tcW w:w="6600" w:type="dxa"/>
            <w:vAlign w:val="bottom"/>
          </w:tcPr>
          <w:p>
            <w:pPr>
              <w:ind w:left="220"/>
              <w:spacing w:after="0" w:line="176" w:lineRule="exact"/>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Unbilled accounts receivable</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76"/>
        </w:trPr>
        <w:tc>
          <w:tcPr>
            <w:tcW w:w="6600" w:type="dxa"/>
            <w:vAlign w:val="bottom"/>
          </w:tcPr>
          <w:p>
            <w:pPr>
              <w:ind w:left="3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6"/>
        </w:trPr>
        <w:tc>
          <w:tcPr>
            <w:tcW w:w="6600" w:type="dxa"/>
            <w:vAlign w:val="bottom"/>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176"/>
        </w:trPr>
        <w:tc>
          <w:tcPr>
            <w:tcW w:w="6600" w:type="dxa"/>
            <w:vAlign w:val="bottom"/>
          </w:tcPr>
          <w:p>
            <w:pPr>
              <w:ind w:left="320"/>
              <w:spacing w:after="0" w:line="176" w:lineRule="exact"/>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(10,463)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37,707</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Deferred rent</w:t>
            </w:r>
          </w:p>
        </w:tc>
        <w:tc>
          <w:tcPr>
            <w:tcW w:w="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6,321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169"/>
        </w:trPr>
        <w:tc>
          <w:tcPr>
            <w:tcW w:w="6600" w:type="dxa"/>
            <w:vAlign w:val="bottom"/>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(85,115)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Investing activities</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line="176" w:lineRule="exact"/>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(4,932)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Restricted cash</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76"/>
        </w:trPr>
        <w:tc>
          <w:tcPr>
            <w:tcW w:w="6600" w:type="dxa"/>
            <w:vAlign w:val="bottom"/>
          </w:tcPr>
          <w:p>
            <w:pPr>
              <w:spacing w:after="0" w:line="176" w:lineRule="exact"/>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(315,288)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(105,318)</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Maturities of investments</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198,000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169"/>
        </w:trPr>
        <w:tc>
          <w:tcPr>
            <w:tcW w:w="6600" w:type="dxa"/>
            <w:vAlign w:val="bottom"/>
          </w:tcPr>
          <w:p>
            <w:pPr>
              <w:spacing w:after="0" w:line="170"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(125,720)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8"/>
                <w:szCs w:val="18"/>
                <w:color w:val="auto"/>
              </w:rPr>
              <w:t>(80,535)</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line="176" w:lineRule="exact"/>
              <w:rPr>
                <w:sz w:val="20"/>
                <w:szCs w:val="20"/>
                <w:color w:val="auto"/>
              </w:rPr>
            </w:pPr>
            <w:r>
              <w:rPr>
                <w:rFonts w:ascii="Arial" w:cs="Arial" w:eastAsia="Arial" w:hAnsi="Arial"/>
                <w:sz w:val="18"/>
                <w:szCs w:val="18"/>
                <w:color w:val="auto"/>
              </w:rPr>
              <w:t>Principal payments on loan payable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Payment of offering costs</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7"/>
                <w:szCs w:val="17"/>
                <w:color w:val="auto"/>
              </w:rPr>
              <w:t>Proceeds from public offering of common stock, net of commissions and underwriting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216,200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tcPr>
          <w:p>
            <w:pPr>
              <w:ind w:left="140"/>
              <w:spacing w:after="0" w:line="202" w:lineRule="exact"/>
              <w:rPr>
                <w:sz w:val="20"/>
                <w:szCs w:val="20"/>
                <w:color w:val="auto"/>
              </w:rPr>
            </w:pPr>
            <w:r>
              <w:rPr>
                <w:rFonts w:ascii="Arial" w:cs="Arial" w:eastAsia="Arial" w:hAnsi="Arial"/>
                <w:sz w:val="18"/>
                <w:szCs w:val="18"/>
                <w:color w:val="auto"/>
              </w:rPr>
              <w:t>discounts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Proceeds from issuance of common stock, net of repurchases</w:t>
            </w:r>
          </w:p>
        </w:tc>
        <w:tc>
          <w:tcPr>
            <w:tcW w:w="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183"/>
        </w:trPr>
        <w:tc>
          <w:tcPr>
            <w:tcW w:w="6600" w:type="dxa"/>
            <w:vAlign w:val="bottom"/>
          </w:tcPr>
          <w:p>
            <w:pPr>
              <w:spacing w:after="0" w:line="182" w:lineRule="exact"/>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216,095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5,260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(88,304)</w:t>
            </w:r>
          </w:p>
        </w:tc>
        <w:tc>
          <w:tcPr>
            <w:tcW w:w="0" w:type="dxa"/>
            <w:vAlign w:val="bottom"/>
          </w:tcPr>
          <w:p>
            <w:pPr>
              <w:spacing w:after="0"/>
              <w:rPr>
                <w:sz w:val="1"/>
                <w:szCs w:val="1"/>
                <w:color w:val="auto"/>
              </w:rPr>
            </w:pPr>
          </w:p>
        </w:tc>
      </w:tr>
      <w:tr>
        <w:trPr>
          <w:trHeight w:val="176"/>
        </w:trPr>
        <w:tc>
          <w:tcPr>
            <w:tcW w:w="66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52,069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162,707</w:t>
            </w:r>
          </w:p>
        </w:tc>
        <w:tc>
          <w:tcPr>
            <w:tcW w:w="0" w:type="dxa"/>
            <w:vAlign w:val="bottom"/>
          </w:tcPr>
          <w:p>
            <w:pPr>
              <w:spacing w:after="0"/>
              <w:rPr>
                <w:sz w:val="1"/>
                <w:szCs w:val="1"/>
                <w:color w:val="auto"/>
              </w:rPr>
            </w:pPr>
          </w:p>
        </w:tc>
      </w:tr>
      <w:tr>
        <w:trPr>
          <w:trHeight w:val="189"/>
        </w:trPr>
        <w:tc>
          <w:tcPr>
            <w:tcW w:w="66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57,329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74,403</w:t>
            </w:r>
          </w:p>
        </w:tc>
        <w:tc>
          <w:tcPr>
            <w:tcW w:w="0" w:type="dxa"/>
            <w:vAlign w:val="bottom"/>
          </w:tcPr>
          <w:p>
            <w:pPr>
              <w:spacing w:after="0"/>
              <w:rPr>
                <w:sz w:val="1"/>
                <w:szCs w:val="1"/>
                <w:color w:val="auto"/>
              </w:rPr>
            </w:pPr>
          </w:p>
        </w:tc>
      </w:tr>
      <w:tr>
        <w:trPr>
          <w:trHeight w:val="163"/>
        </w:trPr>
        <w:tc>
          <w:tcPr>
            <w:tcW w:w="6600" w:type="dxa"/>
            <w:vAlign w:val="bottom"/>
          </w:tcPr>
          <w:p>
            <w:pPr>
              <w:spacing w:after="0" w:line="163" w:lineRule="exact"/>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Public offering costs incurred but unpaid at period end</w:t>
            </w:r>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6600" w:type="dxa"/>
            <w:vAlign w:val="bottom"/>
            <w:tcBorders>
              <w:top w:val="single" w:sz="8" w:color="CCEEFF"/>
              <w:bottom w:val="single" w:sz="8" w:color="CCEEFF"/>
            </w:tcBorders>
          </w:tcPr>
          <w:p>
            <w:pPr>
              <w:spacing w:after="0" w:line="163" w:lineRule="exact"/>
              <w:rPr>
                <w:sz w:val="20"/>
                <w:szCs w:val="20"/>
                <w:color w:val="auto"/>
              </w:rPr>
            </w:pPr>
            <w:r>
              <w:rPr>
                <w:rFonts w:ascii="Arial" w:cs="Arial" w:eastAsia="Arial" w:hAnsi="Arial"/>
                <w:sz w:val="18"/>
                <w:szCs w:val="18"/>
                <w:color w:val="auto"/>
              </w:rPr>
              <w:t>Property and equipment purchases unpaid at period end</w:t>
            </w:r>
          </w:p>
        </w:tc>
        <w:tc>
          <w:tcPr>
            <w:tcW w:w="3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3,196</w:t>
            </w: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6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Cash paid for interest</w:t>
            </w:r>
          </w:p>
        </w:tc>
        <w:tc>
          <w:tcPr>
            <w:tcW w:w="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48"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Blueprint Medicines Corporation (the Company), a Delaware corporation incorporated on October 14, 2008, is a biopharmaceutical company focused on improving the lives of patients with genomically defined diseases driven by abnormal kinase activation. The Company’s approach is to systematically and reproducibly identify kinases that are drivers of diseases in genomically defined patient populations and to craft drug candidates that may provide significant and durable clinical response to patients without adequate treatment options.</w:t>
      </w:r>
    </w:p>
    <w:p>
      <w:pPr>
        <w:spacing w:after="0" w:line="134"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6"/>
          <w:szCs w:val="16"/>
          <w:color w:val="auto"/>
        </w:rPr>
        <w:t>‑</w:t>
      </w:r>
      <w:r>
        <w:rPr>
          <w:rFonts w:ascii="Arial" w:cs="Arial" w:eastAsia="Arial" w:hAnsi="Arial"/>
          <w:sz w:val="16"/>
          <w:szCs w:val="16"/>
          <w:color w:val="auto"/>
        </w:rPr>
        <w:t>license certain of its research and development programs or future commercialization efforts.</w:t>
      </w:r>
    </w:p>
    <w:p>
      <w:pPr>
        <w:spacing w:after="0" w:line="122"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On May 5, 2015, the Company completed an initial public offering (IPO) of its common stock, which resulted in the sale of 9,367,708 shares of its common stock at a price to the public of $18.00 per share, including 1,221,874 shares of common stock sold by the Company pursuant to the exercise in full by the underwriters of their option to purchase additional shares in connection with the offering. The Company received net proceeds of $154.8 million, after deducting underwriting discounts and commissions and offering expenses paid by the Company.</w:t>
      </w:r>
    </w:p>
    <w:p>
      <w:pPr>
        <w:spacing w:after="0" w:line="121"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On December 13, 2016, the Company closed a follow-on public offering of 5,750,000 shares of its common stock at a price to the public of $25.00 per share, including 750,000 shares of common stock sold by the Company pursuant to the exercise in full by the underwriters of their option to purchase additional shares in connection with the offering. The Company received net proceeds of $134.5 million, after deducting underwriting discounts and commissions and offering expenses payable by the Company.</w:t>
      </w:r>
    </w:p>
    <w:p>
      <w:pPr>
        <w:spacing w:after="0" w:line="135" w:lineRule="exact"/>
        <w:rPr>
          <w:sz w:val="20"/>
          <w:szCs w:val="20"/>
          <w:color w:val="auto"/>
        </w:rPr>
      </w:pPr>
    </w:p>
    <w:p>
      <w:pPr>
        <w:ind w:right="320" w:firstLine="648"/>
        <w:spacing w:after="0" w:line="229" w:lineRule="auto"/>
        <w:rPr>
          <w:sz w:val="20"/>
          <w:szCs w:val="20"/>
          <w:color w:val="auto"/>
        </w:rPr>
      </w:pPr>
      <w:r>
        <w:rPr>
          <w:rFonts w:ascii="Arial" w:cs="Arial" w:eastAsia="Arial" w:hAnsi="Arial"/>
          <w:sz w:val="17"/>
          <w:szCs w:val="17"/>
          <w:color w:val="auto"/>
        </w:rPr>
        <w:t>On April 4, 2017, the Company closed a follow-on public offering of 5,750,000 shares of its common stock at a price to the public of $40.00 per share, including 750,000 shares of common stock sold by the Company pursuant to the exercise in full by the underwriters of their option to purchase additional shares in connection with the offering (the April 2017 follow-on public offering). The Company received net proceeds of $215.6 million, after deducting underwriting discounts and commissions and offering expenses payable by the Company.</w:t>
      </w:r>
    </w:p>
    <w:p>
      <w:pPr>
        <w:spacing w:after="0" w:line="121"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As of September 30, 2017, the Company had cash, cash equivalents and investments of $390.7 million. Based on the Company’s current plans, the Company believes its existing cash, cash equivalents and investments, excluding any potential option fees and milestone payments under its existing collaboration with F. Hoffmann-La Roche Ltd and Hoffmann-</w:t>
      </w:r>
    </w:p>
    <w:p>
      <w:pPr>
        <w:spacing w:after="0" w:line="2"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La Roche Inc. (collectively, Roche), will be sufficient to enable the Company to fund its operating expenses and capital expenditure requirements into the second half of 2019.</w:t>
      </w:r>
    </w:p>
    <w:p>
      <w:pPr>
        <w:spacing w:after="0" w:line="117" w:lineRule="exact"/>
        <w:rPr>
          <w:sz w:val="20"/>
          <w:szCs w:val="20"/>
          <w:color w:val="auto"/>
        </w:rPr>
      </w:pPr>
    </w:p>
    <w:p>
      <w:pPr>
        <w:ind w:right="2340"/>
        <w:spacing w:after="0" w:line="456" w:lineRule="auto"/>
        <w:rPr>
          <w:sz w:val="20"/>
          <w:szCs w:val="20"/>
          <w:color w:val="auto"/>
        </w:rPr>
      </w:pPr>
      <w:r>
        <w:rPr>
          <w:rFonts w:ascii="Arial" w:cs="Arial" w:eastAsia="Arial" w:hAnsi="Arial"/>
          <w:sz w:val="18"/>
          <w:szCs w:val="18"/>
          <w:b w:val="1"/>
          <w:bCs w:val="1"/>
          <w:color w:val="auto"/>
        </w:rPr>
        <w:t xml:space="preserve">2. Summary of Significant Accounting Policies and Recent Accounting Pronouncements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2016 and notes thereto included in the Company’s Annual Report on Form 10-K for the year ended December 31, 2016, filed with the SEC on March 9, 2017.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financial statements and include the accounts of the Company and its wholly-owned subsidiary, Blueprint Medicines Security Corporation, which is a Massachusetts subsidiary created to buy, sell, and hold securities. All intercompany transactions and balances have been eliminated. In the opinion of the Company’s management, the accompanying unaudited interim condensed consolidated financial statements contain all adjustments which are necessary to present fairly the Company’s financial position as of September 30, 2017 and the results of its operations for the three and nine months ended September 30, 2017 and 2016 and cash flows for the nine months ended September 30, 2017 and 2016. Such adjustments are of a normal and recurring nature. The results for the three and nine months ended September 30, 2017 are not necessarily indicative of the results for the year ending December 31, 2017, or for any future period.</w:t>
      </w:r>
    </w:p>
    <w:p>
      <w:pPr>
        <w:spacing w:after="0" w:line="168"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On December 13, 2016 and April 4, 2017, the Company closed underwritten public offerings of 5,750,000 shares in each offering. The significant increase in shares outstanding is expected to impact the year-over-year comparability of the Company’s net loss per share calculations.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revenue recognition; accrued expenses; and income taxes.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85"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The Company’s critical accounting policies are those policies that require the most significant judgments and estimates in the preparation of our financial statements. Management has determined that the Company’s most critical accounting policies are those relating to revenue recognition, accrued research and development expenses, available-for-sale investments and stock-based compensation.</w:t>
      </w:r>
    </w:p>
    <w:p>
      <w:pPr>
        <w:spacing w:after="0" w:line="163"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There have been no significant changes to the Company’s critical accounting policies discussed in its Annual Report on Form 10-K for the year ended December 31, 2016 related to revenue recognition, accrued research and development expenses, available-for-sale investments and stock-based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the revenue recognition requirements in ASC 605-25, </w:t>
      </w:r>
      <w:r>
        <w:rPr>
          <w:rFonts w:ascii="Arial" w:cs="Arial" w:eastAsia="Arial" w:hAnsi="Arial"/>
          <w:sz w:val="17"/>
          <w:szCs w:val="17"/>
          <w:i w:val="1"/>
          <w:iCs w:val="1"/>
          <w:color w:val="auto"/>
        </w:rPr>
        <w:t>Multiple-Element Arrangements</w:t>
      </w:r>
      <w:r>
        <w:rPr>
          <w:rFonts w:ascii="Arial" w:cs="Arial" w:eastAsia="Arial" w:hAnsi="Arial"/>
          <w:sz w:val="17"/>
          <w:szCs w:val="17"/>
          <w:color w:val="auto"/>
        </w:rPr>
        <w:t xml:space="preserve">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will be effective for annual reporting periods (including interim reporting periods within those years) beginning January 1, 2018. Early adoption in 2017 is permitted. Companies have the option of applying this new guidance retrospectively to each prior reporting period presented (the full retrospective method) or retrospectively with the cumulative effect of initially applying this update recognized at the date of initial application (the modified retrospective method). The Company currently anticipates adoption of the new standard effective January 1, 2018 under the modified retrospective method. The Company believes there may be a potential impact on the revenue recognition method used to recognize revenue under its agreement with Roche as well as the recognition of milestone revenue prior to achievement. The Company is in the process of determining the impact of the new guidance on its financial statements.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firstLine="648"/>
        <w:spacing w:after="0" w:line="220"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(ASU No. 2016-09), which amends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The new standard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new standard was effective for the Company on January 1, 2017. The Company applied ASU 2016-09 using a modified retrospective approach and adopted the option to recognize gross stock compensation expense with actual forfeitures recognized as they occur. Given that the application of the estimated forfeiture rate prior to January 1, 2017 resulted in an insignificant reduction in stock-based compensation expense, the cumulative-effect adjustment to retained earnings recognized as of January 1, 2017 was not material to the consolidated financial statements. The adoption of ASU 2016-09 also requires all income tax adjustments to be recognized in the consolidated statements of operations. As the increase in net deferred tax assets is fully offset by a corresponding increase to the deferred tax asset valuation allowance, there was no material impact of the adoption of this standard. The amount of deferred tax assets that had not been previously recognized due to the recognition of excess tax benefits is $1.1 million.</w:t>
      </w:r>
    </w:p>
    <w:p>
      <w:pPr>
        <w:spacing w:after="0" w:line="165" w:lineRule="exact"/>
        <w:rPr>
          <w:sz w:val="20"/>
          <w:szCs w:val="20"/>
          <w:color w:val="auto"/>
        </w:rPr>
      </w:pPr>
    </w:p>
    <w:p>
      <w:pPr>
        <w:ind w:right="19" w:firstLine="648"/>
        <w:spacing w:after="0" w:line="23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No. 2016-02), which will change the way the Company recognizes its leased assets. ASU No. 2016-02 will require organizations that lease assets—referred to as “lessees”—to recognize on the balance sheet the assets and liabilities representing the rights and obligations created by those leases. ASU No. 2016-02 will also require disclosures to help investors and other financial statement users better understand the amount, timing, and uncertainty of cash flows arising from leases. The standard is effective for annual reporting periods (including interim reporting periods within those years) beginning after December 15, 2018. Early adoption is permitted. The Company is currently evaluating the methods of adoption allowed by the new standard and the effect that adoption of the standard is expected to have on the Company’s consolidated financial statements and related disclosures.</w:t>
      </w:r>
    </w:p>
    <w:p>
      <w:pPr>
        <w:spacing w:after="0" w:line="167" w:lineRule="exact"/>
        <w:rPr>
          <w:sz w:val="20"/>
          <w:szCs w:val="20"/>
          <w:color w:val="auto"/>
        </w:rPr>
      </w:pPr>
    </w:p>
    <w:p>
      <w:pPr>
        <w:ind w:right="39" w:firstLine="441"/>
        <w:spacing w:after="0" w:line="216"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(ASU No. 2016-15)</w:t>
      </w:r>
      <w:r>
        <w:rPr>
          <w:rFonts w:ascii="Arial" w:cs="Arial" w:eastAsia="Arial" w:hAnsi="Arial"/>
          <w:sz w:val="18"/>
          <w:szCs w:val="18"/>
          <w:i w:val="1"/>
          <w:iCs w:val="1"/>
          <w:color w:val="auto"/>
        </w:rPr>
        <w:t>,</w:t>
      </w:r>
      <w:r>
        <w:rPr>
          <w:rFonts w:ascii="Arial" w:cs="Arial" w:eastAsia="Arial" w:hAnsi="Arial"/>
          <w:sz w:val="18"/>
          <w:szCs w:val="18"/>
          <w:color w:val="auto"/>
        </w:rPr>
        <w:t xml:space="preserve"> which simplifies certain elements of cash flow classification. The new guidance is intended to reduce diversity in practice in how certain transactions are classified in the statement of cash flows. ASU No. 2016-15 is effective for annual periods beginning after December 15, 2017. The Company is currently evaluating the impact the adoption of ASU No. 2016-15 will have on its consolidated financial statements.</w:t>
      </w:r>
    </w:p>
    <w:p>
      <w:pPr>
        <w:spacing w:after="0" w:line="122" w:lineRule="exact"/>
        <w:rPr>
          <w:sz w:val="20"/>
          <w:szCs w:val="20"/>
          <w:color w:val="auto"/>
        </w:rPr>
      </w:pPr>
    </w:p>
    <w:p>
      <w:pPr>
        <w:ind w:right="19" w:firstLine="441"/>
        <w:spacing w:after="0" w:line="241"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(ASU No. 2016-18). The amendments in ASU No. 2016-18 require an entity to reconcile and explain the period-over-period change in total cash, cash equivalents and restricted cash within its statements of cash flows. ASU No. 2016-18 is effective for fiscal years (including interim reporting periods within those years) beginning after December 15, 2017. Early adoption is permitted. A reporting entity must apply the amendments in ASU No. 2016-18 using a full retrospective approach. The Company believes that the adoption of this guidance will not have a significant impact on its consolidated financial statements and related disclosures.</w:t>
      </w:r>
    </w:p>
    <w:p>
      <w:pPr>
        <w:spacing w:after="0" w:line="161" w:lineRule="exact"/>
        <w:rPr>
          <w:sz w:val="20"/>
          <w:szCs w:val="20"/>
          <w:color w:val="auto"/>
        </w:rPr>
      </w:pPr>
    </w:p>
    <w:p>
      <w:pPr>
        <w:ind w:left="180" w:hanging="177"/>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Equivalents and Investments</w:t>
      </w:r>
    </w:p>
    <w:p>
      <w:pPr>
        <w:spacing w:after="0" w:line="117" w:lineRule="exact"/>
        <w:rPr>
          <w:sz w:val="20"/>
          <w:szCs w:val="20"/>
          <w:color w:val="auto"/>
        </w:rPr>
      </w:pPr>
    </w:p>
    <w:p>
      <w:pPr>
        <w:ind w:right="19" w:firstLine="648"/>
        <w:spacing w:after="0" w:line="214"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Investments consist of securities with original maturities greater than 90 days when purchased. The Company classifies these investments as available-for-sale and records them at fair value in the accompanying condensed consolidated balance sheets. Unrealized gains or losses are included in accumulated other comprehensive income (loss). Premiums or discounts from par value are amortized to investment income over the life of the underlying investment.</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equivalents and investments, available-for-sale, consisted of the following at September 30, 2017 and</w:t>
      </w:r>
    </w:p>
    <w:p>
      <w:pPr>
        <w:spacing w:after="0"/>
        <w:rPr>
          <w:sz w:val="20"/>
          <w:szCs w:val="20"/>
          <w:color w:val="auto"/>
        </w:rPr>
      </w:pPr>
      <w:r>
        <w:rPr>
          <w:rFonts w:ascii="Arial" w:cs="Arial" w:eastAsia="Arial" w:hAnsi="Arial"/>
          <w:sz w:val="18"/>
          <w:szCs w:val="18"/>
          <w:color w:val="auto"/>
        </w:rPr>
        <w:t>December 31, 2016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2017</w:t>
            </w: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gridSpan w:val="4"/>
          </w:tcPr>
          <w:p>
            <w:pPr>
              <w:ind w:left="1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ind w:right="11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840" w:type="dxa"/>
            <w:vAlign w:val="bottom"/>
            <w:vMerge w:val="continue"/>
          </w:tcPr>
          <w:p>
            <w:pPr>
              <w:spacing w:after="0"/>
              <w:rPr>
                <w:sz w:val="14"/>
                <w:szCs w:val="14"/>
                <w:color w:val="auto"/>
              </w:rPr>
            </w:pPr>
          </w:p>
        </w:tc>
        <w:tc>
          <w:tcPr>
            <w:tcW w:w="980" w:type="dxa"/>
            <w:vAlign w:val="bottom"/>
          </w:tcPr>
          <w:p>
            <w:pPr>
              <w:ind w:left="220"/>
              <w:spacing w:after="0"/>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w w:val="86"/>
              </w:rPr>
              <w:t>Losses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9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980" w:type="dxa"/>
            <w:vAlign w:val="bottom"/>
          </w:tcPr>
          <w:p>
            <w:pPr>
              <w:spacing w:after="0"/>
              <w:rPr>
                <w:sz w:val="16"/>
                <w:szCs w:val="16"/>
                <w:color w:val="auto"/>
              </w:rPr>
            </w:pPr>
          </w:p>
        </w:tc>
        <w:tc>
          <w:tcPr>
            <w:tcW w:w="4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57,329</w:t>
            </w:r>
          </w:p>
        </w:tc>
        <w:tc>
          <w:tcPr>
            <w:tcW w:w="2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line="189" w:lineRule="exact"/>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line="189"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5"/>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980" w:type="dxa"/>
            <w:vAlign w:val="bottom"/>
          </w:tcPr>
          <w:p>
            <w:pPr>
              <w:ind w:left="240"/>
              <w:spacing w:after="0" w:line="189" w:lineRule="exact"/>
              <w:rPr>
                <w:sz w:val="20"/>
                <w:szCs w:val="20"/>
                <w:color w:val="auto"/>
              </w:rPr>
            </w:pPr>
            <w:r>
              <w:rPr>
                <w:rFonts w:ascii="Arial" w:cs="Arial" w:eastAsia="Arial" w:hAnsi="Arial"/>
                <w:sz w:val="18"/>
                <w:szCs w:val="18"/>
                <w:color w:val="auto"/>
                <w:w w:val="94"/>
              </w:rPr>
              <w:t>320 Days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323,510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ind w:left="30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(165)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323,345</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Government agency securities</w:t>
            </w:r>
          </w:p>
        </w:tc>
        <w:tc>
          <w:tcPr>
            <w:tcW w:w="9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4"/>
              </w:rPr>
              <w:t>105 Days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9,978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9,978</w:t>
            </w:r>
          </w:p>
        </w:tc>
        <w:tc>
          <w:tcPr>
            <w:tcW w:w="0" w:type="dxa"/>
            <w:vAlign w:val="bottom"/>
          </w:tcPr>
          <w:p>
            <w:pPr>
              <w:spacing w:after="0"/>
              <w:rPr>
                <w:sz w:val="1"/>
                <w:szCs w:val="1"/>
                <w:color w:val="auto"/>
              </w:rPr>
            </w:pPr>
          </w:p>
        </w:tc>
      </w:tr>
      <w:tr>
        <w:trPr>
          <w:trHeight w:val="176"/>
        </w:trPr>
        <w:tc>
          <w:tcPr>
            <w:tcW w:w="384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390,817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00"/>
              <w:spacing w:after="0" w:line="17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(165)</w:t>
            </w:r>
          </w:p>
        </w:tc>
        <w:tc>
          <w:tcPr>
            <w:tcW w:w="2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390,652</w:t>
            </w:r>
          </w:p>
        </w:tc>
        <w:tc>
          <w:tcPr>
            <w:tcW w:w="0" w:type="dxa"/>
            <w:vAlign w:val="bottom"/>
          </w:tcPr>
          <w:p>
            <w:pPr>
              <w:spacing w:after="0"/>
              <w:rPr>
                <w:sz w:val="1"/>
                <w:szCs w:val="1"/>
                <w:color w:val="auto"/>
              </w:rPr>
            </w:pPr>
          </w:p>
        </w:tc>
      </w:tr>
      <w:tr>
        <w:trPr>
          <w:trHeight w:val="382"/>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2016</w:t>
            </w: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gridSpan w:val="4"/>
          </w:tcPr>
          <w:p>
            <w:pPr>
              <w:ind w:left="1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center"/>
              <w:ind w:right="11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840" w:type="dxa"/>
            <w:vAlign w:val="bottom"/>
            <w:vMerge w:val="continue"/>
          </w:tcPr>
          <w:p>
            <w:pPr>
              <w:spacing w:after="0"/>
              <w:rPr>
                <w:sz w:val="14"/>
                <w:szCs w:val="14"/>
                <w:color w:val="auto"/>
              </w:rPr>
            </w:pPr>
          </w:p>
        </w:tc>
        <w:tc>
          <w:tcPr>
            <w:tcW w:w="980" w:type="dxa"/>
            <w:vAlign w:val="bottom"/>
          </w:tcPr>
          <w:p>
            <w:pPr>
              <w:ind w:left="220"/>
              <w:spacing w:after="0"/>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w w:val="86"/>
              </w:rPr>
              <w:t>Losses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9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980" w:type="dxa"/>
            <w:vAlign w:val="bottom"/>
          </w:tcPr>
          <w:p>
            <w:pPr>
              <w:spacing w:after="0"/>
              <w:rPr>
                <w:sz w:val="16"/>
                <w:szCs w:val="16"/>
                <w:color w:val="auto"/>
              </w:rPr>
            </w:pPr>
          </w:p>
        </w:tc>
        <w:tc>
          <w:tcPr>
            <w:tcW w:w="4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52,069</w:t>
            </w:r>
          </w:p>
        </w:tc>
        <w:tc>
          <w:tcPr>
            <w:tcW w:w="2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line="189" w:lineRule="exact"/>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line="189"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5"/>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52,069</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980" w:type="dxa"/>
            <w:vAlign w:val="bottom"/>
            <w:tcBorders>
              <w:bottom w:val="single" w:sz="8" w:color="CCEEFF"/>
            </w:tcBorders>
          </w:tcPr>
          <w:p>
            <w:pPr>
              <w:ind w:left="240"/>
              <w:spacing w:after="0" w:line="189" w:lineRule="exact"/>
              <w:rPr>
                <w:sz w:val="20"/>
                <w:szCs w:val="20"/>
                <w:color w:val="auto"/>
              </w:rPr>
            </w:pPr>
            <w:r>
              <w:rPr>
                <w:rFonts w:ascii="Arial" w:cs="Arial" w:eastAsia="Arial" w:hAnsi="Arial"/>
                <w:sz w:val="18"/>
                <w:szCs w:val="18"/>
                <w:color w:val="auto"/>
                <w:w w:val="94"/>
              </w:rPr>
              <w:t>298 Days</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216,167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00"/>
              <w:spacing w:after="0" w:line="189" w:lineRule="exact"/>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w:t>
            </w: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216,149</w:t>
            </w:r>
          </w:p>
        </w:tc>
        <w:tc>
          <w:tcPr>
            <w:tcW w:w="0" w:type="dxa"/>
            <w:vAlign w:val="bottom"/>
          </w:tcPr>
          <w:p>
            <w:pPr>
              <w:spacing w:after="0"/>
              <w:rPr>
                <w:sz w:val="1"/>
                <w:szCs w:val="1"/>
                <w:color w:val="auto"/>
              </w:rPr>
            </w:pPr>
          </w:p>
        </w:tc>
      </w:tr>
      <w:tr>
        <w:trPr>
          <w:trHeight w:val="176"/>
        </w:trPr>
        <w:tc>
          <w:tcPr>
            <w:tcW w:w="38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268,236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ind w:left="300"/>
              <w:spacing w:after="0" w:line="170" w:lineRule="exact"/>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w:t>
            </w: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268,218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three and nine months ended September 30, 2017 and September 30, 2016, there were no realized gains or losses on sales of investments, and no investments were adjusted for other than temporary declines in fair value.</w:t>
      </w:r>
    </w:p>
    <w:p>
      <w:pPr>
        <w:spacing w:after="0" w:line="15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At September 30, 2017, the Company held 41 securities that were in an unrealized loss position. The aggregate fair value of securities held by the Company in an unrealized loss position for less than twelve months as of September 30, 2017 was $275.4 million, and there were no securities held by the Company in an unrealized loss position for more than twelve months. The Company has the intent and ability to hold such securities until recovery. The Company determined that there was no material change in the credit risk of the above investments. As a result, the Company determined it did not hold any investments with an other-than temporary impairment as of September 30, 2017</w:t>
      </w:r>
      <w:r>
        <w:rPr>
          <w:rFonts w:ascii="Arial" w:cs="Arial" w:eastAsia="Arial" w:hAnsi="Arial"/>
          <w:sz w:val="9"/>
          <w:szCs w:val="9"/>
          <w:color w:val="auto"/>
        </w:rPr>
        <w:t>.</w:t>
      </w:r>
    </w:p>
    <w:p>
      <w:pPr>
        <w:spacing w:after="0" w:line="188" w:lineRule="exact"/>
        <w:rPr>
          <w:sz w:val="20"/>
          <w:szCs w:val="20"/>
          <w:color w:val="auto"/>
        </w:rPr>
      </w:pPr>
    </w:p>
    <w:p>
      <w:pPr>
        <w:ind w:left="180" w:hanging="177"/>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fair value hierarchy prioritizes the inputs to valuation techniques used to measure fair value into three broad levels as follows:</w:t>
      </w:r>
    </w:p>
    <w:p>
      <w:pPr>
        <w:spacing w:after="0" w:line="94" w:lineRule="exact"/>
        <w:rPr>
          <w:sz w:val="20"/>
          <w:szCs w:val="20"/>
          <w:color w:val="auto"/>
        </w:rPr>
      </w:pPr>
    </w:p>
    <w:p>
      <w:pPr>
        <w:ind w:left="1300" w:hanging="32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ind w:left="1300" w:right="120" w:hanging="325"/>
        <w:spacing w:after="0" w:line="23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94" w:lineRule="exact"/>
        <w:rPr>
          <w:rFonts w:ascii="Arial" w:cs="Arial" w:eastAsia="Arial" w:hAnsi="Arial"/>
          <w:sz w:val="18"/>
          <w:szCs w:val="18"/>
          <w:color w:val="auto"/>
        </w:rPr>
      </w:pPr>
    </w:p>
    <w:p>
      <w:pPr>
        <w:ind w:left="1300" w:right="100" w:hanging="325"/>
        <w:spacing w:after="0" w:line="259"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Financial instruments measured at fair value as of September 30, 2017 are classified below based on the fair value hierarchy described above: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4"/>
          </w:tcPr>
          <w:p>
            <w:pPr>
              <w:ind w:left="16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5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line="189" w:lineRule="exact"/>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57,329</w:t>
            </w:r>
          </w:p>
        </w:tc>
        <w:tc>
          <w:tcPr>
            <w:tcW w:w="2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57,329</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obligations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323,345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323,345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Government agency securities</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9,978</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9,978</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390,652</w:t>
            </w:r>
          </w:p>
        </w:tc>
        <w:tc>
          <w:tcPr>
            <w:tcW w:w="280" w:type="dxa"/>
            <w:vAlign w:val="bottom"/>
            <w:gridSpan w:val="2"/>
            <w:shd w:val="clear" w:color="auto" w:fill="CCEEFF"/>
          </w:tcPr>
          <w:p>
            <w:pPr>
              <w:jc w:val="right"/>
              <w:ind w:right="20"/>
              <w:spacing w:after="0" w:line="170"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390,652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440"/>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00"/>
              <w:spacing w:after="0" w:line="17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Financial instruments measured at fair value as of December 31, 2016 are classified below based on the fair value hierarchy described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Observable</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5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line="189" w:lineRule="exact"/>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2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52,069</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52,069</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obligations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216,149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216,149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268,218</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9"/>
              </w:rPr>
              <w:t>268,218</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40"/>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500"/>
              <w:spacing w:after="0" w:line="17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189"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As of September 30, 2017 and December 31, 2016, $4.8 million and $1.3 million of restricted cash was included in long-term assets on the Company’s balance sheet, respectively. As of September 30, 2017, $1.3 million of the restricted cash is related to a security deposit for the lease agreement for the Company’s current corporate headquarters located at 38 Sidney Street in Cambridge, Massachusetts. On April 28, 2017, the Company entered into a lease agreement with UP 45/75 Sidney Street, LLC (Landlord) for approximately 99,833 rentable square feet of office and laboratory space located at 45 Sidney Street in Cambridge, Massachusetts which the Company gained control over on June 1, 2017. The initial term of the lease agreement commenced on October 1, 2017 and will be for a 146 month period beginning on the commencement date, unless terminated sooner. The lease agreement requires the Company to maintain a security deposit with the Landlord in the amount of $3.5 million, which is included in restricted cash of September 30, 2017. The security deposit is subject to reduction by up to $1.0 million during the term of the lease agreement, subject to the satisfaction of specified terms and conditions.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Collaborations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Roche</w:t>
      </w:r>
    </w:p>
    <w:p>
      <w:pPr>
        <w:spacing w:after="0" w:line="185"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In March 2016, the Company entered into a collaboration and license agreement (as amended, Roche agreement) with Roche for the discovery, development and commercialization of up to five small molecule therapeutics targeting kinases believed to be important in cancer immunotherapy, as single products or possibly in combination with other therapeutics. The parties initiated activities for three of the collaboration programs in 2016, and the parties have agreed to work together to use the Company’s novel target discovery engine and proprietary compound library to select targets for up to two additional collaboration programs.</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16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68"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Subject to the terms of the Roche agreement, the Company received an upfront cash payment of $45.0 million and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70"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3" w:lineRule="exact"/>
        <w:rPr>
          <w:sz w:val="20"/>
          <w:szCs w:val="20"/>
          <w:color w:val="auto"/>
        </w:rPr>
      </w:pPr>
    </w:p>
    <w:p>
      <w:pPr>
        <w:ind w:right="80" w:firstLine="648"/>
        <w:spacing w:after="0" w:line="235" w:lineRule="auto"/>
        <w:rPr>
          <w:sz w:val="20"/>
          <w:szCs w:val="20"/>
          <w:color w:val="auto"/>
        </w:rPr>
      </w:pPr>
      <w:r>
        <w:rPr>
          <w:rFonts w:ascii="Arial" w:cs="Arial" w:eastAsia="Arial" w:hAnsi="Arial"/>
          <w:sz w:val="16"/>
          <w:szCs w:val="16"/>
          <w:color w:val="auto"/>
        </w:rPr>
        <w:t>The Company determined that there were five deliverables under the Roche agreement: (i) a non-transferable, sub-licensable and non-exclusive license to use the Company’s intellectual property and collaboration compounds to conduct research activities;(ii) conducting research and development activities through Phase 1 clinical trials under the research plan;</w:t>
      </w:r>
    </w:p>
    <w:p>
      <w:pPr>
        <w:spacing w:after="0" w:line="2" w:lineRule="exact"/>
        <w:rPr>
          <w:sz w:val="20"/>
          <w:szCs w:val="20"/>
          <w:color w:val="auto"/>
        </w:rPr>
      </w:pPr>
    </w:p>
    <w:p>
      <w:pPr>
        <w:ind w:right="220" w:firstLine="3"/>
        <w:spacing w:after="0" w:line="268"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providing pre-clinical and clinical supply of collaboration compounds; (iv) participation on a joint research committee (JRC) and joint development committee (JDC); and (v) regulatory responsibilities under Phase 1 clinical trials.</w:t>
      </w:r>
    </w:p>
    <w:p>
      <w:pPr>
        <w:spacing w:after="0" w:line="140" w:lineRule="exact"/>
        <w:rPr>
          <w:sz w:val="20"/>
          <w:szCs w:val="20"/>
          <w:color w:val="auto"/>
        </w:rPr>
      </w:pPr>
    </w:p>
    <w:p>
      <w:pPr>
        <w:ind w:right="100" w:firstLine="648"/>
        <w:spacing w:after="0" w:line="244" w:lineRule="auto"/>
        <w:rPr>
          <w:sz w:val="20"/>
          <w:szCs w:val="20"/>
          <w:color w:val="auto"/>
        </w:rPr>
      </w:pPr>
      <w:r>
        <w:rPr>
          <w:rFonts w:ascii="Arial" w:cs="Arial" w:eastAsia="Arial" w:hAnsi="Arial"/>
          <w:sz w:val="16"/>
          <w:szCs w:val="16"/>
          <w:color w:val="auto"/>
        </w:rPr>
        <w:t>The Company determined that the license did not have value to Roche on a stand-alone basis due to the specialized nature of the research activities to be provided by the Company that are not available in the marketplace and the fact that the license is to perform research and development only. Therefore, the license has limited value without the performance of the research and development activities and is not separable. The pre-clinical and clinical supply activities are integral to the performance of the research and development activities and can only be used for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performance of such activities, and the regulatory responsibilities are dependent on the research and development activities. The Company determined that the best estimate for the selling price of the JRC and JDC participation was inconsequential. Accordingly, the Company combined the license, pre-clinical and clinical supply, JRC and JDC participation and regulatory responsibilities deliverables with the research and development activities, the last item to be delivered in the arrangement, as one unit of accounting. The Company is recognizing the total allocable arrangement consideration consisting of the upfront payment of $45.0 million as revenue on a straight-line basis over the Company’s best estimate of the period it expects to perform research and development activities. The Company expects the services to be delivered ratably.</w:t>
      </w:r>
    </w:p>
    <w:p>
      <w:pPr>
        <w:spacing w:after="0" w:line="163"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Company evaluated whether the option fees that may be received in connection with the Roche agreement are substantive. The Company concluded that the option fees were substantive due to the uncertainty around whether the goals of the collaboration will be achieved, and therefore the options are not a deliverable in the current arrangement. If Roche elects to exercise the options, the exercises and related contingent deliverables would be accounted for as a separate arrangement.</w:t>
      </w:r>
    </w:p>
    <w:p>
      <w:pPr>
        <w:spacing w:after="0" w:line="155"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The Company evaluated whether the milestones that may be received in connection with the Roche agreement are substantive milestones. Pre-option exercise milestones, of up to $215.0 million, that are expected to be achieved as a result of the Company’s efforts during the performance of the research and development activities are considered substantive and are recognized as revenue upon the achievement of the milestone, assuming all other revenue recognition criteria are met. The development event milestones are not considered substantive because the Company does not contribute effort to the achievement of such milestones as they are expected to be achieved after the performance of the research and development activities. Consideration received with respect to these milestones will be added to the total arrangement consideration that has been allocated to the identified units of accounting. As a result, that amount is recognized as revenue ratably over the period starting from the effective date of the agreement to the date that the Company will complete all of its obligations, with a cumulative catch-up from the effective date through the date of achievement of the milestone. If the consideration is received after the completion of all of the Company’s obligations, the amount will be recognized as revenue immediately.</w:t>
      </w:r>
    </w:p>
    <w:p>
      <w:pPr>
        <w:spacing w:after="0" w:line="166"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During both the three months ended September 30, 2017 and 2016, the Company recognized revenue under the Roche agreement of $1.4 million, which represents a portion of the $45.0 million upfront payment. During the nine months ended September 30, 2017 and 2016, the Company recognized revenue under the Roche agreement of $4.2 million and $3.0 million, respectively, which represents a portion of the $45.0 million upfront payment.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Alexion</w:t>
      </w:r>
    </w:p>
    <w:p>
      <w:pPr>
        <w:spacing w:after="0" w:line="185"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In March 2015, the Company entered into a research, development and commercialization agreement (Alexion agreement) with Alexion to research, develop and commercialize one or more drug candidates targeting the ALK2 kinase for the treatment of fibrodysplasia ossificans progressiva (FOP). On July 26, 2017, the Company received written notice from Alexion of its election to terminate the Alexion agreement for convenience, and the termination became effective on October 24, 2017.</w:t>
      </w:r>
    </w:p>
    <w:p>
      <w:pPr>
        <w:spacing w:after="0" w:line="162" w:lineRule="exact"/>
        <w:rPr>
          <w:sz w:val="20"/>
          <w:szCs w:val="20"/>
          <w:color w:val="auto"/>
        </w:rPr>
      </w:pPr>
    </w:p>
    <w:p>
      <w:pPr>
        <w:ind w:firstLine="648"/>
        <w:spacing w:after="0" w:line="209" w:lineRule="auto"/>
        <w:rPr>
          <w:sz w:val="20"/>
          <w:szCs w:val="20"/>
          <w:color w:val="auto"/>
        </w:rPr>
      </w:pPr>
      <w:r>
        <w:rPr>
          <w:rFonts w:ascii="Arial" w:cs="Arial" w:eastAsia="Arial" w:hAnsi="Arial"/>
          <w:sz w:val="18"/>
          <w:szCs w:val="18"/>
          <w:color w:val="auto"/>
        </w:rPr>
        <w:t>Under the terms of the Alexion agreement, the Company and Alexion agreed to collaborate to research, develop and commercialize one or more drug candidates targeting the ALK2 kinase for the treatment of FOP, which is a rare genetic disease caused by mutations in the ALK2 gene, ACVR1. Effective upon the termination, the Company’s exclusivity obligations under the Alexion agreement terminated, including without limitation, the Company’s exclusivity obligations with respect to (i) the treatment of FOP, heterotopic ossification or diffuse intrinsic pontine glioma, (ii) ALK2, including both wild type and mutated forms, and (iii) certain molecules related to the foregoing. In addition, the research term and all licenses granted to Alexion terminated, and certain licenses granted by Alexion to the Company survived and became perpetual, irrevocable and non-terminable. The Company plans to evaluate opportunities to continue advancing this research program and is currently conducting research and pre-clinical development activities directed toward identifying a development candidate.</w:t>
      </w:r>
    </w:p>
    <w:p>
      <w:pPr>
        <w:spacing w:after="0" w:line="169" w:lineRule="exact"/>
        <w:rPr>
          <w:sz w:val="20"/>
          <w:szCs w:val="20"/>
          <w:color w:val="auto"/>
        </w:rPr>
      </w:pPr>
    </w:p>
    <w:p>
      <w:pPr>
        <w:ind w:right="280" w:firstLine="648"/>
        <w:spacing w:after="0" w:line="249" w:lineRule="auto"/>
        <w:rPr>
          <w:sz w:val="20"/>
          <w:szCs w:val="20"/>
          <w:color w:val="auto"/>
        </w:rPr>
      </w:pPr>
      <w:r>
        <w:rPr>
          <w:rFonts w:ascii="Arial" w:cs="Arial" w:eastAsia="Arial" w:hAnsi="Arial"/>
          <w:sz w:val="16"/>
          <w:szCs w:val="16"/>
          <w:color w:val="auto"/>
        </w:rPr>
        <w:t>Pursuant to the Alexion agreement, the Company was responsible for research and pre-clinical development activities related to any drug candidates, and Alexion was responsible for all clinical development, manufacturing and commercialization activities related to any drug candidates. In addition, Alexion was responsible for funding 100% of the Company’s research and development costs incurred under the research plan, including pass-through costs and a</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negotiated yearly rate per full-time equivalent for the Company’s employees’ time and their associated overhead expenses. As a result of the termination of the Alexion agreement, the Company will not be entitled to receive payment from Alexion for any research and development expenses incurred after the effective date of termination.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Prior to termination, the Company had received an aggregate amount of $18.8 million in upfront and milestone</w:t>
      </w:r>
    </w:p>
    <w:p>
      <w:pPr>
        <w:spacing w:after="0" w:line="176" w:lineRule="exact"/>
        <w:rPr>
          <w:sz w:val="20"/>
          <w:szCs w:val="20"/>
          <w:color w:val="auto"/>
        </w:rPr>
      </w:pPr>
      <w:r>
        <w:rPr>
          <w:rFonts w:ascii="Arial" w:cs="Arial" w:eastAsia="Arial" w:hAnsi="Arial"/>
          <w:sz w:val="17"/>
          <w:szCs w:val="17"/>
          <w:color w:val="auto"/>
        </w:rPr>
        <w:t>payments. The Company received a $15.0 million non</w:t>
      </w:r>
      <w:r>
        <w:rPr>
          <w:rFonts w:ascii="MS PGothic" w:cs="MS PGothic" w:eastAsia="MS PGothic" w:hAnsi="MS PGothic"/>
          <w:sz w:val="17"/>
          <w:szCs w:val="17"/>
          <w:color w:val="auto"/>
        </w:rPr>
        <w:t>‑</w:t>
      </w:r>
      <w:r>
        <w:rPr>
          <w:rFonts w:ascii="Arial" w:cs="Arial" w:eastAsia="Arial" w:hAnsi="Arial"/>
          <w:sz w:val="17"/>
          <w:szCs w:val="17"/>
          <w:color w:val="auto"/>
        </w:rPr>
        <w:t>refundable upfront payment in March 2015 upon execution of the</w:t>
      </w:r>
    </w:p>
    <w:p>
      <w:pPr>
        <w:spacing w:after="0" w:line="216" w:lineRule="auto"/>
        <w:rPr>
          <w:sz w:val="20"/>
          <w:szCs w:val="20"/>
          <w:color w:val="auto"/>
        </w:rPr>
      </w:pPr>
      <w:r>
        <w:rPr>
          <w:rFonts w:ascii="Arial" w:cs="Arial" w:eastAsia="Arial" w:hAnsi="Arial"/>
          <w:sz w:val="17"/>
          <w:szCs w:val="17"/>
          <w:color w:val="auto"/>
        </w:rPr>
        <w:t>Alexion agreement and was eligible to receive over $250.0 million in payments upon the successful achievement of</w:t>
      </w:r>
    </w:p>
    <w:p>
      <w:pPr>
        <w:spacing w:after="0" w:line="176" w:lineRule="exact"/>
        <w:rPr>
          <w:sz w:val="20"/>
          <w:szCs w:val="20"/>
          <w:color w:val="auto"/>
        </w:rPr>
      </w:pPr>
      <w:r>
        <w:rPr>
          <w:rFonts w:ascii="Arial" w:cs="Arial" w:eastAsia="Arial" w:hAnsi="Arial"/>
          <w:sz w:val="17"/>
          <w:szCs w:val="17"/>
          <w:color w:val="auto"/>
        </w:rPr>
        <w:t>pre</w:t>
      </w:r>
      <w:r>
        <w:rPr>
          <w:rFonts w:ascii="MS PGothic" w:cs="MS PGothic" w:eastAsia="MS PGothic" w:hAnsi="MS PGothic"/>
          <w:sz w:val="17"/>
          <w:szCs w:val="17"/>
          <w:color w:val="auto"/>
        </w:rPr>
        <w:t>‑</w:t>
      </w:r>
      <w:r>
        <w:rPr>
          <w:rFonts w:ascii="Arial" w:cs="Arial" w:eastAsia="Arial" w:hAnsi="Arial"/>
          <w:sz w:val="17"/>
          <w:szCs w:val="17"/>
          <w:color w:val="auto"/>
        </w:rPr>
        <w:t>specified pre</w:t>
      </w:r>
      <w:r>
        <w:rPr>
          <w:rFonts w:ascii="MS PGothic" w:cs="MS PGothic" w:eastAsia="MS PGothic" w:hAnsi="MS PGothic"/>
          <w:sz w:val="17"/>
          <w:szCs w:val="17"/>
          <w:color w:val="auto"/>
        </w:rPr>
        <w:t>‑</w:t>
      </w:r>
      <w:r>
        <w:rPr>
          <w:rFonts w:ascii="Arial" w:cs="Arial" w:eastAsia="Arial" w:hAnsi="Arial"/>
          <w:sz w:val="17"/>
          <w:szCs w:val="17"/>
          <w:color w:val="auto"/>
        </w:rPr>
        <w:t>clinical, clinical, regulatory and commercial milestones as follows: (i) up to $6.0 million in pre</w:t>
      </w:r>
      <w:r>
        <w:rPr>
          <w:rFonts w:ascii="MS PGothic" w:cs="MS PGothic" w:eastAsia="MS PGothic" w:hAnsi="MS PGothic"/>
          <w:sz w:val="17"/>
          <w:szCs w:val="17"/>
          <w:color w:val="auto"/>
        </w:rPr>
        <w:t>‑</w:t>
      </w:r>
      <w:r>
        <w:rPr>
          <w:rFonts w:ascii="Arial" w:cs="Arial" w:eastAsia="Arial" w:hAnsi="Arial"/>
          <w:sz w:val="17"/>
          <w:szCs w:val="17"/>
          <w:color w:val="auto"/>
        </w:rPr>
        <w:t>clinical</w:t>
      </w:r>
    </w:p>
    <w:p>
      <w:pPr>
        <w:spacing w:after="0" w:line="216" w:lineRule="auto"/>
        <w:rPr>
          <w:sz w:val="20"/>
          <w:szCs w:val="20"/>
          <w:color w:val="auto"/>
        </w:rPr>
      </w:pPr>
      <w:r>
        <w:rPr>
          <w:rFonts w:ascii="Arial" w:cs="Arial" w:eastAsia="Arial" w:hAnsi="Arial"/>
          <w:sz w:val="17"/>
          <w:szCs w:val="17"/>
          <w:color w:val="auto"/>
        </w:rPr>
        <w:t>milestone payments for the first licensed product, (ii) up to $83.0 million and $61.5 million in development milestone</w:t>
      </w:r>
    </w:p>
    <w:p>
      <w:pPr>
        <w:spacing w:after="0" w:line="215" w:lineRule="auto"/>
        <w:rPr>
          <w:sz w:val="20"/>
          <w:szCs w:val="20"/>
          <w:color w:val="auto"/>
        </w:rPr>
      </w:pPr>
      <w:r>
        <w:rPr>
          <w:rFonts w:ascii="Arial" w:cs="Arial" w:eastAsia="Arial" w:hAnsi="Arial"/>
          <w:sz w:val="17"/>
          <w:szCs w:val="17"/>
          <w:color w:val="auto"/>
        </w:rPr>
        <w:t>payments for the first and second licensed products, respectively, and (iii) up to $51.0 million in commercial milestone</w:t>
      </w:r>
    </w:p>
    <w:p>
      <w:pPr>
        <w:spacing w:after="0" w:line="229" w:lineRule="auto"/>
        <w:rPr>
          <w:sz w:val="20"/>
          <w:szCs w:val="20"/>
          <w:color w:val="auto"/>
        </w:rPr>
      </w:pPr>
      <w:r>
        <w:rPr>
          <w:rFonts w:ascii="Arial" w:cs="Arial" w:eastAsia="Arial" w:hAnsi="Arial"/>
          <w:sz w:val="16"/>
          <w:szCs w:val="16"/>
          <w:color w:val="auto"/>
        </w:rPr>
        <w:t>payments for each of the first and second licensed products. Prior to termination, the Company had received an aggregate</w:t>
      </w:r>
    </w:p>
    <w:p>
      <w:pPr>
        <w:spacing w:after="0" w:line="216" w:lineRule="auto"/>
        <w:rPr>
          <w:sz w:val="20"/>
          <w:szCs w:val="20"/>
          <w:color w:val="auto"/>
        </w:rPr>
      </w:pPr>
      <w:r>
        <w:rPr>
          <w:rFonts w:ascii="Arial" w:cs="Arial" w:eastAsia="Arial" w:hAnsi="Arial"/>
          <w:sz w:val="17"/>
          <w:szCs w:val="17"/>
          <w:color w:val="auto"/>
        </w:rPr>
        <w:t>amount of $3.8 million in pre-clinical milestone payments. As a result of the termination of the Alexion agreement, the</w:t>
      </w:r>
    </w:p>
    <w:p>
      <w:pPr>
        <w:spacing w:after="0" w:line="215" w:lineRule="auto"/>
        <w:rPr>
          <w:sz w:val="20"/>
          <w:szCs w:val="20"/>
          <w:color w:val="auto"/>
        </w:rPr>
      </w:pPr>
      <w:r>
        <w:rPr>
          <w:rFonts w:ascii="Arial" w:cs="Arial" w:eastAsia="Arial" w:hAnsi="Arial"/>
          <w:sz w:val="17"/>
          <w:szCs w:val="17"/>
          <w:color w:val="auto"/>
        </w:rPr>
        <w:t>Company will not be entitled to receive payment from Alexion for any additional milestones. Prior to termination, Alexion</w:t>
      </w:r>
    </w:p>
    <w:p>
      <w:pPr>
        <w:spacing w:after="0" w:line="176" w:lineRule="exact"/>
        <w:rPr>
          <w:sz w:val="20"/>
          <w:szCs w:val="20"/>
          <w:color w:val="auto"/>
        </w:rPr>
      </w:pPr>
      <w:r>
        <w:rPr>
          <w:rFonts w:ascii="Arial" w:cs="Arial" w:eastAsia="Arial" w:hAnsi="Arial"/>
          <w:sz w:val="18"/>
          <w:szCs w:val="18"/>
          <w:color w:val="auto"/>
        </w:rPr>
        <w:t>was required to pay the Company tiered royalties, ranging from mid</w:t>
      </w:r>
      <w:r>
        <w:rPr>
          <w:rFonts w:ascii="MS PGothic" w:cs="MS PGothic" w:eastAsia="MS PGothic" w:hAnsi="MS PGothic"/>
          <w:sz w:val="18"/>
          <w:szCs w:val="18"/>
          <w:color w:val="auto"/>
        </w:rPr>
        <w:t>‑</w:t>
      </w:r>
      <w:r>
        <w:rPr>
          <w:rFonts w:ascii="Arial" w:cs="Arial" w:eastAsia="Arial" w:hAnsi="Arial"/>
          <w:sz w:val="18"/>
          <w:szCs w:val="18"/>
          <w:color w:val="auto"/>
        </w:rPr>
        <w:t>single to low</w:t>
      </w:r>
      <w:r>
        <w:rPr>
          <w:rFonts w:ascii="MS PGothic" w:cs="MS PGothic" w:eastAsia="MS PGothic" w:hAnsi="MS PGothic"/>
          <w:sz w:val="18"/>
          <w:szCs w:val="18"/>
          <w:color w:val="auto"/>
        </w:rPr>
        <w:t>‑</w:t>
      </w:r>
      <w:r>
        <w:rPr>
          <w:rFonts w:ascii="Arial" w:cs="Arial" w:eastAsia="Arial" w:hAnsi="Arial"/>
          <w:sz w:val="18"/>
          <w:szCs w:val="18"/>
          <w:color w:val="auto"/>
        </w:rPr>
        <w:t>double digit percentages, on a</w:t>
      </w:r>
    </w:p>
    <w:p>
      <w:pPr>
        <w:spacing w:after="0" w:line="176" w:lineRule="exact"/>
        <w:rPr>
          <w:sz w:val="20"/>
          <w:szCs w:val="20"/>
          <w:color w:val="auto"/>
        </w:rPr>
      </w:pPr>
      <w:r>
        <w:rPr>
          <w:rFonts w:ascii="Arial" w:cs="Arial" w:eastAsia="Arial" w:hAnsi="Arial"/>
          <w:sz w:val="17"/>
          <w:szCs w:val="17"/>
          <w:color w:val="auto"/>
        </w:rPr>
        <w:t>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licensed-product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 product basis, on worldwide net product sales of licensed products.</w:t>
      </w:r>
    </w:p>
    <w:p>
      <w:pPr>
        <w:spacing w:after="0" w:line="215" w:lineRule="auto"/>
        <w:rPr>
          <w:sz w:val="20"/>
          <w:szCs w:val="20"/>
          <w:color w:val="auto"/>
        </w:rPr>
      </w:pPr>
      <w:r>
        <w:rPr>
          <w:rFonts w:ascii="Arial" w:cs="Arial" w:eastAsia="Arial" w:hAnsi="Arial"/>
          <w:sz w:val="17"/>
          <w:szCs w:val="17"/>
          <w:color w:val="auto"/>
        </w:rPr>
        <w:t>Prior to termination, the royalty term for each licensed product in each country was the period commencing with first</w:t>
      </w:r>
    </w:p>
    <w:p>
      <w:pPr>
        <w:spacing w:after="0" w:line="176" w:lineRule="exact"/>
        <w:rPr>
          <w:sz w:val="20"/>
          <w:szCs w:val="20"/>
          <w:color w:val="auto"/>
        </w:rPr>
      </w:pPr>
      <w:r>
        <w:rPr>
          <w:rFonts w:ascii="Arial" w:cs="Arial" w:eastAsia="Arial" w:hAnsi="Arial"/>
          <w:sz w:val="17"/>
          <w:szCs w:val="17"/>
          <w:color w:val="auto"/>
        </w:rPr>
        <w:t>commercial sale of such licensed product in such country and ending on the later of (i) the expiration of the last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expire</w:t>
      </w:r>
    </w:p>
    <w:p>
      <w:pPr>
        <w:spacing w:after="0" w:line="215" w:lineRule="auto"/>
        <w:rPr>
          <w:sz w:val="20"/>
          <w:szCs w:val="20"/>
          <w:color w:val="auto"/>
        </w:rPr>
      </w:pPr>
      <w:r>
        <w:rPr>
          <w:rFonts w:ascii="Arial" w:cs="Arial" w:eastAsia="Arial" w:hAnsi="Arial"/>
          <w:sz w:val="17"/>
          <w:szCs w:val="17"/>
          <w:color w:val="auto"/>
        </w:rPr>
        <w:t>valid claim of specified patents covering such licensed product, (ii) the expiration of the applicable regulatory exclusivity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period, and (iii) 10 or 15 years from specified commercial sales. There are no refund provisions in the Alexion agreement.</w:t>
      </w:r>
    </w:p>
    <w:p>
      <w:pPr>
        <w:spacing w:after="0" w:line="192"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 Company determined that there were three deliverables under the Alexion agreement: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163"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 Company determined that the license did not have value to Alexion on a stand-alone basis due to the specialized nature of the research services to be provided by the Company that are not available in the marketplace. Therefore, the deliverables are not separable and, accordingly, the license, undelivered research and development activities and JSC and JPT participation are a single unit of accounting. When multiple deliverables are accounted for as a single unit of accounting, the Company bases its revenue recognition model on the final deliverable. Under the Alexion agreement, the last deliverable that was anticipated to be completed was the Company’s research and development activities and participation on the JSC and JPT, which were expected to be delivered over the same performance period. The Company is recognizing the remaining deferred revenue balance related to the upfront payment and non-substantive milestone payment previously received under the Alexion collaboration utilizing the proportional performance model over the remaining period of performance, which ended October 24, 2017.</w:t>
      </w:r>
    </w:p>
    <w:p>
      <w:pPr>
        <w:spacing w:after="0" w:line="164" w:lineRule="exact"/>
        <w:rPr>
          <w:sz w:val="20"/>
          <w:szCs w:val="20"/>
          <w:color w:val="auto"/>
        </w:rPr>
      </w:pPr>
    </w:p>
    <w:p>
      <w:pPr>
        <w:ind w:right="140" w:firstLine="648"/>
        <w:spacing w:after="0" w:line="226" w:lineRule="auto"/>
        <w:rPr>
          <w:sz w:val="20"/>
          <w:szCs w:val="20"/>
          <w:color w:val="auto"/>
        </w:rPr>
      </w:pPr>
      <w:r>
        <w:rPr>
          <w:rFonts w:ascii="Arial" w:cs="Arial" w:eastAsia="Arial" w:hAnsi="Arial"/>
          <w:sz w:val="17"/>
          <w:szCs w:val="17"/>
          <w:color w:val="auto"/>
        </w:rPr>
        <w:t>The Company evaluated whether the milestones that it was eligible to receive in connection with the Alexion agreement were substantive or non-substantive milestones. The Company concluded that the first pre-clinical milestone payment received from Alexion was non-substantive due to the certainty at the date the Alexion agreement was entered into that the milestone event would be achieved. In the second quarter of 2015, the Company achieved the first pre-clinical milestone under the Alexion agreement and received a $1.8 million payment from Alexion. The Company is recognizing revenues from the related milestone payment over the remaining period of performance.</w:t>
      </w:r>
    </w:p>
    <w:p>
      <w:pPr>
        <w:spacing w:after="0" w:line="165" w:lineRule="exact"/>
        <w:rPr>
          <w:sz w:val="20"/>
          <w:szCs w:val="20"/>
          <w:color w:val="auto"/>
        </w:rPr>
      </w:pPr>
    </w:p>
    <w:p>
      <w:pPr>
        <w:ind w:right="140" w:firstLine="648"/>
        <w:spacing w:after="0" w:line="237" w:lineRule="auto"/>
        <w:rPr>
          <w:sz w:val="20"/>
          <w:szCs w:val="20"/>
          <w:color w:val="auto"/>
        </w:rPr>
      </w:pPr>
      <w:r>
        <w:rPr>
          <w:rFonts w:ascii="Arial" w:cs="Arial" w:eastAsia="Arial" w:hAnsi="Arial"/>
          <w:sz w:val="16"/>
          <w:szCs w:val="16"/>
          <w:color w:val="auto"/>
        </w:rPr>
        <w:t>The remaining non-refundable pre-clinical milestones that the Company was eligible to achieve as a result of the Company’s efforts prior to termination were considered substantive and would have been recognized as revenue upon the achievement of the milestone, assuming all other revenue recognition criteria were met. The Company has recognized and received an aggregate of $2.0 million in substantive milestones through September 30, 2017. Milestones that were expected to be achieved after the period of substantial involvement were not considered substantive because the Company would not contribute effort to the achievement of such milestones. These milestones would have been recognized as revenue upon achievement of the milestone, assuming all other revenue recognition criteria were met, as there would have been no undelivered elements remaining and no continuing performance obligations.</w:t>
      </w:r>
    </w:p>
    <w:p>
      <w:pPr>
        <w:spacing w:after="0" w:line="167" w:lineRule="exact"/>
        <w:rPr>
          <w:sz w:val="20"/>
          <w:szCs w:val="20"/>
          <w:color w:val="auto"/>
        </w:rPr>
      </w:pPr>
    </w:p>
    <w:p>
      <w:pPr>
        <w:jc w:val="both"/>
        <w:ind w:right="180" w:firstLine="648"/>
        <w:spacing w:after="0" w:line="238" w:lineRule="auto"/>
        <w:rPr>
          <w:sz w:val="20"/>
          <w:szCs w:val="20"/>
          <w:color w:val="auto"/>
        </w:rPr>
      </w:pPr>
      <w:r>
        <w:rPr>
          <w:rFonts w:ascii="Arial" w:cs="Arial" w:eastAsia="Arial" w:hAnsi="Arial"/>
          <w:sz w:val="17"/>
          <w:szCs w:val="17"/>
          <w:color w:val="auto"/>
        </w:rPr>
        <w:t>During the three and nine months ended September 30, 2017, the Company recognized revenue under the Alexion agreement of $6.7 million and $15.6 million, respectively, which represents $3.4 million and $9.3 million, respectively, of reimbursable research and development costs, a portion of the $15.0 million upfront payment and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$1.75 million non-substantive milestone payment previously received under the collaboration. During the three and nine months ended September 30, 2016, the Company recognized revenue under the Alexion agreement of $4.8 million and $17.0 million, respectively, which represents $3.5 million and $11.0 million, respectively, of reimbursable research and development costs, the $1.75 million milestone payment recognized in the nine months ended September 30, 2016, which was recognized upon achievement, as well as a portion of the $15.0 million upfront payment and the $1.75 million non-substantive milestone payment previously received. During the nine months ended September 30, 2017, the Company received $9.5 million related to reimbursable research and development costs under the Alexion agreement. As of September 30, 2017, the Company has recorded unbilled accounts receivable of $3.4 million related to reimbursable research and development costs for activities performed during the three months ended September 30, 2017.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189" w:lineRule="exact"/>
        <w:rPr>
          <w:sz w:val="20"/>
          <w:szCs w:val="20"/>
          <w:color w:val="auto"/>
        </w:rPr>
      </w:pPr>
    </w:p>
    <w:p>
      <w:pPr>
        <w:ind w:right="60" w:firstLine="648"/>
        <w:spacing w:after="0" w:line="177" w:lineRule="exact"/>
        <w:rPr>
          <w:sz w:val="20"/>
          <w:szCs w:val="20"/>
          <w:color w:val="auto"/>
        </w:rPr>
      </w:pPr>
      <w:r>
        <w:rPr>
          <w:rFonts w:ascii="Arial" w:cs="Arial" w:eastAsia="Arial" w:hAnsi="Arial"/>
          <w:sz w:val="16"/>
          <w:szCs w:val="16"/>
          <w:color w:val="auto"/>
        </w:rPr>
        <w:t>In May 2013, the Company entered into a loan and security agreement with Silicon Valley Bank (the 2013 Term Loan), which provided for up to $5.0 million in funding, to be made available in three tranches. Loan advances accrue interest at a fixed rate of 2% above the prime rate. In June 2013, the Company drew the first loan advance of $1.0 million under the 2013 Term Loan and was required to make interest</w:t>
      </w:r>
      <w:r>
        <w:rPr>
          <w:rFonts w:ascii="MS PGothic" w:cs="MS PGothic" w:eastAsia="MS PGothic" w:hAnsi="MS PGothic"/>
          <w:sz w:val="16"/>
          <w:szCs w:val="16"/>
          <w:color w:val="auto"/>
        </w:rPr>
        <w:t>‑</w:t>
      </w:r>
      <w:r>
        <w:rPr>
          <w:rFonts w:ascii="Arial" w:cs="Arial" w:eastAsia="Arial" w:hAnsi="Arial"/>
          <w:sz w:val="16"/>
          <w:szCs w:val="16"/>
          <w:color w:val="auto"/>
        </w:rPr>
        <w:t>only payments until April 1, 2014, and consecutive monthly payments of principal, plus accrued interest, over the remaining term through March 1, 2017. In September 2013, the Company drew the second loan advance of $2.0 million under the 2013 Term Loan and was required to make interest</w:t>
      </w:r>
      <w:r>
        <w:rPr>
          <w:rFonts w:ascii="MS PGothic" w:cs="MS PGothic" w:eastAsia="MS PGothic" w:hAnsi="MS PGothic"/>
          <w:sz w:val="16"/>
          <w:szCs w:val="16"/>
          <w:color w:val="auto"/>
        </w:rPr>
        <w:t>‑</w:t>
      </w:r>
      <w:r>
        <w:rPr>
          <w:rFonts w:ascii="Arial" w:cs="Arial" w:eastAsia="Arial" w:hAnsi="Arial"/>
          <w:sz w:val="16"/>
          <w:szCs w:val="16"/>
          <w:color w:val="auto"/>
        </w:rPr>
        <w:t>only payments until April 1, 2014, and consecutive monthly payments of principal, plus accrued interest, over the remaining term through March 1, 2017. In June 2014, the Company drew the remaining $2.0 million advance under the 2013 Term Loan and was required to make interest</w:t>
      </w:r>
      <w:r>
        <w:rPr>
          <w:rFonts w:ascii="MS PGothic" w:cs="MS PGothic" w:eastAsia="MS PGothic" w:hAnsi="MS PGothic"/>
          <w:sz w:val="16"/>
          <w:szCs w:val="16"/>
          <w:color w:val="auto"/>
        </w:rPr>
        <w:t>‑</w:t>
      </w:r>
      <w:r>
        <w:rPr>
          <w:rFonts w:ascii="Arial" w:cs="Arial" w:eastAsia="Arial" w:hAnsi="Arial"/>
          <w:sz w:val="16"/>
          <w:szCs w:val="16"/>
          <w:color w:val="auto"/>
        </w:rPr>
        <w:t>only payments until January 1, 2015, and consecutive monthly payments of principal, plus accrued interest, over the remaining term through December 1, 2017. In November 2014, the Company amended the 2013 Term Loan to allow the Company to borrow an additional $5.0 million (the 2014 Term Loan). The Company accounted for the amendment as a modification to the existing 2013 Term Loan. The Company immediately drew the additional</w:t>
      </w:r>
    </w:p>
    <w:p>
      <w:pPr>
        <w:spacing w:after="0" w:line="7" w:lineRule="exact"/>
        <w:rPr>
          <w:sz w:val="20"/>
          <w:szCs w:val="20"/>
          <w:color w:val="auto"/>
        </w:rPr>
      </w:pPr>
    </w:p>
    <w:p>
      <w:pPr>
        <w:ind w:right="140"/>
        <w:spacing w:after="0" w:line="182" w:lineRule="exact"/>
        <w:rPr>
          <w:sz w:val="20"/>
          <w:szCs w:val="20"/>
          <w:color w:val="auto"/>
        </w:rPr>
      </w:pPr>
      <w:r>
        <w:rPr>
          <w:rFonts w:ascii="Arial" w:cs="Arial" w:eastAsia="Arial" w:hAnsi="Arial"/>
          <w:sz w:val="17"/>
          <w:szCs w:val="17"/>
          <w:color w:val="auto"/>
        </w:rPr>
        <w:t>$5.0 million under the 2014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December 1, 2015, and consecutive monthly payments of principal, plus accrued interest, over the remaining term through November 1, 2018. The Company is required to pay a fee of 4% of the total loan advances at the end of the term of each of the 2013 Term Loan and the 2014 Term Loan. The fee is being accreted to interest expense over the term of the 2013 Term Loan and the 2014 Term Loan. In the event of prepayment, the Company is obligated to pay 1% to 2% of the amount of the outstanding principal depending upon the timing of the prepayment.</w:t>
      </w:r>
    </w:p>
    <w:p>
      <w:pPr>
        <w:spacing w:after="0" w:line="123" w:lineRule="exact"/>
        <w:rPr>
          <w:sz w:val="20"/>
          <w:szCs w:val="20"/>
          <w:color w:val="auto"/>
        </w:rPr>
      </w:pPr>
    </w:p>
    <w:p>
      <w:pPr>
        <w:ind w:right="180" w:firstLine="648"/>
        <w:spacing w:after="0" w:line="187" w:lineRule="exact"/>
        <w:rPr>
          <w:sz w:val="20"/>
          <w:szCs w:val="20"/>
          <w:color w:val="auto"/>
        </w:rPr>
      </w:pPr>
      <w:r>
        <w:rPr>
          <w:rFonts w:ascii="Arial" w:cs="Arial" w:eastAsia="Arial" w:hAnsi="Arial"/>
          <w:sz w:val="16"/>
          <w:szCs w:val="16"/>
          <w:color w:val="auto"/>
        </w:rPr>
        <w:t>The 2013 Term Loan and 2014 Term Loan are collateralized by a blanket lien on all corporate assets, excluding intellectual property, and by a negative pledge of the Company’s intellectual property. The 2013 Term Loan and 2014 Term Loan contain customary default provisions that include material adverse events, as defined therein. The Company has determined that the risk of subjective acceleration under the material adverse events clause is remote and therefore has classified the outstanding principal in current and long</w:t>
      </w:r>
      <w:r>
        <w:rPr>
          <w:rFonts w:ascii="MS PGothic" w:cs="MS PGothic" w:eastAsia="MS PGothic" w:hAnsi="MS PGothic"/>
          <w:sz w:val="16"/>
          <w:szCs w:val="16"/>
          <w:color w:val="auto"/>
        </w:rPr>
        <w:t>‑</w:t>
      </w:r>
      <w:r>
        <w:rPr>
          <w:rFonts w:ascii="Arial" w:cs="Arial" w:eastAsia="Arial" w:hAnsi="Arial"/>
          <w:sz w:val="16"/>
          <w:szCs w:val="16"/>
          <w:color w:val="auto"/>
        </w:rPr>
        <w:t>term liabilities based on scheduled principal payments.</w:t>
      </w:r>
    </w:p>
    <w:p>
      <w:pPr>
        <w:spacing w:after="0" w:line="135"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The Company assessed all terms and features of the 2013 Term Loan and the 2014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2013 Term Loan and the 2014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61" w:lineRule="exact"/>
        <w:rPr>
          <w:sz w:val="20"/>
          <w:szCs w:val="20"/>
          <w:color w:val="auto"/>
        </w:rPr>
      </w:pPr>
    </w:p>
    <w:p>
      <w:pPr>
        <w:ind w:right="300" w:firstLine="648"/>
        <w:spacing w:after="0" w:line="289" w:lineRule="auto"/>
        <w:rPr>
          <w:sz w:val="20"/>
          <w:szCs w:val="20"/>
          <w:color w:val="auto"/>
        </w:rPr>
      </w:pPr>
      <w:r>
        <w:rPr>
          <w:rFonts w:ascii="Arial" w:cs="Arial" w:eastAsia="Arial" w:hAnsi="Arial"/>
          <w:sz w:val="16"/>
          <w:szCs w:val="16"/>
          <w:color w:val="auto"/>
        </w:rPr>
        <w:t>Future minimum payments, which include principal and interest due under each of the 2013 Term Loan and the 2014 Term Loan, are $0.6 million, in the aggregate, for the remainder of 2017 and $1.6 million, in the aggregate, in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144"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In 2015, the Company’s board of directors and stockholders approved the 2015 Stock Option and Incentive Plan (the 2015 Plan), which replaced the Company’s 2011 Stock Option and Grant Plan, as amended (the 2011 Plan).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181" w:lineRule="exact"/>
        <w:rPr>
          <w:sz w:val="20"/>
          <w:szCs w:val="20"/>
          <w:color w:val="auto"/>
        </w:rPr>
      </w:pPr>
      <w:r>
        <w:rPr>
          <w:rFonts w:ascii="Arial" w:cs="Arial" w:eastAsia="Arial" w:hAnsi="Arial"/>
          <w:sz w:val="17"/>
          <w:szCs w:val="17"/>
          <w:color w:val="auto"/>
        </w:rPr>
        <w:t>The 2015 Plan includes incentive stock options, nonstatutory stock options, stock appreciation rights, restricted stock, restricted stock units, unrestricted stock, performance share awards and cash</w:t>
      </w:r>
      <w:r>
        <w:rPr>
          <w:rFonts w:ascii="MS PGothic" w:cs="MS PGothic" w:eastAsia="MS PGothic" w:hAnsi="MS PGothic"/>
          <w:sz w:val="17"/>
          <w:szCs w:val="17"/>
          <w:color w:val="auto"/>
        </w:rPr>
        <w:t>‑</w:t>
      </w:r>
      <w:r>
        <w:rPr>
          <w:rFonts w:ascii="Arial" w:cs="Arial" w:eastAsia="Arial" w:hAnsi="Arial"/>
          <w:sz w:val="17"/>
          <w:szCs w:val="17"/>
          <w:color w:val="auto"/>
        </w:rPr>
        <w:t>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2017, the number of shares reserved for issuance under the 2015 Plan was increased by 1,325,019 shares. In addition, the total number of shares reserved for issuance is subject to adjustment in the event of a stock split, stock dividend or other change in our capitalization. At September 30, 2017, there were 1,853,219 shares available for future grant under the 2015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85" w:lineRule="exact"/>
        <w:rPr>
          <w:sz w:val="20"/>
          <w:szCs w:val="20"/>
          <w:color w:val="auto"/>
        </w:rPr>
      </w:pPr>
    </w:p>
    <w:p>
      <w:pPr>
        <w:ind w:right="120" w:firstLine="648"/>
        <w:spacing w:after="0" w:line="203" w:lineRule="exact"/>
        <w:rPr>
          <w:sz w:val="20"/>
          <w:szCs w:val="20"/>
          <w:color w:val="auto"/>
        </w:rPr>
      </w:pPr>
      <w:r>
        <w:rPr>
          <w:rFonts w:ascii="Arial" w:cs="Arial" w:eastAsia="Arial" w:hAnsi="Arial"/>
          <w:sz w:val="18"/>
          <w:szCs w:val="18"/>
          <w:color w:val="auto"/>
        </w:rPr>
        <w:t>Options and restricted stock awards granted by the Company generally vest ratably over four years, with a one</w:t>
      </w:r>
      <w:r>
        <w:rPr>
          <w:rFonts w:ascii="MS PGothic" w:cs="MS PGothic" w:eastAsia="MS PGothic" w:hAnsi="MS PGothic"/>
          <w:sz w:val="18"/>
          <w:szCs w:val="18"/>
          <w:color w:val="auto"/>
        </w:rPr>
        <w:t>‑</w:t>
      </w:r>
      <w:r>
        <w:rPr>
          <w:rFonts w:ascii="Arial" w:cs="Arial" w:eastAsia="Arial" w:hAnsi="Arial"/>
          <w:sz w:val="18"/>
          <w:szCs w:val="18"/>
          <w:color w:val="auto"/>
        </w:rPr>
        <w:t>year cliff for new employee awards, and are exercisable from the date of grant for a period of ten years.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unvested restricted stock and related information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6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6840" w:type="dxa"/>
            <w:vAlign w:val="bottom"/>
          </w:tcPr>
          <w:p>
            <w:pPr>
              <w:spacing w:after="0"/>
              <w:rPr>
                <w:sz w:val="11"/>
                <w:szCs w:val="11"/>
                <w:color w:val="auto"/>
              </w:rPr>
            </w:pPr>
          </w:p>
        </w:tc>
        <w:tc>
          <w:tcPr>
            <w:tcW w:w="8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9"/>
        </w:trPr>
        <w:tc>
          <w:tcPr>
            <w:tcW w:w="68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Unvested at December 31, 2016</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2,125</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220"/>
              <w:spacing w:after="0" w:line="176" w:lineRule="exact"/>
              <w:rPr>
                <w:sz w:val="20"/>
                <w:szCs w:val="20"/>
                <w:color w:val="auto"/>
              </w:rPr>
            </w:pPr>
            <w:r>
              <w:rPr>
                <w:rFonts w:ascii="Arial" w:cs="Arial" w:eastAsia="Arial" w:hAnsi="Arial"/>
                <w:sz w:val="18"/>
                <w:szCs w:val="18"/>
                <w:color w:val="auto"/>
              </w:rPr>
              <w:t>Vested</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(2,125)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Repurchased</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840" w:type="dxa"/>
            <w:vAlign w:val="bottom"/>
          </w:tcPr>
          <w:p>
            <w:pPr>
              <w:spacing w:after="0" w:line="170" w:lineRule="exact"/>
              <w:rPr>
                <w:sz w:val="20"/>
                <w:szCs w:val="20"/>
                <w:color w:val="auto"/>
              </w:rPr>
            </w:pPr>
            <w:r>
              <w:rPr>
                <w:rFonts w:ascii="Arial" w:cs="Arial" w:eastAsia="Arial" w:hAnsi="Arial"/>
                <w:sz w:val="18"/>
                <w:szCs w:val="18"/>
                <w:color w:val="auto"/>
              </w:rPr>
              <w:t>Unvested at September 30, 2017</w:t>
            </w:r>
          </w:p>
        </w:tc>
        <w:tc>
          <w:tcPr>
            <w:tcW w:w="8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80" w:firstLine="648"/>
        <w:spacing w:after="0" w:line="220" w:lineRule="auto"/>
        <w:rPr>
          <w:sz w:val="20"/>
          <w:szCs w:val="20"/>
          <w:color w:val="auto"/>
        </w:rPr>
      </w:pPr>
      <w:r>
        <w:rPr>
          <w:rFonts w:ascii="Arial" w:cs="Arial" w:eastAsia="Arial" w:hAnsi="Arial"/>
          <w:sz w:val="18"/>
          <w:szCs w:val="18"/>
          <w:color w:val="auto"/>
        </w:rPr>
        <w:t>There were no restricted stock awards that vested during the three months ended September 30, 2017</w:t>
      </w:r>
      <w:r>
        <w:rPr>
          <w:rFonts w:ascii="Arial" w:cs="Arial" w:eastAsia="Arial" w:hAnsi="Arial"/>
          <w:sz w:val="18"/>
          <w:szCs w:val="18"/>
          <w:b w:val="1"/>
          <w:bCs w:val="1"/>
          <w:color w:val="auto"/>
        </w:rPr>
        <w:t>.</w:t>
      </w:r>
      <w:r>
        <w:rPr>
          <w:rFonts w:ascii="Arial" w:cs="Arial" w:eastAsia="Arial" w:hAnsi="Arial"/>
          <w:sz w:val="18"/>
          <w:szCs w:val="18"/>
          <w:color w:val="auto"/>
        </w:rPr>
        <w:t xml:space="preserve"> The total fair value of restricted stock that vested during the three months ended September 30, 2016 was $1.0 million. The total fair value of restricted stock that vested during the nine months ended September 30, 2017 and 2016 was $0.1 million and $2.3 million, respectively.</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related information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7"/>
              </w:rPr>
              <w:t>Remaining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82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5"/>
              </w:rPr>
              <w:t>Value(1)</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69"/>
        </w:trPr>
        <w:tc>
          <w:tcPr>
            <w:tcW w:w="532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2016</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2,622,741</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11.67</w:t>
            </w: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8.30</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44,025</w:t>
            </w:r>
          </w:p>
        </w:tc>
        <w:tc>
          <w:tcPr>
            <w:tcW w:w="0" w:type="dxa"/>
            <w:vAlign w:val="bottom"/>
          </w:tcPr>
          <w:p>
            <w:pPr>
              <w:spacing w:after="0"/>
              <w:rPr>
                <w:sz w:val="1"/>
                <w:szCs w:val="1"/>
                <w:color w:val="auto"/>
              </w:rPr>
            </w:pPr>
          </w:p>
        </w:tc>
      </w:tr>
      <w:tr>
        <w:trPr>
          <w:trHeight w:val="189"/>
        </w:trPr>
        <w:tc>
          <w:tcPr>
            <w:tcW w:w="5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1,059,372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38.47</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(295,837)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9.42</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tcBorders>
              <w:bottom w:val="single" w:sz="8" w:color="CCEEFF"/>
            </w:tcBorders>
            <w:gridSpan w:val="2"/>
          </w:tcPr>
          <w:p>
            <w:pPr>
              <w:ind w:left="220"/>
              <w:spacing w:after="0" w:line="176" w:lineRule="exact"/>
              <w:rPr>
                <w:sz w:val="20"/>
                <w:szCs w:val="20"/>
                <w:color w:val="auto"/>
              </w:rPr>
            </w:pPr>
            <w:r>
              <w:rPr>
                <w:rFonts w:ascii="Arial" w:cs="Arial" w:eastAsia="Arial" w:hAnsi="Arial"/>
                <w:sz w:val="18"/>
                <w:szCs w:val="18"/>
                <w:color w:val="auto"/>
              </w:rPr>
              <w:t>Canceled</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(36,053)</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rPr>
              <w:t>19.57</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Outstanding at September 30, 2017</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3,350,223</w:t>
            </w:r>
          </w:p>
        </w:tc>
        <w:tc>
          <w:tcPr>
            <w:tcW w:w="30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20.25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8.23</w:t>
            </w:r>
          </w:p>
        </w:tc>
        <w:tc>
          <w:tcPr>
            <w:tcW w:w="28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165,553</w:t>
            </w:r>
          </w:p>
        </w:tc>
        <w:tc>
          <w:tcPr>
            <w:tcW w:w="0" w:type="dxa"/>
            <w:vAlign w:val="bottom"/>
          </w:tcPr>
          <w:p>
            <w:pPr>
              <w:spacing w:after="0"/>
              <w:rPr>
                <w:sz w:val="1"/>
                <w:szCs w:val="1"/>
                <w:color w:val="auto"/>
              </w:rPr>
            </w:pPr>
          </w:p>
        </w:tc>
      </w:tr>
      <w:tr>
        <w:trPr>
          <w:trHeight w:val="170"/>
        </w:trPr>
        <w:tc>
          <w:tcPr>
            <w:tcW w:w="5320" w:type="dxa"/>
            <w:vAlign w:val="bottom"/>
            <w:tcBorders>
              <w:bottom w:val="single" w:sz="8" w:color="CCEEFF"/>
            </w:tcBorders>
            <w:gridSpan w:val="2"/>
          </w:tcPr>
          <w:p>
            <w:pPr>
              <w:spacing w:after="0" w:line="163" w:lineRule="exact"/>
              <w:rPr>
                <w:sz w:val="20"/>
                <w:szCs w:val="20"/>
                <w:color w:val="auto"/>
              </w:rPr>
            </w:pPr>
            <w:r>
              <w:rPr>
                <w:rFonts w:ascii="Arial" w:cs="Arial" w:eastAsia="Arial" w:hAnsi="Arial"/>
                <w:sz w:val="18"/>
                <w:szCs w:val="18"/>
                <w:color w:val="auto"/>
              </w:rPr>
              <w:t>Exercisable at September 30, 2017</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1,321,034</w:t>
            </w:r>
          </w:p>
        </w:tc>
        <w:tc>
          <w:tcPr>
            <w:tcW w:w="300" w:type="dxa"/>
            <w:vAlign w:val="bottom"/>
            <w:tcBorders>
              <w:bottom w:val="single" w:sz="8" w:color="CCEEFF"/>
            </w:tcBorders>
            <w:gridSpan w:val="2"/>
          </w:tcPr>
          <w:p>
            <w:pPr>
              <w:jc w:val="right"/>
              <w:spacing w:after="0" w:line="16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10.84</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7.55</w:t>
            </w:r>
          </w:p>
        </w:tc>
        <w:tc>
          <w:tcPr>
            <w:tcW w:w="280" w:type="dxa"/>
            <w:vAlign w:val="bottom"/>
            <w:tcBorders>
              <w:bottom w:val="single" w:sz="8" w:color="CCEEFF"/>
            </w:tcBorders>
            <w:gridSpan w:val="2"/>
          </w:tcPr>
          <w:p>
            <w:pPr>
              <w:jc w:val="right"/>
              <w:spacing w:after="0" w:line="163"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77,711</w:t>
            </w:r>
          </w:p>
        </w:tc>
        <w:tc>
          <w:tcPr>
            <w:tcW w:w="0" w:type="dxa"/>
            <w:vAlign w:val="bottom"/>
          </w:tcPr>
          <w:p>
            <w:pPr>
              <w:spacing w:after="0"/>
              <w:rPr>
                <w:sz w:val="1"/>
                <w:szCs w:val="1"/>
                <w:color w:val="auto"/>
              </w:rPr>
            </w:pPr>
          </w:p>
        </w:tc>
      </w:tr>
      <w:tr>
        <w:trPr>
          <w:trHeight w:val="183"/>
        </w:trPr>
        <w:tc>
          <w:tcPr>
            <w:tcW w:w="53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Vested and expected to vest at September 30, 2017</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3,350,223</w:t>
            </w:r>
          </w:p>
        </w:tc>
        <w:tc>
          <w:tcPr>
            <w:tcW w:w="3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20.25</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8.23</w:t>
            </w:r>
          </w:p>
        </w:tc>
        <w:tc>
          <w:tcPr>
            <w:tcW w:w="2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165,553</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right="700" w:hanging="317"/>
        <w:spacing w:after="0" w:line="235"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Intrinsic value represents the amount by which the fair market value as of September 30, 2017 of the underlying common stock exceeds the exercise price of the option.</w:t>
      </w:r>
    </w:p>
    <w:p>
      <w:pPr>
        <w:spacing w:after="0" w:line="162" w:lineRule="exact"/>
        <w:rPr>
          <w:sz w:val="20"/>
          <w:szCs w:val="20"/>
          <w:color w:val="auto"/>
        </w:rPr>
      </w:pPr>
    </w:p>
    <w:p>
      <w:pPr>
        <w:ind w:right="60" w:firstLine="648"/>
        <w:spacing w:after="0" w:line="203" w:lineRule="exact"/>
        <w:rPr>
          <w:sz w:val="20"/>
          <w:szCs w:val="20"/>
          <w:color w:val="auto"/>
        </w:rPr>
      </w:pPr>
      <w:r>
        <w:rPr>
          <w:rFonts w:ascii="Arial" w:cs="Arial" w:eastAsia="Arial" w:hAnsi="Arial"/>
          <w:sz w:val="18"/>
          <w:szCs w:val="18"/>
          <w:color w:val="auto"/>
        </w:rPr>
        <w:t>The fair value of stock options is estimated on the grant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based on the following weighted average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78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Three Months Ended</w:t>
            </w:r>
          </w:p>
        </w:tc>
        <w:tc>
          <w:tcPr>
            <w:tcW w:w="27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vMerge w:val="restart"/>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200" w:type="dxa"/>
            <w:vAlign w:val="bottom"/>
            <w:vMerge w:val="restart"/>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vMerge w:val="restart"/>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14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6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September 30, 2017</w:t>
            </w:r>
          </w:p>
        </w:tc>
        <w:tc>
          <w:tcPr>
            <w:tcW w:w="180" w:type="dxa"/>
            <w:vAlign w:val="bottom"/>
            <w:tcBorders>
              <w:bottom w:val="single" w:sz="8" w:color="CCEEFF"/>
            </w:tcBorders>
            <w:vMerge w:val="continue"/>
          </w:tcPr>
          <w:p>
            <w:pPr>
              <w:spacing w:after="0"/>
              <w:rPr>
                <w:sz w:val="11"/>
                <w:szCs w:val="11"/>
                <w:color w:val="auto"/>
              </w:rPr>
            </w:pPr>
          </w:p>
        </w:tc>
        <w:tc>
          <w:tcPr>
            <w:tcW w:w="1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September 30, 2016</w:t>
            </w:r>
          </w:p>
        </w:tc>
        <w:tc>
          <w:tcPr>
            <w:tcW w:w="200" w:type="dxa"/>
            <w:vAlign w:val="bottom"/>
            <w:tcBorders>
              <w:bottom w:val="single" w:sz="8" w:color="CCEEFF"/>
            </w:tcBorders>
            <w:vMerge w:val="continue"/>
          </w:tcPr>
          <w:p>
            <w:pPr>
              <w:spacing w:after="0"/>
              <w:rPr>
                <w:sz w:val="11"/>
                <w:szCs w:val="11"/>
                <w:color w:val="auto"/>
              </w:rPr>
            </w:pPr>
          </w:p>
        </w:tc>
        <w:tc>
          <w:tcPr>
            <w:tcW w:w="1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September 30, 2017</w:t>
            </w:r>
          </w:p>
        </w:tc>
        <w:tc>
          <w:tcPr>
            <w:tcW w:w="180" w:type="dxa"/>
            <w:vAlign w:val="bottom"/>
            <w:tcBorders>
              <w:bottom w:val="single" w:sz="8" w:color="CCEEFF"/>
            </w:tcBorders>
            <w:vMerge w:val="continue"/>
          </w:tcPr>
          <w:p>
            <w:pPr>
              <w:spacing w:after="0"/>
              <w:rPr>
                <w:sz w:val="11"/>
                <w:szCs w:val="11"/>
                <w:color w:val="auto"/>
              </w:rPr>
            </w:pPr>
          </w:p>
        </w:tc>
        <w:tc>
          <w:tcPr>
            <w:tcW w:w="1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September 30, 2016</w:t>
            </w:r>
          </w:p>
        </w:tc>
        <w:tc>
          <w:tcPr>
            <w:tcW w:w="140" w:type="dxa"/>
            <w:vAlign w:val="bottom"/>
            <w:tcBorders>
              <w:bottom w:val="single" w:sz="8" w:color="CCEEFF"/>
            </w:tcBorders>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Risk-free interest rate</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1.54</w:t>
            </w:r>
          </w:p>
        </w:tc>
        <w:tc>
          <w:tcPr>
            <w:tcW w:w="180" w:type="dxa"/>
            <w:vAlign w:val="bottom"/>
            <w:gridSpan w:val="2"/>
            <w:shd w:val="clear" w:color="auto" w:fill="CCEEFF"/>
          </w:tcPr>
          <w:p>
            <w:pPr>
              <w:jc w:val="right"/>
              <w:ind w:right="20"/>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356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3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4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3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380" w:type="dxa"/>
            <w:vAlign w:val="bottom"/>
            <w:gridSpan w:val="3"/>
          </w:tcPr>
          <w:p>
            <w:pPr>
              <w:jc w:val="right"/>
              <w:ind w:right="20"/>
              <w:spacing w:after="0" w:line="176"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(years)</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73.01 %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74.50 %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75.09 %</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76.46 %</w:t>
            </w:r>
          </w:p>
        </w:tc>
        <w:tc>
          <w:tcPr>
            <w:tcW w:w="0" w:type="dxa"/>
            <w:vAlign w:val="bottom"/>
          </w:tcPr>
          <w:p>
            <w:pPr>
              <w:spacing w:after="0"/>
              <w:rPr>
                <w:sz w:val="1"/>
                <w:szCs w:val="1"/>
                <w:color w:val="auto"/>
              </w:rPr>
            </w:pPr>
          </w:p>
        </w:tc>
      </w:tr>
      <w:tr>
        <w:trPr>
          <w:trHeight w:val="755"/>
        </w:trPr>
        <w:tc>
          <w:tcPr>
            <w:tcW w:w="3560" w:type="dxa"/>
            <w:vAlign w:val="bottom"/>
          </w:tcPr>
          <w:p>
            <w:pPr>
              <w:spacing w:after="0"/>
              <w:rPr>
                <w:sz w:val="24"/>
                <w:szCs w:val="24"/>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20" w:top="112" w:right="137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91" w:lineRule="exact"/>
        <w:rPr>
          <w:sz w:val="20"/>
          <w:szCs w:val="20"/>
          <w:color w:val="auto"/>
        </w:rPr>
      </w:pPr>
      <w:r>
        <w:rPr>
          <w:rFonts w:ascii="Arial" w:cs="Arial" w:eastAsia="Arial" w:hAnsi="Arial"/>
          <w:sz w:val="16"/>
          <w:szCs w:val="16"/>
          <w:color w:val="auto"/>
        </w:rPr>
        <w:t>The weighted</w:t>
      </w:r>
      <w:r>
        <w:rPr>
          <w:rFonts w:ascii="MS PGothic" w:cs="MS PGothic" w:eastAsia="MS PGothic" w:hAnsi="MS PGothic"/>
          <w:sz w:val="16"/>
          <w:szCs w:val="16"/>
          <w:color w:val="auto"/>
        </w:rPr>
        <w:t>‑</w:t>
      </w:r>
      <w:r>
        <w:rPr>
          <w:rFonts w:ascii="Arial" w:cs="Arial" w:eastAsia="Arial" w:hAnsi="Arial"/>
          <w:sz w:val="16"/>
          <w:szCs w:val="16"/>
          <w:color w:val="auto"/>
        </w:rPr>
        <w:t>average grant date fair value of options granted in the three months ended September 30, 2017 and 2016 was $33.96 and $15.80, respectively. The total intrinsic value of options exercised in the three months ended September</w:t>
      </w:r>
    </w:p>
    <w:p>
      <w:pPr>
        <w:ind w:right="40"/>
        <w:spacing w:after="0" w:line="185" w:lineRule="exact"/>
        <w:rPr>
          <w:sz w:val="20"/>
          <w:szCs w:val="20"/>
          <w:color w:val="auto"/>
        </w:rPr>
      </w:pPr>
      <w:r>
        <w:rPr>
          <w:rFonts w:ascii="Arial" w:cs="Arial" w:eastAsia="Arial" w:hAnsi="Arial"/>
          <w:sz w:val="18"/>
          <w:szCs w:val="18"/>
          <w:color w:val="auto"/>
        </w:rPr>
        <w:t>30, 2017 and 2016 was $4.6 million and $0.7 million, respectively. The weighted</w:t>
      </w:r>
      <w:r>
        <w:rPr>
          <w:rFonts w:ascii="MS PGothic" w:cs="MS PGothic" w:eastAsia="MS PGothic" w:hAnsi="MS PGothic"/>
          <w:sz w:val="18"/>
          <w:szCs w:val="18"/>
          <w:color w:val="auto"/>
        </w:rPr>
        <w:t>‑</w:t>
      </w:r>
      <w:r>
        <w:rPr>
          <w:rFonts w:ascii="Arial" w:cs="Arial" w:eastAsia="Arial" w:hAnsi="Arial"/>
          <w:sz w:val="18"/>
          <w:szCs w:val="18"/>
          <w:color w:val="auto"/>
        </w:rPr>
        <w:t>average grant date fair value of options granted in the nine months ended September 30, 2017 and 2016 was $25.48 and $10.76 respectively. The total intrinsic value of options exercised in the nine months ended September 30, 2017 and 2016 was $10.7 million and $1.8 million, respectively.</w:t>
      </w:r>
    </w:p>
    <w:p>
      <w:pPr>
        <w:spacing w:after="0" w:line="164" w:lineRule="exact"/>
        <w:rPr>
          <w:sz w:val="20"/>
          <w:szCs w:val="20"/>
          <w:color w:val="auto"/>
        </w:rPr>
      </w:pPr>
    </w:p>
    <w:p>
      <w:pPr>
        <w:ind w:right="420" w:firstLine="648"/>
        <w:spacing w:after="0" w:line="203"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 the condensed consolidated statements of operations and comprehensive loss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r>
      <w:tr>
        <w:trPr>
          <w:trHeight w:val="162"/>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r>
      <w:tr>
        <w:trPr>
          <w:trHeight w:val="129"/>
        </w:trPr>
        <w:tc>
          <w:tcPr>
            <w:tcW w:w="57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1"/>
                <w:szCs w:val="11"/>
                <w:color w:val="auto"/>
              </w:rPr>
            </w:pPr>
          </w:p>
        </w:tc>
      </w:tr>
      <w:tr>
        <w:trPr>
          <w:trHeight w:val="169"/>
        </w:trPr>
        <w:tc>
          <w:tcPr>
            <w:tcW w:w="57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1,811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4,433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1,911</w:t>
            </w:r>
          </w:p>
        </w:tc>
        <w:tc>
          <w:tcPr>
            <w:tcW w:w="40" w:type="dxa"/>
            <w:vAlign w:val="bottom"/>
            <w:shd w:val="clear" w:color="auto" w:fill="CCEEFF"/>
          </w:tcPr>
          <w:p>
            <w:pPr>
              <w:spacing w:after="0"/>
              <w:rPr>
                <w:sz w:val="14"/>
                <w:szCs w:val="14"/>
                <w:color w:val="auto"/>
              </w:rPr>
            </w:pPr>
          </w:p>
        </w:tc>
      </w:tr>
      <w:tr>
        <w:trPr>
          <w:trHeight w:val="176"/>
        </w:trPr>
        <w:tc>
          <w:tcPr>
            <w:tcW w:w="57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1,788</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1,277</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4,385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2,583</w:t>
            </w:r>
          </w:p>
        </w:tc>
        <w:tc>
          <w:tcPr>
            <w:tcW w:w="40" w:type="dxa"/>
            <w:vAlign w:val="bottom"/>
            <w:tcBorders>
              <w:bottom w:val="single" w:sz="8" w:color="CCEEFF"/>
            </w:tcBorders>
          </w:tcPr>
          <w:p>
            <w:pPr>
              <w:spacing w:after="0"/>
              <w:rPr>
                <w:sz w:val="15"/>
                <w:szCs w:val="15"/>
                <w:color w:val="auto"/>
              </w:rPr>
            </w:pPr>
          </w:p>
        </w:tc>
      </w:tr>
      <w:tr>
        <w:trPr>
          <w:trHeight w:val="176"/>
        </w:trPr>
        <w:tc>
          <w:tcPr>
            <w:tcW w:w="57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stock-based compensation expense</w:t>
            </w: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3,599</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1,905</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8,818</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4,494</w:t>
            </w:r>
          </w:p>
        </w:tc>
        <w:tc>
          <w:tcPr>
            <w:tcW w:w="4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200" w:firstLine="648"/>
        <w:spacing w:after="0" w:line="189" w:lineRule="exact"/>
        <w:rPr>
          <w:sz w:val="20"/>
          <w:szCs w:val="20"/>
          <w:color w:val="auto"/>
        </w:rPr>
      </w:pPr>
      <w:r>
        <w:rPr>
          <w:rFonts w:ascii="Arial" w:cs="Arial" w:eastAsia="Arial" w:hAnsi="Arial"/>
          <w:sz w:val="18"/>
          <w:szCs w:val="18"/>
          <w:color w:val="auto"/>
        </w:rPr>
        <w:t>At September 30, 2017, the Company had $33.5 million of total unrecognized compensation cost related to non-vested stock awards, which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2.50 years. Due to an operating loss, the Company does not record tax benefits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or option exercises. Tax benefit will be recorded when realized.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44"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In 2015, the Company’s board of directors and stockholders approved the 2015 Employee Stock Purchase Plan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2017, the number of shares reserved for issuance under the 2015 ESPP was increased by 331,254 shares. The Company issued 7,703 shares and 11,426 shares under the ESPP during the nine months ended September 30, 2017 and 2016,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w:t>
      </w:r>
    </w:p>
    <w:p>
      <w:pPr>
        <w:spacing w:after="0" w:line="108" w:lineRule="exact"/>
        <w:rPr>
          <w:sz w:val="20"/>
          <w:szCs w:val="20"/>
          <w:color w:val="auto"/>
        </w:rPr>
      </w:pPr>
    </w:p>
    <w:p>
      <w:pPr>
        <w:ind w:right="40" w:firstLine="648"/>
        <w:spacing w:after="0" w:line="181" w:lineRule="exact"/>
        <w:rPr>
          <w:sz w:val="20"/>
          <w:szCs w:val="20"/>
          <w:color w:val="auto"/>
        </w:rPr>
      </w:pPr>
      <w:r>
        <w:rPr>
          <w:rFonts w:ascii="Arial" w:cs="Arial" w:eastAsia="Arial" w:hAnsi="Arial"/>
          <w:sz w:val="17"/>
          <w:szCs w:val="17"/>
          <w:color w:val="auto"/>
        </w:rPr>
        <w:t>Basic net loss per share applicable to common stockholders is calculated by dividing net loss applicable to common stockholders by the weighted average shares outstanding during the period, without consideration for common stock equivalents.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7"/>
          <w:szCs w:val="17"/>
          <w:color w:val="auto"/>
        </w:rPr>
        <w:t>‑</w:t>
      </w:r>
      <w:r>
        <w:rPr>
          <w:rFonts w:ascii="Arial" w:cs="Arial" w:eastAsia="Arial" w:hAnsi="Arial"/>
          <w:sz w:val="17"/>
          <w:szCs w:val="17"/>
          <w:color w:val="auto"/>
        </w:rPr>
        <w:t>dilutive; therefore, basic and diluted net loss per share applicable to common stockholders were the same for all periods presented as a result of the Company’s net loss. The following common stock equivalents were excluded from the calculation of diluted net loss per share applicable to common stockholders for the periods indicated because including them would have had an anti</w:t>
      </w:r>
      <w:r>
        <w:rPr>
          <w:rFonts w:ascii="MS PGothic" w:cs="MS PGothic" w:eastAsia="MS PGothic" w:hAnsi="MS PGothic"/>
          <w:sz w:val="17"/>
          <w:szCs w:val="17"/>
          <w:color w:val="auto"/>
        </w:rPr>
        <w:t>‑</w:t>
      </w:r>
      <w:r>
        <w:rPr>
          <w:rFonts w:ascii="Arial" w:cs="Arial" w:eastAsia="Arial" w:hAnsi="Arial"/>
          <w:sz w:val="17"/>
          <w:szCs w:val="17"/>
          <w:color w:val="auto"/>
        </w:rPr>
        <w:t>dilutive effect.</w:t>
      </w:r>
    </w:p>
    <w:p>
      <w:pPr>
        <w:spacing w:after="0" w:line="196"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-3175</wp:posOffset>
            </wp:positionV>
            <wp:extent cx="1252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69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69"/>
        </w:trPr>
        <w:tc>
          <w:tcPr>
            <w:tcW w:w="6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3,350,223</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2,457,260</w:t>
            </w:r>
          </w:p>
        </w:tc>
        <w:tc>
          <w:tcPr>
            <w:tcW w:w="100" w:type="dxa"/>
            <w:vAlign w:val="bottom"/>
            <w:shd w:val="clear" w:color="auto" w:fill="CCEEFF"/>
          </w:tcPr>
          <w:p>
            <w:pPr>
              <w:spacing w:after="0"/>
              <w:rPr>
                <w:sz w:val="14"/>
                <w:szCs w:val="14"/>
                <w:color w:val="auto"/>
              </w:rPr>
            </w:pPr>
          </w:p>
        </w:tc>
      </w:tr>
      <w:tr>
        <w:trPr>
          <w:trHeight w:val="176"/>
        </w:trPr>
        <w:tc>
          <w:tcPr>
            <w:tcW w:w="6980" w:type="dxa"/>
            <w:vAlign w:val="bottom"/>
          </w:tcPr>
          <w:p>
            <w:pPr>
              <w:spacing w:after="0" w:line="176" w:lineRule="exact"/>
              <w:rPr>
                <w:sz w:val="20"/>
                <w:szCs w:val="20"/>
                <w:color w:val="auto"/>
              </w:rPr>
            </w:pPr>
            <w:r>
              <w:rPr>
                <w:rFonts w:ascii="Arial" w:cs="Arial" w:eastAsia="Arial" w:hAnsi="Arial"/>
                <w:sz w:val="18"/>
                <w:szCs w:val="18"/>
                <w:color w:val="auto"/>
              </w:rPr>
              <w:t>Unvested restricted stock</w:t>
            </w:r>
          </w:p>
        </w:tc>
        <w:tc>
          <w:tcPr>
            <w:tcW w:w="108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13,633</w:t>
            </w:r>
          </w:p>
        </w:tc>
        <w:tc>
          <w:tcPr>
            <w:tcW w:w="100" w:type="dxa"/>
            <w:vAlign w:val="bottom"/>
          </w:tcPr>
          <w:p>
            <w:pPr>
              <w:spacing w:after="0"/>
              <w:rPr>
                <w:sz w:val="15"/>
                <w:szCs w:val="15"/>
                <w:color w:val="auto"/>
              </w:rPr>
            </w:pPr>
          </w:p>
        </w:tc>
      </w:tr>
      <w:tr>
        <w:trPr>
          <w:trHeight w:val="176"/>
        </w:trPr>
        <w:tc>
          <w:tcPr>
            <w:tcW w:w="69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3,350,223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2,470,893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37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weighted average number of common shares used in net loss per share applicable to common stockholders on a basic and diluted basis were 39,130,101 and 27,250,662 for the three months ended September 30, 2017 and 2016,</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respectively. The weighted average number of common shares used in net loss per share applicable to common stockholders on a basic and diluted basis were 37,053,202 and 27,169,963 for the nine months ended September 30, 2017 and 2016,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w:t>
      </w:r>
    </w:p>
    <w:p>
      <w:pPr>
        <w:spacing w:after="0" w:line="189"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On February 12, 2015, the Company entered into a lease for approximately 38,500 rentable square feet of office and laboratory space in Cambridge, Massachusetts, which the Company gained control over on June 15, 2015, and occupancy commenced in October 2015. The lease ends on October 31, 2022. The Company has an option to extend the lease for five additional years. The lease has a total commitment of $17.8 million over the seven year term. The Company has agreed to pay an initial annual base rent of approximately $2.3 million, which rises periodically until it reaches approximately $2.8 million. The Company is recording rent expense on a straight-line basis through the end of the lease term. The Company has recorded deferred rent on the condensed consolidated balance sheet at September 30, 2017, accordingly. The lease provided the Company with an allowance for leasehold improvements of $4.3 million. The Company accounts for leasehold improvement incentives as a reduction to rent expense ratably over the lease term. The balance from the leasehold improvement incentives is included in lease incentive obligations on the balance sheets. The lease agreement required the Company to pay a security deposit of $1.3 million, which is recorded in restricted cash on the Company’s balance sheet.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28, 2017, the Company entered into a lease agreement for approximately 99,833 rentable square feet of</w:t>
      </w:r>
    </w:p>
    <w:p>
      <w:pPr>
        <w:spacing w:after="0"/>
        <w:rPr>
          <w:sz w:val="20"/>
          <w:szCs w:val="20"/>
          <w:color w:val="auto"/>
        </w:rPr>
      </w:pPr>
      <w:r>
        <w:rPr>
          <w:rFonts w:ascii="Arial" w:cs="Arial" w:eastAsia="Arial" w:hAnsi="Arial"/>
          <w:sz w:val="16"/>
          <w:szCs w:val="16"/>
          <w:color w:val="auto"/>
        </w:rPr>
        <w:t>office and laboratory space located at 45 Sidney Street in Cambridge, Massachusetts, which the Company gained control</w:t>
      </w:r>
    </w:p>
    <w:p>
      <w:pPr>
        <w:spacing w:after="0" w:line="229" w:lineRule="auto"/>
        <w:rPr>
          <w:sz w:val="20"/>
          <w:szCs w:val="20"/>
          <w:color w:val="auto"/>
        </w:rPr>
      </w:pPr>
      <w:r>
        <w:rPr>
          <w:rFonts w:ascii="Arial" w:cs="Arial" w:eastAsia="Arial" w:hAnsi="Arial"/>
          <w:sz w:val="16"/>
          <w:szCs w:val="16"/>
          <w:color w:val="auto"/>
        </w:rPr>
        <w:t>over on June 1, 2017. The initial term of the lease agreement commenced on October 1, 2017 and will be for a 146 month</w:t>
      </w:r>
    </w:p>
    <w:p>
      <w:pPr>
        <w:spacing w:after="0" w:line="229" w:lineRule="auto"/>
        <w:rPr>
          <w:sz w:val="20"/>
          <w:szCs w:val="20"/>
          <w:color w:val="auto"/>
        </w:rPr>
      </w:pPr>
      <w:r>
        <w:rPr>
          <w:rFonts w:ascii="Arial" w:cs="Arial" w:eastAsia="Arial" w:hAnsi="Arial"/>
          <w:sz w:val="16"/>
          <w:szCs w:val="16"/>
          <w:color w:val="auto"/>
        </w:rPr>
        <w:t>period beginning on the commencement date, unless terminated sooner. The lease agreement also provides the Company with</w:t>
      </w:r>
    </w:p>
    <w:p>
      <w:pPr>
        <w:spacing w:after="0" w:line="215" w:lineRule="auto"/>
        <w:rPr>
          <w:sz w:val="20"/>
          <w:szCs w:val="20"/>
          <w:color w:val="auto"/>
        </w:rPr>
      </w:pPr>
      <w:r>
        <w:rPr>
          <w:rFonts w:ascii="Arial" w:cs="Arial" w:eastAsia="Arial" w:hAnsi="Arial"/>
          <w:sz w:val="17"/>
          <w:szCs w:val="17"/>
          <w:color w:val="auto"/>
        </w:rPr>
        <w:t>an option to extend the lease for two consecutive five-year periods. During the initial term of the lease agreement, the</w:t>
      </w:r>
    </w:p>
    <w:p>
      <w:pPr>
        <w:spacing w:after="0" w:line="229" w:lineRule="auto"/>
        <w:rPr>
          <w:sz w:val="20"/>
          <w:szCs w:val="20"/>
          <w:color w:val="auto"/>
        </w:rPr>
      </w:pPr>
      <w:r>
        <w:rPr>
          <w:rFonts w:ascii="Arial" w:cs="Arial" w:eastAsia="Arial" w:hAnsi="Arial"/>
          <w:sz w:val="16"/>
          <w:szCs w:val="16"/>
          <w:color w:val="auto"/>
        </w:rPr>
        <w:t>Company has agreed to pay an initial annual base rent of approximately $7.7 million, which rises periodically until it reaches</w:t>
      </w:r>
    </w:p>
    <w:p>
      <w:pPr>
        <w:spacing w:after="0" w:line="229" w:lineRule="auto"/>
        <w:rPr>
          <w:sz w:val="20"/>
          <w:szCs w:val="20"/>
          <w:color w:val="auto"/>
        </w:rPr>
      </w:pPr>
      <w:r>
        <w:rPr>
          <w:rFonts w:ascii="Arial" w:cs="Arial" w:eastAsia="Arial" w:hAnsi="Arial"/>
          <w:sz w:val="16"/>
          <w:szCs w:val="16"/>
          <w:color w:val="auto"/>
        </w:rPr>
        <w:t>approximately $10.6 million. The Company is recording rent expense on a straight-line basis through the end of the lease</w:t>
      </w:r>
    </w:p>
    <w:p>
      <w:pPr>
        <w:spacing w:after="0" w:line="229" w:lineRule="auto"/>
        <w:rPr>
          <w:sz w:val="20"/>
          <w:szCs w:val="20"/>
          <w:color w:val="auto"/>
        </w:rPr>
      </w:pPr>
      <w:r>
        <w:rPr>
          <w:rFonts w:ascii="Arial" w:cs="Arial" w:eastAsia="Arial" w:hAnsi="Arial"/>
          <w:sz w:val="16"/>
          <w:szCs w:val="16"/>
          <w:color w:val="auto"/>
        </w:rPr>
        <w:t>term. The Company has recorded deferred rent on the condensed and consolidated balance sheet at September 30, 2017</w:t>
      </w:r>
    </w:p>
    <w:p>
      <w:pPr>
        <w:spacing w:after="0" w:line="229" w:lineRule="auto"/>
        <w:rPr>
          <w:sz w:val="20"/>
          <w:szCs w:val="20"/>
          <w:color w:val="auto"/>
        </w:rPr>
      </w:pPr>
      <w:r>
        <w:rPr>
          <w:rFonts w:ascii="Arial" w:cs="Arial" w:eastAsia="Arial" w:hAnsi="Arial"/>
          <w:sz w:val="16"/>
          <w:szCs w:val="16"/>
          <w:color w:val="auto"/>
        </w:rPr>
        <w:t>accordingly. The landlord has also agreed to provide the Company with a tenant improvement allowance of approximately</w:t>
      </w:r>
    </w:p>
    <w:p>
      <w:pPr>
        <w:spacing w:after="0" w:line="229" w:lineRule="auto"/>
        <w:rPr>
          <w:sz w:val="20"/>
          <w:szCs w:val="20"/>
          <w:color w:val="auto"/>
        </w:rPr>
      </w:pPr>
      <w:r>
        <w:rPr>
          <w:rFonts w:ascii="Arial" w:cs="Arial" w:eastAsia="Arial" w:hAnsi="Arial"/>
          <w:sz w:val="16"/>
          <w:szCs w:val="16"/>
          <w:color w:val="auto"/>
        </w:rPr>
        <w:t>$14.2 million for improvements to be made to the premises. The Company accounts for leasehold improvement incentives as</w:t>
      </w:r>
    </w:p>
    <w:p>
      <w:pPr>
        <w:spacing w:after="0" w:line="216" w:lineRule="auto"/>
        <w:rPr>
          <w:sz w:val="20"/>
          <w:szCs w:val="20"/>
          <w:color w:val="auto"/>
        </w:rPr>
      </w:pPr>
      <w:r>
        <w:rPr>
          <w:rFonts w:ascii="Arial" w:cs="Arial" w:eastAsia="Arial" w:hAnsi="Arial"/>
          <w:sz w:val="17"/>
          <w:szCs w:val="17"/>
          <w:color w:val="auto"/>
        </w:rPr>
        <w:t>a reduction to rent expense ratably over the lease term. The balance from the leasehold improvement incentives of $7.0</w:t>
      </w:r>
    </w:p>
    <w:p>
      <w:pPr>
        <w:spacing w:after="0" w:line="229" w:lineRule="auto"/>
        <w:rPr>
          <w:sz w:val="20"/>
          <w:szCs w:val="20"/>
          <w:color w:val="auto"/>
        </w:rPr>
      </w:pPr>
      <w:r>
        <w:rPr>
          <w:rFonts w:ascii="Arial" w:cs="Arial" w:eastAsia="Arial" w:hAnsi="Arial"/>
          <w:sz w:val="16"/>
          <w:szCs w:val="16"/>
          <w:color w:val="auto"/>
        </w:rPr>
        <w:t>million is included in the lease incentive obligation on the balance sheet as of September 30, 2017. The lease agreements</w:t>
      </w:r>
    </w:p>
    <w:p>
      <w:pPr>
        <w:spacing w:after="0" w:line="215" w:lineRule="auto"/>
        <w:rPr>
          <w:sz w:val="20"/>
          <w:szCs w:val="20"/>
          <w:color w:val="auto"/>
        </w:rPr>
      </w:pPr>
      <w:r>
        <w:rPr>
          <w:rFonts w:ascii="Arial" w:cs="Arial" w:eastAsia="Arial" w:hAnsi="Arial"/>
          <w:sz w:val="17"/>
          <w:szCs w:val="17"/>
          <w:color w:val="auto"/>
        </w:rPr>
        <w:t>required the Company to pay a security deposit of $3.5 million, which is recorded in restricted cash on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sheet.</w:t>
      </w:r>
    </w:p>
    <w:p>
      <w:pPr>
        <w:spacing w:after="0" w:line="128" w:lineRule="exact"/>
        <w:rPr>
          <w:sz w:val="20"/>
          <w:szCs w:val="20"/>
          <w:color w:val="auto"/>
        </w:rPr>
      </w:pPr>
    </w:p>
    <w:p>
      <w:pPr>
        <w:ind w:right="480" w:firstLine="648"/>
        <w:spacing w:after="0" w:line="224" w:lineRule="auto"/>
        <w:rPr>
          <w:sz w:val="20"/>
          <w:szCs w:val="20"/>
          <w:color w:val="auto"/>
        </w:rPr>
      </w:pPr>
      <w:r>
        <w:rPr>
          <w:rFonts w:ascii="Arial" w:cs="Arial" w:eastAsia="Arial" w:hAnsi="Arial"/>
          <w:sz w:val="18"/>
          <w:szCs w:val="18"/>
          <w:color w:val="auto"/>
        </w:rPr>
        <w:t>For the three months ended September 30, 2017 and 2016, rent expense was $2.4 million and $0.5 million, respectively. For the nine months ended September 30, 2017 and 2016, rent expense was $3.9 million and $1.4 million, respectively.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2016, filed with the Securities and Exchange Commission, or the SEC, on March 9, 2017.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68"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Our most advanced drug candidates are BLU-285, BLU-554 and BLU-667. BLU-285 is an orally available, potent and highly selective inhibitor that targets KIT, including Exon 17 mutations, and targets PDGFRα, including the D842V mutation. These mutations abnormally activate receptor tyrosine kinases that are drivers of cancer and proliferative disorders, including gastrointestinal stromal tumors, or GIST, and systemic mastocytosis, or SM. We are currently evaluating BLU-285 in an ongoing Phase 1 clinical trial for defined subsets of patients with GIST and an ongoing Phase 1 clinical trial for advanced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We reported updated data from our Phase 1 clinical trial for GIST at the 2017 ASCO Annual Meeting in Chicago, IL on June 5, 2017, and we plan to report additional updated data from this clinical trial at the Connective Tissue Oncology Society 2017 Annual Meeting in Maui, Hawaii on November 10, 2017. We currently expect to complete enrollment of the PDGFRα D842V expansion cohort for this clinical trial by the middle of 2018, and we plan to initiate a global, randomized Phase 3 clinical trial for BLU-285 compared to regorafenib in third-line GIST in the first half of 2018. We plan to report updated data from our Phase 1 clinical trial for advanced SM in the fourth quarter of 2017.</w:t>
      </w:r>
    </w:p>
    <w:p>
      <w:pPr>
        <w:spacing w:after="0" w:line="163"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 We reported updated data from our Phase 1 clinical trial for advanced HCC at the ESMO 2017 Congress in Madrid, Spain on September 10, 2017. We plan to initiate an additional cohort in this clinical trial in the first quarter of 2018 to evaluate BLU-554 in tyrosine kinase inhibitor-naïve patients with FGFR4-driven HCC, and we also plan to explore opportunities to conduct a clinical trial to evaluate BLU-554 in combination with an immune checkpoint inhibitor.</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BLU-667 targets RET, a receptor tyrosine kinase that is abnormally activated by mutations or translocations, and RET resistant mutants that we predict will arise from treatment with first generation therapies. RET is a driver of disease in non-small cell lung cancer, or NSCLC, and cancers of the thyroid, including medullary thyroid carcinoma, or MTC, and our research suggests that RET may be a driver of disease in subsets of colon cancer, breast cancer and other cancers. In March 2017, we dosed the first patient in our Phase 1 clinical trial for BLU-667 in patients with NSCLC, MTC and other advanced solid tumors, and enrollment is ongoing. We plan to report preliminary data from our Phase 1 clinical trial for RET in the first half of 2018.</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In September 2015, the U.S. Food and Drug Administration, or FDA, granted orphan drug designation to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HCC, and in January 2016, the FDA granted orphan drug designation to BLU-285 for the treatment of GIST and SM.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In addition, in June 2017, the FDA granted breakthrough therapy designation to BLU-285 for the treatment of patients with unresectable or metastatic GIST harboring the PDGFRα D842V mutation, and in July 2017, the European Medicines Agency granted orphan drug designation to BLU-285 for the treatment of GIST. We have worldwide development and commercialization rights to BLU-285, BLU-554 and BLU-667.</w:t>
      </w:r>
    </w:p>
    <w:p>
      <w:pPr>
        <w:spacing w:after="0" w:line="162"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We also previously entered into a discovery collaboration with Alexion Pharma Holding, or Alexion, targeting the kinase ALK2 for the treatment of fibrodysplasia ossificans progressiva, or FOP, a rare genetic disease caused by mutations in the ALK2 gene, ACVR1. On July 26, 2017, we received written notice from Alexion of its election to terminate the collaboration for convenience following a strategic review by Alexion of its research and development portfolio, and the termination became effective on October 24, 2017. Effective upon the termination, our exclusivity obligations terminated, and we retained worldwide development and commercialization rights to this program. We currently plan to continue the development of our research program targeting the kinase ALK2 for the treatment of FOP and are conducting research and pre-clinical development activities directed toward identifying a development candidate.</w:t>
      </w:r>
    </w:p>
    <w:p>
      <w:pPr>
        <w:spacing w:after="0" w:line="167" w:lineRule="exact"/>
        <w:rPr>
          <w:sz w:val="20"/>
          <w:szCs w:val="20"/>
          <w:color w:val="auto"/>
        </w:rPr>
      </w:pPr>
    </w:p>
    <w:p>
      <w:pPr>
        <w:ind w:right="140" w:firstLine="648"/>
        <w:spacing w:after="0" w:line="244" w:lineRule="auto"/>
        <w:rPr>
          <w:sz w:val="20"/>
          <w:szCs w:val="20"/>
          <w:color w:val="auto"/>
        </w:rPr>
      </w:pPr>
      <w:r>
        <w:rPr>
          <w:rFonts w:ascii="Arial" w:cs="Arial" w:eastAsia="Arial" w:hAnsi="Arial"/>
          <w:sz w:val="16"/>
          <w:szCs w:val="16"/>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We currently have two discovery programs for undisclosed kinase targets. Based on a scientific review of our portfolio of discovery-stage assets, we recently determined to deprioritize our discovery program targeting protein kinase cAMP-activated catalytic subunit alpha fusions for the treatment of fibrolamellar carcinoma.</w:t>
      </w:r>
    </w:p>
    <w:p>
      <w:pPr>
        <w:spacing w:after="0" w:line="159"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In addition to our wholly-owned clinical and pre-clinical programs, we have leveraged our platform to enter into a cancer immunotherapy collaboration with F. Hoffmann-La Roche Ltd and Hoffmann-La Roche Inc., which we refer to collectively as Roche.</w:t>
      </w:r>
    </w:p>
    <w:p>
      <w:pPr>
        <w:spacing w:after="0" w:line="163"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drug substance and drug product material for use in pre-clinical studies and clinical trials, conducting pre-clinical studies, including GLP toxicology studies and commencing clinical development activities. We do not have any drugs approved for sale and have not generated any revenue from drug sales.</w:t>
      </w:r>
    </w:p>
    <w:p>
      <w:pPr>
        <w:spacing w:after="0" w:line="162" w:lineRule="exact"/>
        <w:rPr>
          <w:sz w:val="20"/>
          <w:szCs w:val="20"/>
          <w:color w:val="auto"/>
        </w:rPr>
      </w:pPr>
    </w:p>
    <w:p>
      <w:pPr>
        <w:ind w:right="160" w:firstLine="648"/>
        <w:spacing w:after="0" w:line="182" w:lineRule="exact"/>
        <w:rPr>
          <w:sz w:val="20"/>
          <w:szCs w:val="20"/>
          <w:color w:val="auto"/>
        </w:rPr>
      </w:pPr>
      <w:r>
        <w:rPr>
          <w:rFonts w:ascii="Arial" w:cs="Arial" w:eastAsia="Arial" w:hAnsi="Arial"/>
          <w:sz w:val="17"/>
          <w:szCs w:val="17"/>
          <w:color w:val="auto"/>
        </w:rPr>
        <w:t>To date, we have financed our operations primarily through public offerings of our common stock, private placements of our convertible preferred stock, collaborations and a debt financing. Through September 30, 2017, we have received an aggregate of $731.3 million from such transactions, including $542.4 million in aggregate gross proceeds from the sale of common stock in our May 2015 initial public offering, or IPO, and December 2016 and April 2017 follow</w:t>
      </w:r>
      <w:r>
        <w:rPr>
          <w:rFonts w:ascii="MS PGothic" w:cs="MS PGothic" w:eastAsia="MS PGothic" w:hAnsi="MS PGothic"/>
          <w:sz w:val="17"/>
          <w:szCs w:val="17"/>
          <w:color w:val="auto"/>
        </w:rPr>
        <w:t>‑</w:t>
      </w:r>
      <w:r>
        <w:rPr>
          <w:rFonts w:ascii="Arial" w:cs="Arial" w:eastAsia="Arial" w:hAnsi="Arial"/>
          <w:sz w:val="17"/>
          <w:szCs w:val="17"/>
          <w:color w:val="auto"/>
        </w:rPr>
        <w:t>on public offerings, $115.1 million in gross proceeds from the issuance of convertible preferred stock, $18.8 million of upfront and milestone payments from Alexion, a $45.0 million upfront payment from Roche and $10.0 million in gross proceeds from the debt financing. As a result of the termination of the Alexion agreement, which was effective October 24, 2017, we will not be entitled to receive payment from Alexion for any additional milestones.</w:t>
      </w:r>
    </w:p>
    <w:p>
      <w:pPr>
        <w:spacing w:after="0" w:line="168"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Since inception, we have incurred significant operating losses. Our net losses were $99.1 million for the nine months ended September 30, 2017 and $72.5 million, $52.8 million and $40.3 million for the years ended December 31, 2016, 2015 and 2014, respectively. As of September 30, 2017, we had an accumulated deficit of $306.6 million. We expect to continue to incur significant expenses and operating losses over the next several years. We anticipate that our expenses will increase significantly in connection with our ongoing activities, particularly as we:</w:t>
      </w:r>
    </w:p>
    <w:p>
      <w:pPr>
        <w:spacing w:after="0" w:line="161" w:lineRule="exact"/>
        <w:rPr>
          <w:sz w:val="20"/>
          <w:szCs w:val="20"/>
          <w:color w:val="auto"/>
        </w:rPr>
      </w:pPr>
    </w:p>
    <w:p>
      <w:pPr>
        <w:ind w:left="980" w:right="420" w:hanging="329"/>
        <w:spacing w:after="0" w:line="203"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the planned clinical development activities for our lead drug candidates, BLU</w:t>
      </w:r>
      <w:r>
        <w:rPr>
          <w:rFonts w:ascii="MS PGothic" w:cs="MS PGothic" w:eastAsia="MS PGothic" w:hAnsi="MS PGothic"/>
          <w:sz w:val="18"/>
          <w:szCs w:val="18"/>
          <w:color w:val="auto"/>
        </w:rPr>
        <w:t>‑</w:t>
      </w:r>
      <w:r>
        <w:rPr>
          <w:rFonts w:ascii="Arial" w:cs="Arial" w:eastAsia="Arial" w:hAnsi="Arial"/>
          <w:sz w:val="18"/>
          <w:szCs w:val="18"/>
          <w:color w:val="auto"/>
        </w:rPr>
        <w:t>285, BLU-554 and BLU</w:t>
      </w:r>
      <w:r>
        <w:rPr>
          <w:rFonts w:ascii="MS PGothic" w:cs="MS PGothic" w:eastAsia="MS PGothic" w:hAnsi="MS PGothic"/>
          <w:sz w:val="18"/>
          <w:szCs w:val="18"/>
          <w:color w:val="auto"/>
        </w:rPr>
        <w:t>‑</w:t>
      </w:r>
      <w:r>
        <w:rPr>
          <w:rFonts w:ascii="Arial" w:cs="Arial" w:eastAsia="Arial" w:hAnsi="Arial"/>
          <w:sz w:val="18"/>
          <w:szCs w:val="18"/>
          <w:color w:val="auto"/>
        </w:rPr>
        <w:t>667;</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hanging="329"/>
        <w:spacing w:after="0" w:line="22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commence additional potential clinical development activities for our lead drug candidates, such as registration clinical trials or indication expansion clinical trials (which may include expansion into earlier lines of therapy or additional diseases);</w:t>
      </w:r>
    </w:p>
    <w:p>
      <w:pPr>
        <w:spacing w:after="0" w:line="163" w:lineRule="exact"/>
        <w:rPr>
          <w:rFonts w:ascii="Arial" w:cs="Arial" w:eastAsia="Arial" w:hAnsi="Arial"/>
          <w:sz w:val="18"/>
          <w:szCs w:val="18"/>
          <w:color w:val="auto"/>
        </w:rPr>
      </w:pPr>
    </w:p>
    <w:p>
      <w:pPr>
        <w:ind w:left="980" w:right="120" w:hanging="329"/>
        <w:spacing w:after="0" w:line="235"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produce drug substance and drug product material for use in pre-clinical studies, clinical trials, and for use as commercial supply;</w:t>
      </w:r>
    </w:p>
    <w:p>
      <w:pPr>
        <w:spacing w:after="0" w:line="161" w:lineRule="exact"/>
        <w:rPr>
          <w:rFonts w:ascii="Arial" w:cs="Arial" w:eastAsia="Arial" w:hAnsi="Arial"/>
          <w:sz w:val="18"/>
          <w:szCs w:val="18"/>
          <w:color w:val="auto"/>
        </w:rPr>
      </w:pPr>
    </w:p>
    <w:p>
      <w:pPr>
        <w:ind w:left="980" w:right="380" w:hanging="329"/>
        <w:spacing w:after="0" w:line="22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 and advance research and discovery programs, including our program targeting ALK2 for the treatment of FOP and our discovery programs for undisclosed kinase targets;</w:t>
      </w:r>
    </w:p>
    <w:p>
      <w:pPr>
        <w:spacing w:after="0" w:line="163"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 with Roche;</w:t>
      </w:r>
    </w:p>
    <w:p>
      <w:pPr>
        <w:spacing w:after="0" w:line="184" w:lineRule="exact"/>
        <w:rPr>
          <w:rFonts w:ascii="Arial" w:cs="Arial" w:eastAsia="Arial" w:hAnsi="Arial"/>
          <w:sz w:val="18"/>
          <w:szCs w:val="18"/>
          <w:color w:val="auto"/>
        </w:rPr>
      </w:pPr>
    </w:p>
    <w:p>
      <w:pPr>
        <w:ind w:left="980" w:hanging="329"/>
        <w:spacing w:after="0" w:line="189" w:lineRule="exact"/>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including our companion diagnostic tests for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FGF19 signaling, BLU-285 in order to identify GIST patients with the PDGFRα D842V mutation and BLU-667 in order to identify NSCLC patients with RET fusions;</w:t>
      </w:r>
    </w:p>
    <w:p>
      <w:pPr>
        <w:spacing w:after="0" w:line="162"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980" w:right="1240" w:hanging="329"/>
        <w:spacing w:after="0" w:line="235"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personnel to support our current and future research, development, clinical, pre-commercialization and business activities;</w:t>
      </w:r>
    </w:p>
    <w:p>
      <w:pPr>
        <w:spacing w:after="0" w:line="161" w:lineRule="exact"/>
        <w:rPr>
          <w:rFonts w:ascii="Arial" w:cs="Arial" w:eastAsia="Arial" w:hAnsi="Arial"/>
          <w:sz w:val="18"/>
          <w:szCs w:val="18"/>
          <w:color w:val="auto"/>
        </w:rPr>
      </w:pPr>
    </w:p>
    <w:p>
      <w:pPr>
        <w:ind w:left="980" w:right="320" w:hanging="329"/>
        <w:spacing w:after="0" w:line="25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expand our pre-commercial development activities and operations, including additional costs related to new office and laboratory space under the lease agreement that we entered into in April 2017; and</w:t>
      </w:r>
    </w:p>
    <w:p>
      <w:pPr>
        <w:spacing w:after="0" w:line="146" w:lineRule="exact"/>
        <w:rPr>
          <w:rFonts w:ascii="Arial" w:cs="Arial" w:eastAsia="Arial" w:hAnsi="Arial"/>
          <w:sz w:val="17"/>
          <w:szCs w:val="17"/>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To date, we have not generated any revenue from drug sales and do not expect to generate any revenue from the sale of drugs in the near future. Our revenue consists of collaboration revenue under our research, development and commercialization agreement that we entered into with Alexion in March 2015, which we refer to as the Alexion agreement, and our collaboration and license agreement that we entered into with Roche in March 2016, which we refer to as the Roche agreement, including amounts that are recognized related to upfront payments, milestone payments and amounts due to us for research and development services. In the future, revenue may include additional milestone payments and royalties on any net product sales under the collaboration agreement with Roche. As a result of the termination of the Alexion agreement, which was effective October 24, 2017, we will not be entitled to receive payment from Alexion for any research and development expenses incurred after the effective date of termination or any additional milestones. We expect that any revenue we generate will fluctuate from quarter to quarter as a result of the timing and amount of license fees, research and development reimbursements, payments for manufacturing services, and milestone and other payments.</w:t>
      </w:r>
    </w:p>
    <w:p>
      <w:pPr>
        <w:spacing w:after="0" w:line="166" w:lineRule="exact"/>
        <w:rPr>
          <w:sz w:val="20"/>
          <w:szCs w:val="20"/>
          <w:color w:val="auto"/>
        </w:rPr>
      </w:pPr>
    </w:p>
    <w:p>
      <w:pPr>
        <w:ind w:right="920" w:firstLine="648"/>
        <w:spacing w:after="0" w:line="235" w:lineRule="auto"/>
        <w:rPr>
          <w:sz w:val="20"/>
          <w:szCs w:val="20"/>
          <w:color w:val="auto"/>
        </w:rPr>
      </w:pPr>
      <w:r>
        <w:rPr>
          <w:rFonts w:ascii="Arial" w:cs="Arial" w:eastAsia="Arial" w:hAnsi="Arial"/>
          <w:sz w:val="18"/>
          <w:szCs w:val="18"/>
          <w:color w:val="auto"/>
        </w:rPr>
        <w:t>In the future, we will seek to generate revenue from a combination of drug sales and additional strategic relationships we may enter into.</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drug candidates, which include:</w:t>
      </w:r>
    </w:p>
    <w:p>
      <w:pPr>
        <w:spacing w:after="0" w:line="162" w:lineRule="exact"/>
        <w:rPr>
          <w:sz w:val="20"/>
          <w:szCs w:val="20"/>
          <w:color w:val="auto"/>
        </w:rPr>
      </w:pPr>
    </w:p>
    <w:p>
      <w:pPr>
        <w:ind w:left="1300" w:hanging="325"/>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196" w:lineRule="exact"/>
        <w:rPr>
          <w:rFonts w:ascii="Arial" w:cs="Arial" w:eastAsia="Arial" w:hAnsi="Arial"/>
          <w:sz w:val="17"/>
          <w:szCs w:val="17"/>
          <w:color w:val="auto"/>
        </w:rPr>
      </w:pPr>
    </w:p>
    <w:p>
      <w:pPr>
        <w:ind w:left="1300" w:right="80" w:hanging="325"/>
        <w:spacing w:after="0" w:line="235"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184" w:lineRule="exact"/>
        <w:rPr>
          <w:rFonts w:ascii="Arial" w:cs="Arial" w:eastAsia="Arial" w:hAnsi="Arial"/>
          <w:sz w:val="18"/>
          <w:szCs w:val="18"/>
          <w:color w:val="auto"/>
        </w:rPr>
      </w:pPr>
    </w:p>
    <w:p>
      <w:pPr>
        <w:ind w:left="1300" w:right="260" w:hanging="325"/>
        <w:spacing w:after="0" w:line="235"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and clinical trial materials; and</w:t>
      </w:r>
    </w:p>
    <w:p>
      <w:pPr>
        <w:spacing w:after="0" w:line="161" w:lineRule="exact"/>
        <w:rPr>
          <w:rFonts w:ascii="Arial" w:cs="Arial" w:eastAsia="Arial" w:hAnsi="Arial"/>
          <w:sz w:val="18"/>
          <w:szCs w:val="18"/>
          <w:color w:val="auto"/>
        </w:rPr>
      </w:pPr>
    </w:p>
    <w:p>
      <w:pPr>
        <w:ind w:left="1300" w:right="540" w:hanging="325"/>
        <w:spacing w:after="0" w:line="235"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6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62" w:lineRule="exact"/>
        <w:rPr>
          <w:sz w:val="20"/>
          <w:szCs w:val="20"/>
          <w:color w:val="auto"/>
        </w:rPr>
      </w:pPr>
    </w:p>
    <w:p>
      <w:pPr>
        <w:ind w:left="1300" w:right="340" w:hanging="325"/>
        <w:spacing w:after="0" w:line="23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Investigational New Drug, or IND, application-enabling toxicology studies;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84" w:lineRule="exact"/>
        <w:rPr>
          <w:rFonts w:ascii="Arial" w:cs="Arial" w:eastAsia="Arial" w:hAnsi="Arial"/>
          <w:sz w:val="18"/>
          <w:szCs w:val="18"/>
          <w:color w:val="auto"/>
        </w:rPr>
      </w:pPr>
    </w:p>
    <w:p>
      <w:pPr>
        <w:ind w:left="1300" w:right="1060" w:hanging="325"/>
        <w:spacing w:after="0" w:line="23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61" w:lineRule="exact"/>
        <w:rPr>
          <w:rFonts w:ascii="Arial" w:cs="Arial" w:eastAsia="Arial" w:hAnsi="Arial"/>
          <w:sz w:val="18"/>
          <w:szCs w:val="18"/>
          <w:color w:val="auto"/>
        </w:rPr>
      </w:pPr>
    </w:p>
    <w:p>
      <w:pPr>
        <w:ind w:left="1300" w:right="580" w:hanging="325"/>
        <w:spacing w:after="0" w:line="23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161"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commercializing the drug candidates, if and when approved, whether alone or in collaboration with others;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185" w:lineRule="exact"/>
        <w:rPr>
          <w:sz w:val="20"/>
          <w:szCs w:val="20"/>
          <w:color w:val="auto"/>
        </w:rPr>
      </w:pPr>
    </w:p>
    <w:p>
      <w:pPr>
        <w:ind w:right="280" w:firstLine="648"/>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6"/>
          <w:szCs w:val="16"/>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to increase significantly for the foreseeable future as our drug candidate development programs progress. However, we do not believe that it is possible at this time to accurately project total program-specific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6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A significant portion of our research and development expenses have been external expenses, which we track on a program-by-program basis following nomination of a development candidate. Our internal research and development expenses are primarily personnel-related expenses, including stock-based compensation expense. We do not track our internal research and development expenses on a program-by-program basis as they are deployed across multiple projects under development.</w:t>
      </w:r>
    </w:p>
    <w:p>
      <w:pPr>
        <w:spacing w:after="0" w:line="162" w:lineRule="exact"/>
        <w:rPr>
          <w:sz w:val="20"/>
          <w:szCs w:val="20"/>
          <w:color w:val="auto"/>
        </w:rPr>
      </w:pPr>
    </w:p>
    <w:p>
      <w:pPr>
        <w:ind w:right="100" w:firstLine="648"/>
        <w:spacing w:after="0" w:line="238" w:lineRule="auto"/>
        <w:rPr>
          <w:sz w:val="20"/>
          <w:szCs w:val="20"/>
          <w:color w:val="auto"/>
        </w:rPr>
      </w:pPr>
      <w:r>
        <w:rPr>
          <w:rFonts w:ascii="Arial" w:cs="Arial" w:eastAsia="Arial" w:hAnsi="Arial"/>
          <w:sz w:val="17"/>
          <w:szCs w:val="17"/>
          <w:color w:val="auto"/>
        </w:rPr>
        <w:t>The following table summarizes our external research and development expenses by program for the three and nine months ended September 30, 2017 and 2016. Other development and pre-development candidate expenses and unallocated expenses and internal research and development expenses have been classified separately.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right="9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33"/>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133"/>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4"/>
          </w:tcPr>
          <w:p>
            <w:pPr>
              <w:jc w:val="center"/>
              <w:ind w:right="113"/>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gridSpan w:val="5"/>
          </w:tcPr>
          <w:p>
            <w:pPr>
              <w:jc w:val="center"/>
              <w:ind w:right="93"/>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BLU-285 external expenses</w:t>
            </w:r>
          </w:p>
        </w:tc>
        <w:tc>
          <w:tcPr>
            <w:tcW w:w="44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13,659</w:t>
            </w:r>
          </w:p>
        </w:tc>
        <w:tc>
          <w:tcPr>
            <w:tcW w:w="38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2,268</w:t>
            </w:r>
          </w:p>
        </w:tc>
        <w:tc>
          <w:tcPr>
            <w:tcW w:w="36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30,543</w:t>
            </w: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6,684</w:t>
            </w:r>
          </w:p>
        </w:tc>
        <w:tc>
          <w:tcPr>
            <w:tcW w:w="0" w:type="dxa"/>
            <w:vAlign w:val="bottom"/>
          </w:tcPr>
          <w:p>
            <w:pPr>
              <w:spacing w:after="0"/>
              <w:rPr>
                <w:sz w:val="1"/>
                <w:szCs w:val="1"/>
                <w:color w:val="auto"/>
              </w:rPr>
            </w:pPr>
          </w:p>
        </w:tc>
      </w:tr>
      <w:tr>
        <w:trPr>
          <w:trHeight w:val="176"/>
        </w:trPr>
        <w:tc>
          <w:tcPr>
            <w:tcW w:w="4620" w:type="dxa"/>
            <w:vAlign w:val="bottom"/>
          </w:tcPr>
          <w:p>
            <w:pPr>
              <w:spacing w:after="0" w:line="176" w:lineRule="exact"/>
              <w:rPr>
                <w:sz w:val="20"/>
                <w:szCs w:val="20"/>
                <w:color w:val="auto"/>
              </w:rPr>
            </w:pPr>
            <w:r>
              <w:rPr>
                <w:rFonts w:ascii="Arial" w:cs="Arial" w:eastAsia="Arial" w:hAnsi="Arial"/>
                <w:sz w:val="18"/>
                <w:szCs w:val="18"/>
                <w:color w:val="auto"/>
              </w:rPr>
              <w:t>BLU-554 external expenses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3,882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2,567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11,644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BLU-667 external expenses</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3,634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1,082</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8,193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149"/>
        </w:trPr>
        <w:tc>
          <w:tcPr>
            <w:tcW w:w="4620" w:type="dxa"/>
            <w:vAlign w:val="bottom"/>
          </w:tcPr>
          <w:p>
            <w:pPr>
              <w:spacing w:after="0" w:line="149" w:lineRule="exact"/>
              <w:rPr>
                <w:sz w:val="20"/>
                <w:szCs w:val="20"/>
                <w:color w:val="auto"/>
              </w:rPr>
            </w:pPr>
            <w:r>
              <w:rPr>
                <w:rFonts w:ascii="Arial" w:cs="Arial" w:eastAsia="Arial" w:hAnsi="Arial"/>
                <w:sz w:val="17"/>
                <w:szCs w:val="17"/>
                <w:color w:val="auto"/>
                <w:w w:val="98"/>
              </w:rPr>
              <w:t>Other development and pre-development candidate expenses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10,813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7,677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30,596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23,816</w:t>
            </w:r>
          </w:p>
        </w:tc>
        <w:tc>
          <w:tcPr>
            <w:tcW w:w="0" w:type="dxa"/>
            <w:vAlign w:val="bottom"/>
          </w:tcPr>
          <w:p>
            <w:pPr>
              <w:spacing w:after="0"/>
              <w:rPr>
                <w:sz w:val="1"/>
                <w:szCs w:val="1"/>
                <w:color w:val="auto"/>
              </w:rPr>
            </w:pPr>
          </w:p>
        </w:tc>
      </w:tr>
      <w:tr>
        <w:trPr>
          <w:trHeight w:val="203"/>
        </w:trPr>
        <w:tc>
          <w:tcPr>
            <w:tcW w:w="4620" w:type="dxa"/>
            <w:vAlign w:val="bottom"/>
          </w:tcPr>
          <w:p>
            <w:pPr>
              <w:ind w:left="140"/>
              <w:spacing w:after="0" w:line="202" w:lineRule="exact"/>
              <w:rPr>
                <w:sz w:val="20"/>
                <w:szCs w:val="20"/>
                <w:color w:val="auto"/>
              </w:rPr>
            </w:pPr>
            <w:r>
              <w:rPr>
                <w:rFonts w:ascii="Arial" w:cs="Arial" w:eastAsia="Arial" w:hAnsi="Arial"/>
                <w:sz w:val="18"/>
                <w:szCs w:val="18"/>
                <w:color w:val="auto"/>
              </w:rPr>
              <w:t>and unallocated expenses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Internal research and development expenses</w:t>
            </w: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7,312</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4,556</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20,082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13,453</w:t>
            </w:r>
          </w:p>
        </w:tc>
        <w:tc>
          <w:tcPr>
            <w:tcW w:w="0" w:type="dxa"/>
            <w:vAlign w:val="bottom"/>
          </w:tcPr>
          <w:p>
            <w:pPr>
              <w:spacing w:after="0"/>
              <w:rPr>
                <w:sz w:val="1"/>
                <w:szCs w:val="1"/>
                <w:color w:val="auto"/>
              </w:rPr>
            </w:pPr>
          </w:p>
        </w:tc>
      </w:tr>
      <w:tr>
        <w:trPr>
          <w:trHeight w:val="176"/>
        </w:trPr>
        <w:tc>
          <w:tcPr>
            <w:tcW w:w="4620" w:type="dxa"/>
            <w:vAlign w:val="bottom"/>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24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39,300</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18,150</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101,058</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57,058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color w:val="auto"/>
        </w:rPr>
        <w:t>We expect that our research and development expenses will increase in future periods as we expand our operations and incur additional costs in connection with our existing clinical trials and initiate additional clinical trials. These increases will likely include the costs related to the implementation and expansion of clinical trial sites and related patient enrollment, monitoring, program management, drug product and drug substance manufacturing expenses and development activities for companion diagnostic tests, including our companion diagnostic tests for BLU</w:t>
      </w:r>
      <w:r>
        <w:rPr>
          <w:rFonts w:ascii="MS PGothic" w:cs="MS PGothic" w:eastAsia="MS PGothic" w:hAnsi="MS PGothic"/>
          <w:sz w:val="16"/>
          <w:szCs w:val="16"/>
          <w:color w:val="auto"/>
        </w:rPr>
        <w:t>‑</w:t>
      </w:r>
      <w:r>
        <w:rPr>
          <w:rFonts w:ascii="Arial" w:cs="Arial" w:eastAsia="Arial" w:hAnsi="Arial"/>
          <w:sz w:val="16"/>
          <w:szCs w:val="16"/>
          <w:color w:val="auto"/>
        </w:rPr>
        <w:t>554 in order to identify HCC patients with FGF19 signaling, BLU-285 in order to identify GIST patients with the PDGFRα D842V mutation and BLU-667 in order to identify NSCLC patients with RET fusions. In addition, we expect that our research and development expenses will increase in future periods as we incur additional costs in connection with research and development activities under our program targeting ALK2 for the treatment of FOP and under our existing collaboration agreement with Roche.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140" w:firstLine="648"/>
        <w:spacing w:after="0" w:line="226"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business development, legal, compliance, human resources and commercial planning functions. Stock-based compensation includes expense associated with stock-based awards issued to non-employees, including directors for non-board related services. Other significant costs include facility costs not otherwise included in research and development expenses, legal fees relating to patent and corporate matters and fees for accounting and consulting services.</w:t>
      </w:r>
    </w:p>
    <w:p>
      <w:pPr>
        <w:spacing w:after="0" w:line="165" w:lineRule="exact"/>
        <w:rPr>
          <w:sz w:val="20"/>
          <w:szCs w:val="20"/>
          <w:color w:val="auto"/>
        </w:rPr>
      </w:pPr>
    </w:p>
    <w:p>
      <w:pPr>
        <w:ind w:right="60" w:firstLine="648"/>
        <w:spacing w:after="0" w:line="239" w:lineRule="auto"/>
        <w:rPr>
          <w:sz w:val="20"/>
          <w:szCs w:val="20"/>
          <w:color w:val="auto"/>
        </w:rPr>
      </w:pPr>
      <w:r>
        <w:rPr>
          <w:rFonts w:ascii="Arial" w:cs="Arial" w:eastAsia="Arial" w:hAnsi="Arial"/>
          <w:sz w:val="16"/>
          <w:szCs w:val="16"/>
          <w:color w:val="auto"/>
        </w:rPr>
        <w:t>We expect that our general and administrative expenses will increase in the future to support continued research and development activities, including as we continue our existing clinical trials and initiate additional clinical trials, as well as pre-commercial development activities. These increases will likely include increased costs related to the hiring of additional personnel, legal, auditing and filing fees and general compliance and consulting expenses, among other expenses. We are currently an “emerging growth company,” as defined in the Jumpstart Our Business Startups Act of 2012. However, as of June 30, 2017, the market value of our common stock that was held by non-affiliates exceeded $700 million, and as a result, we will no longer qualify for such status commencing January 1, 2018. We have incurred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and will continue to incur additional costs associated with operating as a public company, including as a result of becoming a large accelerated filer.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consists primarily of income earned on cash equivalents and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760" w:firstLine="648"/>
        <w:spacing w:after="0" w:line="235" w:lineRule="auto"/>
        <w:rPr>
          <w:sz w:val="20"/>
          <w:szCs w:val="20"/>
          <w:color w:val="auto"/>
        </w:rPr>
      </w:pPr>
      <w:r>
        <w:rPr>
          <w:rFonts w:ascii="Arial" w:cs="Arial" w:eastAsia="Arial" w:hAnsi="Arial"/>
          <w:sz w:val="18"/>
          <w:szCs w:val="18"/>
          <w:color w:val="auto"/>
        </w:rPr>
        <w:t>Interest expense consists primarily of interest expense on amounts outstanding under the loan and security agreement with Silicon Valley Bank and amortization of debt discount.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and stock-based compensation.</w:t>
      </w:r>
    </w:p>
    <w:p>
      <w:pPr>
        <w:spacing w:after="0" w:line="163"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There have been no significant changes to our critical accounting policies discussed in our Annual Report on Form 10-K for the year ended December 31, 2016 related to revenue recognition, accrued research and development expenses, available-for-sale investments and stock-based compensation.</w:t>
      </w:r>
    </w:p>
    <w:p>
      <w:pPr>
        <w:spacing w:after="0" w:line="15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2017 and 2016</w:t>
      </w:r>
    </w:p>
    <w:p>
      <w:pPr>
        <w:spacing w:after="0" w:line="185"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2017 and 2016, together with the changes in those items in dollars and as a percentage: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Dollar Change</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5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8,068</w:t>
            </w:r>
          </w:p>
        </w:tc>
        <w:tc>
          <w:tcPr>
            <w:tcW w:w="3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6,160</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1,908</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39,300</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18,150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21,150</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7,378</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4,893</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2,485</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46,678</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23,043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23,635</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954</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796</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(109)</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other income (expense)</w:t>
            </w:r>
          </w:p>
        </w:tc>
        <w:tc>
          <w:tcPr>
            <w:tcW w:w="14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907</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858</w:t>
            </w:r>
          </w:p>
        </w:tc>
        <w:tc>
          <w:tcPr>
            <w:tcW w:w="22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1,751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14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20"/>
                <w:szCs w:val="20"/>
                <w:color w:val="auto"/>
                <w:w w:val="88"/>
              </w:rPr>
              <w:t>(37,703)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20"/>
                <w:szCs w:val="20"/>
                <w:color w:val="auto"/>
                <w:w w:val="91"/>
              </w:rPr>
              <w:t>(16,834)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20"/>
                <w:szCs w:val="20"/>
                <w:color w:val="auto"/>
                <w:w w:val="96"/>
              </w:rPr>
              <w:t>(20,869)</w:t>
            </w:r>
          </w:p>
        </w:tc>
        <w:tc>
          <w:tcPr>
            <w:tcW w:w="220" w:type="dxa"/>
            <w:vAlign w:val="bottom"/>
          </w:tcPr>
          <w:p>
            <w:pPr>
              <w:spacing w:after="0"/>
              <w:rPr>
                <w:sz w:val="16"/>
                <w:szCs w:val="16"/>
                <w:color w:val="auto"/>
              </w:rPr>
            </w:pP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(124)</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Collaboration revenue increased by $1.9 million from $6.2 million for the three months ended September 30, 2016 to $8.1 million for the three months ended September 30, 2017. Collaboration revenue for the three months ended September 30, 2017 was related to the Alexion and Roche agreements. We recorded collaboration revenue of $6.7 million and $4.8 million under the Alexion agreement for the three months ended September 30, 2017 and 2016, respectively. As a result of the termination of the Alexion agreement, we are recognizing the remaining deferred revenue balance related to the upfront payment and non-substantive milestone payment previously received under the Alexion collaboration utilizing the proportional performance model over the remaining period of performance, which ended October 24, 2017. The increase in collaboration revenue under the Alexion agreement was primarily related to an increase in the recognition of portions of the $15.0 million upfront payment and $1.8 million in non-substantive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spacing w:after="0" w:line="212" w:lineRule="auto"/>
        <w:rPr>
          <w:sz w:val="20"/>
          <w:szCs w:val="20"/>
          <w:color w:val="auto"/>
        </w:rPr>
      </w:pPr>
      <w:r>
        <w:rPr>
          <w:rFonts w:ascii="Arial" w:cs="Arial" w:eastAsia="Arial" w:hAnsi="Arial"/>
          <w:sz w:val="18"/>
          <w:szCs w:val="18"/>
          <w:color w:val="auto"/>
        </w:rPr>
        <w:t>milestone payments received from Alexion, partially offset by the impact of the recognition of a milestone payment upon achievement included in the three months ended September 30, 2016. We will not be entitled to receive payment from Alexion for any research and development expenses incurred after October 24, 2017, which was the effective date of termination, or any additional milestones. As a result, we anticipate collaboration revenue related to reimbursable research and development expenses will decrease significantly in future periods. We entered into the Roche agreement in March 2016 and recorded $1.4 million in collaboration revenue under the Roche agreement for the three months ended September 30, 2017 and September 30, 2016.</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479" w:firstLine="648"/>
        <w:spacing w:after="0" w:line="224" w:lineRule="auto"/>
        <w:rPr>
          <w:sz w:val="20"/>
          <w:szCs w:val="20"/>
          <w:color w:val="auto"/>
        </w:rPr>
      </w:pPr>
      <w:r>
        <w:rPr>
          <w:rFonts w:ascii="Arial" w:cs="Arial" w:eastAsia="Arial" w:hAnsi="Arial"/>
          <w:sz w:val="18"/>
          <w:szCs w:val="18"/>
          <w:color w:val="auto"/>
        </w:rPr>
        <w:t>Research and development expense increased by $21.2 million from $18.2 million for the three months ended September 30, 2016 to $39.3 million for the three months ended September 30, 2017. The increase in research and development expense was primarily related to the following:</w:t>
      </w:r>
    </w:p>
    <w:p>
      <w:pPr>
        <w:spacing w:after="0" w:line="163" w:lineRule="exact"/>
        <w:rPr>
          <w:sz w:val="20"/>
          <w:szCs w:val="20"/>
          <w:color w:val="auto"/>
        </w:rPr>
      </w:pP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approximately $9.6 million in increased expenses associated with clinical manufacturing activities;</w:t>
      </w:r>
    </w:p>
    <w:p>
      <w:pPr>
        <w:spacing w:after="0" w:line="196" w:lineRule="exact"/>
        <w:rPr>
          <w:rFonts w:ascii="Arial" w:cs="Arial" w:eastAsia="Arial" w:hAnsi="Arial"/>
          <w:sz w:val="17"/>
          <w:szCs w:val="17"/>
          <w:color w:val="auto"/>
        </w:rPr>
      </w:pPr>
    </w:p>
    <w:p>
      <w:pPr>
        <w:ind w:left="1300" w:right="219" w:hanging="325"/>
        <w:spacing w:after="0" w:line="203" w:lineRule="exact"/>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approximately $5.2 million in increased expenses for external clinical activities as we advanced our lead drug candidates, BLU</w:t>
      </w:r>
      <w:r>
        <w:rPr>
          <w:rFonts w:ascii="MS PGothic" w:cs="MS PGothic" w:eastAsia="MS PGothic" w:hAnsi="MS PGothic"/>
          <w:sz w:val="17"/>
          <w:szCs w:val="17"/>
          <w:color w:val="auto"/>
        </w:rPr>
        <w:t>‑</w:t>
      </w:r>
      <w:r>
        <w:rPr>
          <w:rFonts w:ascii="Arial" w:cs="Arial" w:eastAsia="Arial" w:hAnsi="Arial"/>
          <w:sz w:val="17"/>
          <w:szCs w:val="17"/>
          <w:color w:val="auto"/>
        </w:rPr>
        <w:t>285, BLU</w:t>
      </w:r>
      <w:r>
        <w:rPr>
          <w:rFonts w:ascii="MS PGothic" w:cs="MS PGothic" w:eastAsia="MS PGothic" w:hAnsi="MS PGothic"/>
          <w:sz w:val="17"/>
          <w:szCs w:val="17"/>
          <w:color w:val="auto"/>
        </w:rPr>
        <w:t>‑</w:t>
      </w:r>
      <w:r>
        <w:rPr>
          <w:rFonts w:ascii="Arial" w:cs="Arial" w:eastAsia="Arial" w:hAnsi="Arial"/>
          <w:sz w:val="17"/>
          <w:szCs w:val="17"/>
          <w:color w:val="auto"/>
        </w:rPr>
        <w:t>554 and BLU-667, in Phase 1 clinical trials; and</w:t>
      </w:r>
    </w:p>
    <w:p>
      <w:pPr>
        <w:spacing w:after="0" w:line="161" w:lineRule="exact"/>
        <w:rPr>
          <w:rFonts w:ascii="Arial" w:cs="Arial" w:eastAsia="Arial" w:hAnsi="Arial"/>
          <w:sz w:val="17"/>
          <w:szCs w:val="17"/>
          <w:color w:val="auto"/>
        </w:rPr>
      </w:pPr>
    </w:p>
    <w:p>
      <w:pPr>
        <w:ind w:left="1300" w:right="99" w:hanging="325"/>
        <w:spacing w:after="0" w:line="22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$4.8 million in increased personnel expense primarily due to a 35% increase in headcount and an increase of $1.1 million in stock-based compensation expense, which were driven by growth in the clinical and manfucturing organizations.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639" w:firstLine="648"/>
        <w:spacing w:after="0" w:line="224" w:lineRule="auto"/>
        <w:rPr>
          <w:sz w:val="20"/>
          <w:szCs w:val="20"/>
          <w:color w:val="auto"/>
        </w:rPr>
      </w:pPr>
      <w:r>
        <w:rPr>
          <w:rFonts w:ascii="Arial" w:cs="Arial" w:eastAsia="Arial" w:hAnsi="Arial"/>
          <w:sz w:val="18"/>
          <w:szCs w:val="18"/>
          <w:color w:val="auto"/>
        </w:rPr>
        <w:t>General and administrative expense increased by $2.5 million from $4.9 million for the three months ended September 30, 2016 to $7.4 million for the three months ended September 30, 2017. The increase in general and administrative expense was primarily related to the following:</w:t>
      </w:r>
    </w:p>
    <w:p>
      <w:pPr>
        <w:spacing w:after="0" w:line="163" w:lineRule="exact"/>
        <w:rPr>
          <w:sz w:val="20"/>
          <w:szCs w:val="20"/>
          <w:color w:val="auto"/>
        </w:rPr>
      </w:pPr>
    </w:p>
    <w:p>
      <w:pPr>
        <w:ind w:left="1300" w:right="279" w:hanging="325"/>
        <w:spacing w:after="0" w:line="22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$1.2 million in increased personnel expenses due to an increase of 34% in general and administrative headcount to support our overall growth as a publicly traded company and an increase in stock-based compensation expense of $0.5 million; and</w:t>
      </w:r>
    </w:p>
    <w:p>
      <w:pPr>
        <w:spacing w:after="0" w:line="163" w:lineRule="exact"/>
        <w:rPr>
          <w:rFonts w:ascii="Arial" w:cs="Arial" w:eastAsia="Arial" w:hAnsi="Arial"/>
          <w:sz w:val="18"/>
          <w:szCs w:val="18"/>
          <w:color w:val="auto"/>
        </w:rPr>
      </w:pPr>
    </w:p>
    <w:p>
      <w:pPr>
        <w:ind w:left="1300" w:right="219" w:hanging="325"/>
        <w:spacing w:after="0" w:line="23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$1.1 million in increased professional fees including market research and public relations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right="59" w:firstLine="648"/>
        <w:spacing w:after="0" w:line="219" w:lineRule="auto"/>
        <w:rPr>
          <w:sz w:val="20"/>
          <w:szCs w:val="20"/>
          <w:color w:val="auto"/>
        </w:rPr>
      </w:pPr>
      <w:r>
        <w:rPr>
          <w:rFonts w:ascii="Arial" w:cs="Arial" w:eastAsia="Arial" w:hAnsi="Arial"/>
          <w:sz w:val="18"/>
          <w:szCs w:val="18"/>
          <w:color w:val="auto"/>
        </w:rPr>
        <w:t>Other income (expense), net, increased by $0.8 million from $0.2 million of income for the three months ended September 30, 2016 to $1.0 million of income for the three months ended September 30, 2017. The increase in other income (expense), net, was primarily related to an increase in investment income due to higher average investment balances during the three months ended September 30,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39" w:firstLine="648"/>
        <w:spacing w:after="0" w:line="216" w:lineRule="auto"/>
        <w:rPr>
          <w:sz w:val="20"/>
          <w:szCs w:val="20"/>
          <w:color w:val="auto"/>
        </w:rPr>
      </w:pPr>
      <w:r>
        <w:rPr>
          <w:rFonts w:ascii="Arial" w:cs="Arial" w:eastAsia="Arial" w:hAnsi="Arial"/>
          <w:sz w:val="18"/>
          <w:szCs w:val="18"/>
          <w:color w:val="auto"/>
        </w:rPr>
        <w:t>Interest expense decreased by less than $0.1 million from $0.1 million for the three months ended September 30, 2016 to less than $0.1 million for the three months ended September 30, 2017. The decrease was primarily related to a decrease in the average outstanding principle balance under the loan and security agreement with Silicon Valley Bank for the three months ended September 30, 2017. We expect that interest expense will continue to decrease in subsequent periods as the principal amount under the loan decreases.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2017 and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17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vMerge w:val="restart"/>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Dollar Change</w:t>
            </w:r>
          </w:p>
        </w:tc>
        <w:tc>
          <w:tcPr>
            <w:tcW w:w="220" w:type="dxa"/>
            <w:vAlign w:val="bottom"/>
            <w:vMerge w:val="restart"/>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vMerge w:val="continue"/>
          </w:tcPr>
          <w:p>
            <w:pPr>
              <w:spacing w:after="0"/>
              <w:rPr>
                <w:sz w:val="11"/>
                <w:szCs w:val="11"/>
                <w:color w:val="auto"/>
              </w:rPr>
            </w:pPr>
          </w:p>
        </w:tc>
        <w:tc>
          <w:tcPr>
            <w:tcW w:w="900" w:type="dxa"/>
            <w:vAlign w:val="bottom"/>
            <w:tcBorders>
              <w:bottom w:val="single" w:sz="8" w:color="auto"/>
            </w:tcBorders>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7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19,798</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20,081</w:t>
            </w:r>
          </w:p>
        </w:tc>
        <w:tc>
          <w:tcPr>
            <w:tcW w:w="4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(283)</w:t>
            </w: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372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101,058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57,058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44,000</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19,894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14,227</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5,667</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120,952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71,285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49,667</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1,890</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(378)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2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other income (expense)</w:t>
            </w:r>
          </w:p>
        </w:tc>
        <w:tc>
          <w:tcPr>
            <w:tcW w:w="14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2,062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w:t>
            </w: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2,090</w:t>
            </w: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7,464</w:t>
            </w: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146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(99,092)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(51,232)</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(47,860)</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(93)</w:t>
            </w:r>
          </w:p>
        </w:tc>
        <w:tc>
          <w:tcPr>
            <w:tcW w:w="160" w:type="dxa"/>
            <w:vAlign w:val="bottom"/>
          </w:tcPr>
          <w:p>
            <w:pPr>
              <w:jc w:val="right"/>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Collaboration revenue decreased by $0.3 million from $20.1 million for the nine months ended September 30, 2016 to $19.8 million for the nine months ended September 30, 2017. Collaboration revenue for the nine months ended September 30, 2017 was related to the Alexion and Roche agreements. We recorded collaboration revenue of $15.6 million and $17.0 million under the Alexion agreement for the nine months ended September 30, 2017 and September 30, 2016, respectively. The decrease was primarily due to the impact of the recognition of two milestone payments upon achievement included in the nine months ended September 30, 2016. As a result of the termination of the Alexion agreement, we are recognizing the remaining deferred revenue balance related to the upfront payment and non-substantive milestone payment previously received under the Alexion collaboration utilizing the proportional performance model over the remaining period of performance, which ended October 24, 2017. We will not be entitled to receive payment from Alexion for any research and development expenses incurred after the effective date of termination or any additional milestones. As a result, we anticipate collaboration revenue related to reimbursable research and development expenses will decrease significantly in future periods. We entered into the Roche agreement in March 2016 and recorded $4.2 million and $3.0 million in collaboration revenue under the Roche agreement for the nine months ended September 30, 2017 and September 30,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540" w:firstLine="648"/>
        <w:spacing w:after="0" w:line="224" w:lineRule="auto"/>
        <w:rPr>
          <w:sz w:val="20"/>
          <w:szCs w:val="20"/>
          <w:color w:val="auto"/>
        </w:rPr>
      </w:pPr>
      <w:r>
        <w:rPr>
          <w:rFonts w:ascii="Arial" w:cs="Arial" w:eastAsia="Arial" w:hAnsi="Arial"/>
          <w:sz w:val="18"/>
          <w:szCs w:val="18"/>
          <w:color w:val="auto"/>
        </w:rPr>
        <w:t>Research and development expense increased by $44.0 million from $57.1 million for the nine months ended September 30, 2016 to $101.1 million for the nine months ended September 30, 2017. The increase in research and development expense was primarily related to the following:</w:t>
      </w:r>
    </w:p>
    <w:p>
      <w:pPr>
        <w:spacing w:after="0" w:line="163" w:lineRule="exact"/>
        <w:rPr>
          <w:sz w:val="20"/>
          <w:szCs w:val="20"/>
          <w:color w:val="auto"/>
        </w:rPr>
      </w:pPr>
    </w:p>
    <w:p>
      <w:pPr>
        <w:ind w:left="1300" w:hanging="325"/>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approximately $19.0 million in increased expenses associated with clinical manufacturing activities;</w:t>
      </w:r>
    </w:p>
    <w:p>
      <w:pPr>
        <w:spacing w:after="0" w:line="196" w:lineRule="exact"/>
        <w:rPr>
          <w:rFonts w:ascii="Arial" w:cs="Arial" w:eastAsia="Arial" w:hAnsi="Arial"/>
          <w:sz w:val="17"/>
          <w:szCs w:val="17"/>
          <w:color w:val="auto"/>
        </w:rPr>
      </w:pPr>
    </w:p>
    <w:p>
      <w:pPr>
        <w:ind w:left="1300" w:right="140" w:hanging="325"/>
        <w:spacing w:after="0" w:line="203" w:lineRule="exact"/>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approximately $12.8 million in increased expenses for external clinical activities as we advanced our lead drug candidates, BLU</w:t>
      </w:r>
      <w:r>
        <w:rPr>
          <w:rFonts w:ascii="MS PGothic" w:cs="MS PGothic" w:eastAsia="MS PGothic" w:hAnsi="MS PGothic"/>
          <w:sz w:val="18"/>
          <w:szCs w:val="18"/>
          <w:color w:val="auto"/>
        </w:rPr>
        <w:t>‑</w:t>
      </w:r>
      <w:r>
        <w:rPr>
          <w:rFonts w:ascii="Arial" w:cs="Arial" w:eastAsia="Arial" w:hAnsi="Arial"/>
          <w:sz w:val="18"/>
          <w:szCs w:val="18"/>
          <w:color w:val="auto"/>
        </w:rPr>
        <w:t>285, BLU</w:t>
      </w:r>
      <w:r>
        <w:rPr>
          <w:rFonts w:ascii="MS PGothic" w:cs="MS PGothic" w:eastAsia="MS PGothic" w:hAnsi="MS PGothic"/>
          <w:sz w:val="18"/>
          <w:szCs w:val="18"/>
          <w:color w:val="auto"/>
        </w:rPr>
        <w:t>‑</w:t>
      </w:r>
      <w:r>
        <w:rPr>
          <w:rFonts w:ascii="Arial" w:cs="Arial" w:eastAsia="Arial" w:hAnsi="Arial"/>
          <w:sz w:val="18"/>
          <w:szCs w:val="18"/>
          <w:color w:val="auto"/>
        </w:rPr>
        <w:t>554 and BLU-667, in Phase 1 clinical trials;</w:t>
      </w:r>
    </w:p>
    <w:p>
      <w:pPr>
        <w:spacing w:after="0" w:line="161" w:lineRule="exact"/>
        <w:rPr>
          <w:rFonts w:ascii="Arial" w:cs="Arial" w:eastAsia="Arial" w:hAnsi="Arial"/>
          <w:sz w:val="18"/>
          <w:szCs w:val="18"/>
          <w:color w:val="auto"/>
        </w:rPr>
      </w:pPr>
    </w:p>
    <w:p>
      <w:pPr>
        <w:ind w:left="1300" w:right="120" w:hanging="325"/>
        <w:spacing w:after="0" w:line="22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approximately $9.6 million in increased personnel expense primarily due to a 34% increase in headcount and an increase of $2.5 million in stock-based compensation expense, which were driven by growth in the clinical and manfucturing organizations; and</w:t>
      </w:r>
    </w:p>
    <w:p>
      <w:pPr>
        <w:spacing w:after="0" w:line="163"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approximately $1.1 million in increased expenses associated with continuing to build our discovery platform and advance our discovery pipeline.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620" w:firstLine="648"/>
        <w:spacing w:after="0" w:line="224" w:lineRule="auto"/>
        <w:rPr>
          <w:sz w:val="20"/>
          <w:szCs w:val="20"/>
          <w:color w:val="auto"/>
        </w:rPr>
      </w:pPr>
      <w:r>
        <w:rPr>
          <w:rFonts w:ascii="Arial" w:cs="Arial" w:eastAsia="Arial" w:hAnsi="Arial"/>
          <w:sz w:val="18"/>
          <w:szCs w:val="18"/>
          <w:color w:val="auto"/>
        </w:rPr>
        <w:t>General and administrative expense increased by $5.7 million from $14.2 million for the nine months ended September 30, 2016 to $19.9 million for the nine months ended September 30, 2017. The increase in general and administrative expense was primarily related to the following:</w:t>
      </w:r>
    </w:p>
    <w:p>
      <w:pPr>
        <w:spacing w:after="0" w:line="163" w:lineRule="exact"/>
        <w:rPr>
          <w:sz w:val="20"/>
          <w:szCs w:val="20"/>
          <w:color w:val="auto"/>
        </w:rPr>
      </w:pPr>
    </w:p>
    <w:p>
      <w:pPr>
        <w:ind w:left="1300" w:right="280" w:hanging="325"/>
        <w:spacing w:after="0" w:line="22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$3.5 million in increased personnel expenses due to an increase of 32% in general and administrative headcount to support our overall growth as a publicly traded company and an increase of $1.8 million in stock-based compensation expense; and</w:t>
      </w:r>
    </w:p>
    <w:p>
      <w:pPr>
        <w:spacing w:after="0" w:line="163" w:lineRule="exact"/>
        <w:rPr>
          <w:rFonts w:ascii="Arial" w:cs="Arial" w:eastAsia="Arial" w:hAnsi="Arial"/>
          <w:sz w:val="18"/>
          <w:szCs w:val="18"/>
          <w:color w:val="auto"/>
        </w:rPr>
      </w:pPr>
    </w:p>
    <w:p>
      <w:pPr>
        <w:ind w:left="1300" w:right="240" w:hanging="325"/>
        <w:spacing w:after="0" w:line="23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$2.0 million in increased professional fees including market research and public relations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right="80" w:firstLine="648"/>
        <w:spacing w:after="0" w:line="259" w:lineRule="auto"/>
        <w:rPr>
          <w:sz w:val="20"/>
          <w:szCs w:val="20"/>
          <w:color w:val="auto"/>
        </w:rPr>
      </w:pPr>
      <w:r>
        <w:rPr>
          <w:rFonts w:ascii="Arial" w:cs="Arial" w:eastAsia="Arial" w:hAnsi="Arial"/>
          <w:sz w:val="16"/>
          <w:szCs w:val="16"/>
          <w:color w:val="auto"/>
        </w:rPr>
        <w:t>Other income (expense), net, increased by $1.9 million from $0.3 million of income for the nine months ended September 30, 2016 to $2.2 million of income for the nine months ended September 30, 2017. The increase in other income (expense), net, was primarily related to an increase in investment income during the nine months ended September 30,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expense decreased by $0.2 million from $0.4 million for the nine months ended September 30, 2016 to</w:t>
      </w:r>
    </w:p>
    <w:p>
      <w:pPr>
        <w:spacing w:after="0" w:line="229" w:lineRule="auto"/>
        <w:rPr>
          <w:sz w:val="20"/>
          <w:szCs w:val="20"/>
          <w:color w:val="auto"/>
        </w:rPr>
      </w:pPr>
      <w:r>
        <w:rPr>
          <w:rFonts w:ascii="Arial" w:cs="Arial" w:eastAsia="Arial" w:hAnsi="Arial"/>
          <w:sz w:val="16"/>
          <w:szCs w:val="16"/>
          <w:color w:val="auto"/>
        </w:rPr>
        <w:t>$0.2 million for the nine months ended September 30, 2017. The decrease was primarily related to a decrease in the average</w:t>
      </w:r>
    </w:p>
    <w:p>
      <w:pPr>
        <w:spacing w:after="0" w:line="215" w:lineRule="auto"/>
        <w:rPr>
          <w:sz w:val="20"/>
          <w:szCs w:val="20"/>
          <w:color w:val="auto"/>
        </w:rPr>
      </w:pPr>
      <w:r>
        <w:rPr>
          <w:rFonts w:ascii="Arial" w:cs="Arial" w:eastAsia="Arial" w:hAnsi="Arial"/>
          <w:sz w:val="17"/>
          <w:szCs w:val="17"/>
          <w:color w:val="auto"/>
        </w:rPr>
        <w:t>outstanding principle balance under the loan and security agreement with Silicon Valley Bank for the nine months ended</w:t>
      </w:r>
    </w:p>
    <w:p>
      <w:pPr>
        <w:spacing w:after="0" w:line="229" w:lineRule="auto"/>
        <w:rPr>
          <w:sz w:val="20"/>
          <w:szCs w:val="20"/>
          <w:color w:val="auto"/>
        </w:rPr>
      </w:pPr>
      <w:r>
        <w:rPr>
          <w:rFonts w:ascii="Arial" w:cs="Arial" w:eastAsia="Arial" w:hAnsi="Arial"/>
          <w:sz w:val="16"/>
          <w:szCs w:val="16"/>
          <w:color w:val="auto"/>
        </w:rPr>
        <w:t>September 30, 2017. We expect that interest expense will continue to decrease in subsequent periods as the principal amount</w:t>
      </w:r>
    </w:p>
    <w:p>
      <w:pPr>
        <w:spacing w:after="0"/>
        <w:rPr>
          <w:sz w:val="20"/>
          <w:szCs w:val="20"/>
          <w:color w:val="auto"/>
        </w:rPr>
      </w:pPr>
      <w:r>
        <w:rPr>
          <w:rFonts w:ascii="Arial" w:cs="Arial" w:eastAsia="Arial" w:hAnsi="Arial"/>
          <w:sz w:val="18"/>
          <w:szCs w:val="18"/>
          <w:color w:val="auto"/>
        </w:rPr>
        <w:t>under the loan decreases.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To date, we have financed our operations primarily through public offerings of our common stock, private placements of our convertible preferred stock, collaborations and a debt financing. Through September 30, 2017, we have received an aggregate of $731.3 million from such transactions, including $542.4 million in aggregate gross proceeds from the sale of common stock in our IPO and December 2016 and April 2017 follow on public offerings, $115.1 million in gross proceeds from the issuance of convertible preferred stock, $18.8 million of upfront and milestone payments from Alexion, a $45.0 million upfront payment from Roche and $10.0 million in gross proceeds from the debt financing. As a result of the termination of the Alexion agreement, which was effective October 24, 2017, we will not be entitled to receive payment from Alexion for any additional milestones.</w:t>
      </w:r>
    </w:p>
    <w:p>
      <w:pPr>
        <w:spacing w:after="0" w:line="57" w:lineRule="exact"/>
        <w:rPr>
          <w:sz w:val="20"/>
          <w:szCs w:val="20"/>
          <w:color w:val="auto"/>
        </w:rPr>
      </w:pPr>
    </w:p>
    <w:p>
      <w:pPr>
        <w:ind w:right="1720" w:firstLine="648"/>
        <w:spacing w:after="0" w:line="454" w:lineRule="auto"/>
        <w:rPr>
          <w:sz w:val="20"/>
          <w:szCs w:val="20"/>
          <w:color w:val="auto"/>
        </w:rPr>
      </w:pPr>
      <w:r>
        <w:rPr>
          <w:rFonts w:ascii="Arial" w:cs="Arial" w:eastAsia="Arial" w:hAnsi="Arial"/>
          <w:sz w:val="18"/>
          <w:szCs w:val="18"/>
          <w:color w:val="auto"/>
        </w:rPr>
        <w:t xml:space="preserve">As of September 30, 2017, we had cash, cash equivalents and investments of $390.7 million. </w:t>
      </w:r>
      <w:r>
        <w:rPr>
          <w:rFonts w:ascii="Arial" w:cs="Arial" w:eastAsia="Arial" w:hAnsi="Arial"/>
          <w:sz w:val="18"/>
          <w:szCs w:val="18"/>
          <w:i w:val="1"/>
          <w:iCs w:val="1"/>
          <w:color w:val="auto"/>
        </w:rPr>
        <w:t>Cash Flows</w:t>
      </w:r>
    </w:p>
    <w:p>
      <w:pPr>
        <w:ind w:right="140" w:firstLine="648"/>
        <w:spacing w:after="0" w:line="235" w:lineRule="auto"/>
        <w:rPr>
          <w:sz w:val="20"/>
          <w:szCs w:val="20"/>
          <w:color w:val="auto"/>
        </w:rPr>
      </w:pPr>
      <w:r>
        <w:rPr>
          <w:rFonts w:ascii="Arial" w:cs="Arial" w:eastAsia="Arial" w:hAnsi="Arial"/>
          <w:sz w:val="18"/>
          <w:szCs w:val="18"/>
          <w:color w:val="auto"/>
        </w:rPr>
        <w:t>The following table provides information regarding our cash flows for the three months ended September 30,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00" w:type="dxa"/>
            <w:vAlign w:val="bottom"/>
            <w:tcBorders>
              <w:bottom w:val="single" w:sz="8" w:color="CCEEFF"/>
            </w:tcBorders>
            <w:vMerge w:val="continue"/>
          </w:tcPr>
          <w:p>
            <w:pPr>
              <w:spacing w:after="0"/>
              <w:rPr>
                <w:sz w:val="11"/>
                <w:szCs w:val="11"/>
                <w:color w:val="auto"/>
              </w:rPr>
            </w:pPr>
          </w:p>
        </w:tc>
        <w:tc>
          <w:tcPr>
            <w:tcW w:w="25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58"/>
              <w:spacing w:after="0" w:line="129"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(85,115)</w:t>
            </w:r>
          </w:p>
        </w:tc>
        <w:tc>
          <w:tcPr>
            <w:tcW w:w="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(125,720)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(80,535)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216,095</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03"/>
        </w:trPr>
        <w:tc>
          <w:tcPr>
            <w:tcW w:w="4100" w:type="dxa"/>
            <w:vAlign w:val="bottom"/>
          </w:tcPr>
          <w:p>
            <w:pPr>
              <w:spacing w:after="0" w:line="196" w:lineRule="exact"/>
              <w:rPr>
                <w:sz w:val="20"/>
                <w:szCs w:val="20"/>
                <w:color w:val="auto"/>
              </w:rPr>
            </w:pPr>
            <w:r>
              <w:rPr>
                <w:rFonts w:ascii="Arial" w:cs="Arial" w:eastAsia="Arial" w:hAnsi="Arial"/>
                <w:sz w:val="18"/>
                <w:szCs w:val="18"/>
                <w:color w:val="auto"/>
                <w:w w:val="95"/>
              </w:rPr>
              <w:t>Net increase (decrease) in cash and cash equivalents</w:t>
            </w:r>
          </w:p>
        </w:tc>
        <w:tc>
          <w:tcPr>
            <w:tcW w:w="2540" w:type="dxa"/>
            <w:vAlign w:val="bottom"/>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5,260</w:t>
            </w:r>
          </w:p>
        </w:tc>
        <w:tc>
          <w:tcPr>
            <w:tcW w:w="26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(88,304)</w:t>
            </w:r>
          </w:p>
        </w:tc>
        <w:tc>
          <w:tcPr>
            <w:tcW w:w="0" w:type="dxa"/>
            <w:vAlign w:val="bottom"/>
          </w:tcPr>
          <w:p>
            <w:pPr>
              <w:spacing w:after="0"/>
              <w:rPr>
                <w:sz w:val="1"/>
                <w:szCs w:val="1"/>
                <w:color w:val="auto"/>
              </w:rPr>
            </w:pPr>
          </w:p>
        </w:tc>
      </w:tr>
      <w:tr>
        <w:trPr>
          <w:trHeight w:val="635"/>
        </w:trPr>
        <w:tc>
          <w:tcPr>
            <w:tcW w:w="4100" w:type="dxa"/>
            <w:vAlign w:val="bottom"/>
          </w:tcPr>
          <w:p>
            <w:pPr>
              <w:spacing w:after="0"/>
              <w:rPr>
                <w:sz w:val="24"/>
                <w:szCs w:val="24"/>
                <w:color w:val="auto"/>
              </w:rPr>
            </w:pPr>
          </w:p>
        </w:tc>
        <w:tc>
          <w:tcPr>
            <w:tcW w:w="2540" w:type="dxa"/>
            <w:vAlign w:val="bottom"/>
          </w:tcPr>
          <w:p>
            <w:pPr>
              <w:jc w:val="right"/>
              <w:ind w:right="193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10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Net Cash Used in Operating Activities</w:t>
      </w:r>
      <w:r>
        <w:rPr>
          <w:rFonts w:ascii="Arial" w:cs="Arial" w:eastAsia="Arial" w:hAnsi="Arial"/>
          <w:sz w:val="17"/>
          <w:szCs w:val="17"/>
          <w:color w:val="auto"/>
        </w:rPr>
        <w:t>. Net cash used in operating activities was $85.1 million during the nine</w:t>
      </w:r>
    </w:p>
    <w:p>
      <w:pPr>
        <w:spacing w:after="0" w:line="229" w:lineRule="auto"/>
        <w:rPr>
          <w:sz w:val="20"/>
          <w:szCs w:val="20"/>
          <w:color w:val="auto"/>
        </w:rPr>
      </w:pPr>
      <w:r>
        <w:rPr>
          <w:rFonts w:ascii="Arial" w:cs="Arial" w:eastAsia="Arial" w:hAnsi="Arial"/>
          <w:sz w:val="16"/>
          <w:szCs w:val="16"/>
          <w:color w:val="auto"/>
        </w:rPr>
        <w:t>months ended September 30, 2017 compared to net cash used in operating activities of $5.7 million during the nine months</w:t>
      </w:r>
    </w:p>
    <w:p>
      <w:pPr>
        <w:spacing w:after="0" w:line="229" w:lineRule="auto"/>
        <w:rPr>
          <w:sz w:val="20"/>
          <w:szCs w:val="20"/>
          <w:color w:val="auto"/>
        </w:rPr>
      </w:pPr>
      <w:r>
        <w:rPr>
          <w:rFonts w:ascii="Arial" w:cs="Arial" w:eastAsia="Arial" w:hAnsi="Arial"/>
          <w:sz w:val="16"/>
          <w:szCs w:val="16"/>
          <w:color w:val="auto"/>
        </w:rPr>
        <w:t>ended September 30, 2016. The change in net cash used in operating activities was primarily due to changes in deferred</w:t>
      </w:r>
    </w:p>
    <w:p>
      <w:pPr>
        <w:spacing w:after="0" w:line="229" w:lineRule="auto"/>
        <w:rPr>
          <w:sz w:val="20"/>
          <w:szCs w:val="20"/>
          <w:color w:val="auto"/>
        </w:rPr>
      </w:pPr>
      <w:r>
        <w:rPr>
          <w:rFonts w:ascii="Arial" w:cs="Arial" w:eastAsia="Arial" w:hAnsi="Arial"/>
          <w:sz w:val="16"/>
          <w:szCs w:val="16"/>
          <w:color w:val="auto"/>
        </w:rPr>
        <w:t>revenue related to the timing of the upfront payment from Roche. In the nine months ended September 30, 2016, we received</w:t>
      </w:r>
    </w:p>
    <w:p>
      <w:pPr>
        <w:spacing w:after="0" w:line="215" w:lineRule="auto"/>
        <w:rPr>
          <w:sz w:val="20"/>
          <w:szCs w:val="20"/>
          <w:color w:val="auto"/>
        </w:rPr>
      </w:pPr>
      <w:r>
        <w:rPr>
          <w:rFonts w:ascii="Arial" w:cs="Arial" w:eastAsia="Arial" w:hAnsi="Arial"/>
          <w:sz w:val="17"/>
          <w:szCs w:val="17"/>
          <w:color w:val="auto"/>
        </w:rPr>
        <w:t>a $45.0 million upfront payment from Roche, and in the nine months ended September 30, 2017 we did not receive any</w:t>
      </w:r>
    </w:p>
    <w:p>
      <w:pPr>
        <w:spacing w:after="0" w:line="216" w:lineRule="auto"/>
        <w:rPr>
          <w:sz w:val="20"/>
          <w:szCs w:val="20"/>
          <w:color w:val="auto"/>
        </w:rPr>
      </w:pPr>
      <w:r>
        <w:rPr>
          <w:rFonts w:ascii="Arial" w:cs="Arial" w:eastAsia="Arial" w:hAnsi="Arial"/>
          <w:sz w:val="17"/>
          <w:szCs w:val="17"/>
          <w:color w:val="auto"/>
        </w:rPr>
        <w:t>upfront payments. Further, the change in net cash used by operating activities was related to an increase in net loss of</w:t>
      </w:r>
    </w:p>
    <w:p>
      <w:pPr>
        <w:spacing w:after="0"/>
        <w:rPr>
          <w:sz w:val="20"/>
          <w:szCs w:val="20"/>
          <w:color w:val="auto"/>
        </w:rPr>
      </w:pPr>
      <w:r>
        <w:rPr>
          <w:rFonts w:ascii="Arial" w:cs="Arial" w:eastAsia="Arial" w:hAnsi="Arial"/>
          <w:sz w:val="16"/>
          <w:szCs w:val="16"/>
          <w:color w:val="auto"/>
        </w:rPr>
        <w:t>$47.9 million for the nine months ended September 30, 2017 as compared to the nine months ended September 30, 2016.</w:t>
      </w:r>
    </w:p>
    <w:p>
      <w:pPr>
        <w:spacing w:after="0" w:line="192"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i w:val="1"/>
          <w:iCs w:val="1"/>
          <w:color w:val="auto"/>
        </w:rPr>
        <w:t>Net Cash Used in Investing Activities</w:t>
      </w:r>
      <w:r>
        <w:rPr>
          <w:rFonts w:ascii="Arial" w:cs="Arial" w:eastAsia="Arial" w:hAnsi="Arial"/>
          <w:sz w:val="16"/>
          <w:szCs w:val="16"/>
          <w:color w:val="auto"/>
        </w:rPr>
        <w:t>. Net cash used in investing activities was $125.7 million during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2017 compared to net cash used in investing activities of $80.5 million during the nine months ended September 30, 2016. Net cash used in investing activities for the nine months ended September 30, 2017 consisted primarily of purchases of investments offset by maturities of investments. We classify these investments as available-for-sale and record them at fair value in the accompanying condensed consolidated balance sheets. Net cash used in investing activities also consisted of purchases of property and equipment and a $3.5 million security deposit related to the lease agreement entered into on April 28, 2017. Net cash used in investing activities for nine months ended September 30, 2016 consisted primarily of purchases of investments and purchases of property and equipment offset by maturities in investments.</w:t>
      </w:r>
    </w:p>
    <w:p>
      <w:pPr>
        <w:spacing w:after="0" w:line="167"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i w:val="1"/>
          <w:iCs w:val="1"/>
          <w:color w:val="auto"/>
        </w:rPr>
        <w:t>Net Cash Provided by (Used in) Financing Activities</w:t>
      </w:r>
      <w:r>
        <w:rPr>
          <w:rFonts w:ascii="Arial" w:cs="Arial" w:eastAsia="Arial" w:hAnsi="Arial"/>
          <w:sz w:val="18"/>
          <w:szCs w:val="18"/>
          <w:color w:val="auto"/>
        </w:rPr>
        <w:t>. Net cash provided by financing activities was $216.1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September 30, 2017 compared to net cash used in financing activities of $2.1 million during the nine months ended September 30, 2016. Net cash provided by financing activities for the nine months ended September 30, 2017 was primarily due to $216.2 million in gross proceeds from our April 2017 follow-on underwritten public offering, after deducting underwriting discounts and commissions. Net cash used in financing activities for the nine months ended September 30, 2016 was primarily due to principal payments under the loan and security agreement with Silicon Valley Bank.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In May 2013, we entered into the loan and security agreement with Silicon Valley Bank. Under the terms of the loan and security agreement, we borrowed $5.0 million. Loan advances accrue interest at a fixed rate of 2.0% above the prime rate. In November 2014, we amended the loan and security agreement and borrowed an additional $5.0 million. Each loan advance included an interest only payment period. Through September 30, 2017, we have made principal payments of $7.9 million on the $10.0 million of advances. We are required to pay a fee of 4% of the total loan advances at the end of the term of the loan. There are no financial covenants associated with the loan and security agreement. As of September 30, 2017, we had $2.1 million in outstanding principal under the loan and security agreement.</w:t>
      </w:r>
    </w:p>
    <w:p>
      <w:pPr>
        <w:spacing w:after="0" w:line="163"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have classified the outstanding principal in current and long term liabilities based on scheduled principal payments.</w:t>
      </w:r>
    </w:p>
    <w:p>
      <w:pPr>
        <w:spacing w:after="0" w:line="155" w:lineRule="exact"/>
        <w:rPr>
          <w:sz w:val="20"/>
          <w:szCs w:val="20"/>
          <w:color w:val="auto"/>
        </w:rPr>
      </w:pPr>
    </w:p>
    <w:p>
      <w:pPr>
        <w:ind w:right="640" w:firstLine="648"/>
        <w:spacing w:after="0" w:line="235" w:lineRule="auto"/>
        <w:rPr>
          <w:sz w:val="20"/>
          <w:szCs w:val="20"/>
          <w:color w:val="auto"/>
        </w:rPr>
      </w:pPr>
      <w:r>
        <w:rPr>
          <w:rFonts w:ascii="Arial" w:cs="Arial" w:eastAsia="Arial" w:hAnsi="Arial"/>
          <w:sz w:val="18"/>
          <w:szCs w:val="18"/>
          <w:color w:val="auto"/>
        </w:rPr>
        <w:t>See Note 7, “Term Loan,” in the accompanying notes to our unaudited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continue to incur additional costs associated with operating as a public company. Accordingly, we will need to obtain substantial additional funding in connection with our continuing operations. If we are unable to raise capital when needed or 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attractive terms, we would be forced to delay, reduce or eliminate our research and development programs or future commercialization efforts.</w:t>
      </w:r>
    </w:p>
    <w:p>
      <w:pPr>
        <w:spacing w:after="0" w:line="162"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As of September 30, 2017, we had cash, cash equivalents and investments of $390.7 million. Based on our current plans, we believe our existing cash, cash equivalents and investments, excluding any potential option fees and milestone payments under our existing collaboration with Roche, will be sufficient to enable us to fund our operating expenses and capital expenditure requirements into the second half of 2019. Our future capital requirements will depend on many factors, including:</w:t>
      </w:r>
    </w:p>
    <w:p>
      <w:pPr>
        <w:spacing w:after="0" w:line="162" w:lineRule="exact"/>
        <w:rPr>
          <w:sz w:val="20"/>
          <w:szCs w:val="20"/>
          <w:color w:val="auto"/>
        </w:rPr>
      </w:pPr>
    </w:p>
    <w:p>
      <w:pPr>
        <w:ind w:left="1300" w:right="26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9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collaboration with Roche;</w:t>
      </w:r>
    </w:p>
    <w:p>
      <w:pPr>
        <w:spacing w:after="0" w:line="117" w:lineRule="exact"/>
        <w:rPr>
          <w:rFonts w:ascii="Arial" w:cs="Arial" w:eastAsia="Arial" w:hAnsi="Arial"/>
          <w:sz w:val="18"/>
          <w:szCs w:val="18"/>
          <w:color w:val="auto"/>
        </w:rPr>
      </w:pPr>
    </w:p>
    <w:p>
      <w:pPr>
        <w:ind w:left="1300" w:right="40" w:hanging="325"/>
        <w:spacing w:after="0" w:line="189" w:lineRule="exact"/>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companion diagnostic tests, including our companion diagnostic tests for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FGF19 signaling, BLU-285 in order to identify GIST patients with the PDGFRα D842V mutation and BLU-667 in order to identify NSCLC patients with RET fusions;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17" w:lineRule="exact"/>
        <w:rPr>
          <w:rFonts w:ascii="Arial" w:cs="Arial" w:eastAsia="Arial" w:hAnsi="Arial"/>
          <w:sz w:val="18"/>
          <w:szCs w:val="18"/>
          <w:color w:val="auto"/>
        </w:rPr>
      </w:pPr>
    </w:p>
    <w:p>
      <w:pPr>
        <w:ind w:left="1300" w:right="160" w:hanging="325"/>
        <w:spacing w:after="0" w:line="289"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our collaboration agreement with Roche or any collaboration agreements that we may enter into in the future;</w:t>
      </w:r>
    </w:p>
    <w:p>
      <w:pPr>
        <w:spacing w:after="0" w:line="56" w:lineRule="exact"/>
        <w:rPr>
          <w:rFonts w:ascii="Arial" w:cs="Arial" w:eastAsia="Arial" w:hAnsi="Arial"/>
          <w:sz w:val="16"/>
          <w:szCs w:val="16"/>
          <w:color w:val="auto"/>
        </w:rPr>
      </w:pPr>
    </w:p>
    <w:p>
      <w:pPr>
        <w:ind w:left="1300" w:right="6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94"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 and</w:t>
      </w:r>
    </w:p>
    <w:p>
      <w:pPr>
        <w:spacing w:after="0" w:line="117"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drug candidates.</w:t>
      </w:r>
    </w:p>
    <w:p>
      <w:pPr>
        <w:spacing w:after="0" w:line="162"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Identifying potential drug candidates and conducting pre-clinical studies and clinical trials is a time-consuming,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1"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outside of those to be earned in connection with our collaboration agreement with Roche.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firstLine="648"/>
        <w:spacing w:after="0" w:line="230" w:lineRule="auto"/>
        <w:rPr>
          <w:sz w:val="20"/>
          <w:szCs w:val="20"/>
          <w:color w:val="auto"/>
        </w:rPr>
      </w:pPr>
      <w:r>
        <w:rPr>
          <w:rFonts w:ascii="Arial" w:cs="Arial" w:eastAsia="Arial" w:hAnsi="Arial"/>
          <w:sz w:val="16"/>
          <w:szCs w:val="16"/>
          <w:color w:val="auto"/>
        </w:rPr>
        <w:t>On April 28, 2017, we entered into a lease agreement with UP 45/75 Sidney Street, LLC, as the landlord, pursuant to which we will lease approximately 99,833 rentable square feet of office and laboratory space located at 45 Sidney Street, Cambridge, Massachusetts 02139, which we refer to as the new premises, and will relocate our corporate headquarters to the new premises. We gained control over the space on June 1, 2017 and currently anticipate relocating our corporate headquarters in the first quarter of 2018. We became responsible for paying rent under the lease agreement on October 1, 2017, or the commencement date. The initial term of the lease agreement will be for a 146 month period beginning on the commencement date, unless terminated sooner. The lease agreement also provides us with an option to extend the lease agreement for two consecutive five-year periods at the then fair market annual rent, as defined in the lease agreement, as well as a right of first offer with respect to leasing additional space adjacent to the new premises. During the initial term of the lease agreement, our monthly base rent for the new premises will start at approximately $641,000 beginning on the commencement date through the 14 month anniversary of the commencement date. Our monthly base rent will increase by</w:t>
      </w:r>
    </w:p>
    <w:p>
      <w:pPr>
        <w:spacing w:after="0" w:line="8"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3.0% on the 14 month anniversary of the commencement date and will increase by an additional 3.0% on an annual basis for the remainder of the initial term up to a maximum monthly base rent of approximately $887,000. Pursuant to the lease agreement, we will also be obligated to pay certain taxes and operating costs associated with the new premises during the term of the lease agreement. The landlord has also agreed to provide us with a tenant improvement allowance of approximately $14.2 million for improvements to be made to the new premises. We will be obligated to maintain a security deposit with the landlord in the amount of $3.5 million, which is subject to reduction by up to $1.0 million during the term of the lease agreement, subject to the satisfaction of specified terms and conditions.</w:t>
      </w:r>
    </w:p>
    <w:p>
      <w:pPr>
        <w:spacing w:after="0" w:line="163" w:lineRule="exact"/>
        <w:rPr>
          <w:sz w:val="20"/>
          <w:szCs w:val="20"/>
          <w:color w:val="auto"/>
        </w:rPr>
      </w:pPr>
    </w:p>
    <w:p>
      <w:pPr>
        <w:ind w:right="300" w:firstLine="648"/>
        <w:spacing w:after="0" w:line="238" w:lineRule="auto"/>
        <w:rPr>
          <w:sz w:val="20"/>
          <w:szCs w:val="20"/>
          <w:color w:val="auto"/>
        </w:rPr>
      </w:pPr>
      <w:r>
        <w:rPr>
          <w:rFonts w:ascii="Arial" w:cs="Arial" w:eastAsia="Arial" w:hAnsi="Arial"/>
          <w:sz w:val="17"/>
          <w:szCs w:val="17"/>
          <w:color w:val="auto"/>
        </w:rPr>
        <w:t>As of September 30, 2017, there have been no other material changes to our contractual obligations and commitments from those described under “Management’s Discussion and Analysis of Financial Condition and Results of Operations” included in the Annual Report on Form 10-K for the year ended December 31, 2016.</w:t>
      </w:r>
    </w:p>
    <w:p>
      <w:pPr>
        <w:spacing w:after="0" w:line="157"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58" w:lineRule="auto"/>
        <w:rPr>
          <w:sz w:val="20"/>
          <w:szCs w:val="20"/>
          <w:color w:val="auto"/>
        </w:rPr>
      </w:pPr>
      <w:r>
        <w:rPr>
          <w:rFonts w:ascii="Arial" w:cs="Arial" w:eastAsia="Arial" w:hAnsi="Arial"/>
          <w:sz w:val="17"/>
          <w:szCs w:val="17"/>
          <w:color w:val="auto"/>
        </w:rPr>
        <w:t>As of September 30, 2017, we had cash, cash equivalents and investments of $390.7 million, consisting primarily of money market funds and investments in U.S. treasury obligations and U.S government agency securities.</w:t>
      </w:r>
    </w:p>
    <w:p>
      <w:pPr>
        <w:spacing w:after="0" w:line="147" w:lineRule="exact"/>
        <w:rPr>
          <w:sz w:val="20"/>
          <w:szCs w:val="20"/>
          <w:color w:val="auto"/>
        </w:rPr>
      </w:pPr>
    </w:p>
    <w:p>
      <w:pPr>
        <w:ind w:right="140" w:firstLine="648"/>
        <w:spacing w:after="0" w:line="241"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61"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color w:val="auto"/>
        </w:rPr>
        <w:t>We are also exposed to market risk related to changes in foreign currency exchange rates. From time to time, we contract with vendors that are located Asia and Europe, which are denominated in foreign currencies. We are subject to fluctuations in foreign currency rates in connection with these agreements. We do not currently hedge our foreign currency exchange rate risk. As of September 30, 2017 and December 31, 2016, we had minimal liabilities denominated in foreign currencies.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99"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or nine months ended September 30, 2017 and 2016.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85" w:lineRule="exact"/>
        <w:rPr>
          <w:sz w:val="20"/>
          <w:szCs w:val="20"/>
          <w:color w:val="auto"/>
        </w:rPr>
      </w:pPr>
    </w:p>
    <w:p>
      <w:pPr>
        <w:ind w:right="39" w:firstLine="648"/>
        <w:spacing w:after="0" w:line="236"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68" w:lineRule="exact"/>
        <w:rPr>
          <w:sz w:val="20"/>
          <w:szCs w:val="20"/>
          <w:color w:val="auto"/>
        </w:rPr>
      </w:pPr>
    </w:p>
    <w:p>
      <w:pPr>
        <w:ind w:right="39" w:firstLine="648"/>
        <w:spacing w:after="0" w:line="216" w:lineRule="auto"/>
        <w:rPr>
          <w:sz w:val="20"/>
          <w:szCs w:val="20"/>
          <w:color w:val="auto"/>
        </w:rPr>
      </w:pPr>
      <w:r>
        <w:rPr>
          <w:rFonts w:ascii="Arial" w:cs="Arial" w:eastAsia="Arial" w:hAnsi="Arial"/>
          <w:sz w:val="18"/>
          <w:szCs w:val="18"/>
          <w:color w:val="auto"/>
        </w:rPr>
        <w:t>Our management, with the participation of our Chief Executive Officer and Vice President of Finance (our principal executive officer and principal financial officer, respectively), evaluated the effectiveness of our disclosure controls and procedures as of September 30, 2017. Based upon such evaluation, our Chief Executive Officer and Vice President of Finance have concluded that, as of September 30, 2017, our disclosure controls and procedures were effective at the reasonable assurance level.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jc w:val="both"/>
        <w:ind w:right="279" w:firstLine="648"/>
        <w:spacing w:after="0" w:line="22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September 30, 2017 that has materially affected, or is reasonably likely to materially affect, our internal control over financial reporting.</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page 3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63"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8"/>
          <w:szCs w:val="18"/>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for our most advanced drug candidates, BLU</w:t>
      </w:r>
      <w:r>
        <w:rPr>
          <w:rFonts w:ascii="MS PGothic" w:cs="MS PGothic" w:eastAsia="MS PGothic" w:hAnsi="MS PGothic"/>
          <w:sz w:val="18"/>
          <w:szCs w:val="18"/>
          <w:color w:val="auto"/>
        </w:rPr>
        <w:t>‑</w:t>
      </w:r>
      <w:r>
        <w:rPr>
          <w:rFonts w:ascii="Arial" w:cs="Arial" w:eastAsia="Arial" w:hAnsi="Arial"/>
          <w:sz w:val="18"/>
          <w:szCs w:val="18"/>
          <w:color w:val="auto"/>
        </w:rPr>
        <w:t>285, BLU</w:t>
      </w:r>
      <w:r>
        <w:rPr>
          <w:rFonts w:ascii="MS PGothic" w:cs="MS PGothic" w:eastAsia="MS PGothic" w:hAnsi="MS PGothic"/>
          <w:sz w:val="18"/>
          <w:szCs w:val="18"/>
          <w:color w:val="auto"/>
        </w:rPr>
        <w:t>‑</w:t>
      </w:r>
      <w:r>
        <w:rPr>
          <w:rFonts w:ascii="Arial" w:cs="Arial" w:eastAsia="Arial" w:hAnsi="Arial"/>
          <w:sz w:val="18"/>
          <w:szCs w:val="18"/>
          <w:color w:val="auto"/>
        </w:rPr>
        <w:t>554 and BLU</w:t>
      </w:r>
      <w:r>
        <w:rPr>
          <w:rFonts w:ascii="MS PGothic" w:cs="MS PGothic" w:eastAsia="MS PGothic" w:hAnsi="MS PGothic"/>
          <w:sz w:val="18"/>
          <w:szCs w:val="18"/>
          <w:color w:val="auto"/>
        </w:rPr>
        <w:t>‑</w:t>
      </w:r>
      <w:r>
        <w:rPr>
          <w:rFonts w:ascii="Arial" w:cs="Arial" w:eastAsia="Arial" w:hAnsi="Arial"/>
          <w:sz w:val="18"/>
          <w:szCs w:val="18"/>
          <w:color w:val="auto"/>
        </w:rPr>
        <w:t>667.</w:t>
      </w:r>
    </w:p>
    <w:p>
      <w:pPr>
        <w:spacing w:after="0" w:line="162"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We are currently evaluating BLU</w:t>
      </w:r>
      <w:r>
        <w:rPr>
          <w:rFonts w:ascii="MS PGothic" w:cs="MS PGothic" w:eastAsia="MS PGothic" w:hAnsi="MS PGothic"/>
          <w:sz w:val="18"/>
          <w:szCs w:val="18"/>
          <w:color w:val="auto"/>
        </w:rPr>
        <w:t>‑</w:t>
      </w:r>
      <w:r>
        <w:rPr>
          <w:rFonts w:ascii="Arial" w:cs="Arial" w:eastAsia="Arial" w:hAnsi="Arial"/>
          <w:sz w:val="18"/>
          <w:szCs w:val="18"/>
          <w:color w:val="auto"/>
        </w:rPr>
        <w:t>285 in an ongoing Phase 1 clinical trial for defined subsets of patients with gastrointestinal stromal tumors, or GIST, BLU-285 in an ongoing Phase 1 clinical trial for advanced systemic mastocytosis, or SM, BLU</w:t>
      </w:r>
      <w:r>
        <w:rPr>
          <w:rFonts w:ascii="MS PGothic" w:cs="MS PGothic" w:eastAsia="MS PGothic" w:hAnsi="MS PGothic"/>
          <w:sz w:val="18"/>
          <w:szCs w:val="18"/>
          <w:color w:val="auto"/>
        </w:rPr>
        <w:t>‑</w:t>
      </w:r>
      <w:r>
        <w:rPr>
          <w:rFonts w:ascii="Arial" w:cs="Arial" w:eastAsia="Arial" w:hAnsi="Arial"/>
          <w:sz w:val="18"/>
          <w:szCs w:val="18"/>
          <w:color w:val="auto"/>
        </w:rPr>
        <w:t>554 in an ongoing Phase 1 clinical trial in patients with advanced hepatocellular carcinoma, or HCC, and BLU-667 in an ongoing Phase 1 clinical trial in patients with non-small cell lung cancer, or NSCLC, medullary thyroid cancer, or MTC, and other advanced solid tumors.</w:t>
      </w:r>
    </w:p>
    <w:p>
      <w:pPr>
        <w:spacing w:after="0" w:line="162"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In September 2015, the U.S. Food and Drug Administration, or FDA, granted orphan drug designation to BLU-554 for the treatment of HCC, and in January 2016, the FDA granted orphan drug designation to BLU-285 for the treatment of GIST and SM.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In addition, in June 2017, the FDA granted breakthrough therapy designation to BLU-285 for the treatment of patients with unresectable or metastatic GIST harboring the PDGFRα D842V mutation, and in July 2017, the European Medicines Agency granted orphan drug designation to BLU-285 for the treatment of GIST. We have never generated any revenue from drug sales. We have not obtained regulatory approvals for any of our drug candidates.</w:t>
      </w:r>
    </w:p>
    <w:p>
      <w:pPr>
        <w:spacing w:after="0" w:line="168"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have not yet demonstrated our ability to successfully complete any clinical trials, including large</w:t>
      </w:r>
      <w:r>
        <w:rPr>
          <w:rFonts w:ascii="MS PGothic" w:cs="MS PGothic" w:eastAsia="MS PGothic" w:hAnsi="MS PGothic"/>
          <w:sz w:val="17"/>
          <w:szCs w:val="17"/>
          <w:color w:val="auto"/>
        </w:rPr>
        <w:t>‑</w:t>
      </w:r>
      <w:r>
        <w:rPr>
          <w:rFonts w:ascii="Arial" w:cs="Arial" w:eastAsia="Arial" w:hAnsi="Arial"/>
          <w:sz w:val="17"/>
          <w:szCs w:val="17"/>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62" w:lineRule="exact"/>
        <w:rPr>
          <w:sz w:val="20"/>
          <w:szCs w:val="20"/>
          <w:color w:val="auto"/>
        </w:rPr>
      </w:pPr>
    </w:p>
    <w:p>
      <w:pPr>
        <w:ind w:right="520" w:firstLine="648"/>
        <w:spacing w:after="0" w:line="259" w:lineRule="auto"/>
        <w:rPr>
          <w:sz w:val="20"/>
          <w:szCs w:val="20"/>
          <w:color w:val="auto"/>
        </w:rPr>
      </w:pPr>
      <w:r>
        <w:rPr>
          <w:rFonts w:ascii="Arial" w:cs="Arial" w:eastAsia="Arial" w:hAnsi="Arial"/>
          <w:sz w:val="16"/>
          <w:szCs w:val="16"/>
          <w:color w:val="auto"/>
        </w:rPr>
        <w:t>Since inception, we have focused substantially all of our efforts and financial resources on developing our proprietary compound library, novel target discovery engine and initial drug candidates. To date, we have financed our operations primarily through public offerings of our common stock, private placements of our convertible preferred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60"/>
        <w:spacing w:after="0" w:line="239" w:lineRule="auto"/>
        <w:rPr>
          <w:sz w:val="20"/>
          <w:szCs w:val="20"/>
          <w:color w:val="auto"/>
        </w:rPr>
      </w:pPr>
      <w:r>
        <w:rPr>
          <w:rFonts w:ascii="Arial" w:cs="Arial" w:eastAsia="Arial" w:hAnsi="Arial"/>
          <w:sz w:val="16"/>
          <w:szCs w:val="16"/>
          <w:color w:val="auto"/>
        </w:rPr>
        <w:t>stock, collaborations and a debt financing. Through September 30, 2017, we have received an aggregate of $731.3 million from such transactions, including $542.4 million in aggregate gross proceeds from the sale of common stock in our May</w:t>
      </w:r>
    </w:p>
    <w:p>
      <w:pPr>
        <w:spacing w:after="0" w:line="1" w:lineRule="exact"/>
        <w:rPr>
          <w:sz w:val="20"/>
          <w:szCs w:val="20"/>
          <w:color w:val="auto"/>
        </w:rPr>
      </w:pPr>
    </w:p>
    <w:p>
      <w:pPr>
        <w:ind w:right="20"/>
        <w:spacing w:after="0" w:line="182" w:lineRule="exact"/>
        <w:rPr>
          <w:sz w:val="20"/>
          <w:szCs w:val="20"/>
          <w:color w:val="auto"/>
        </w:rPr>
      </w:pPr>
      <w:r>
        <w:rPr>
          <w:rFonts w:ascii="Arial" w:cs="Arial" w:eastAsia="Arial" w:hAnsi="Arial"/>
          <w:sz w:val="18"/>
          <w:szCs w:val="18"/>
          <w:color w:val="auto"/>
        </w:rPr>
        <w:t>2015 initial public offering, or IPO, and December 2016 and April 2017 follow</w:t>
      </w:r>
      <w:r>
        <w:rPr>
          <w:rFonts w:ascii="MS PGothic" w:cs="MS PGothic" w:eastAsia="MS PGothic" w:hAnsi="MS PGothic"/>
          <w:sz w:val="18"/>
          <w:szCs w:val="18"/>
          <w:color w:val="auto"/>
        </w:rPr>
        <w:t>‑</w:t>
      </w:r>
      <w:r>
        <w:rPr>
          <w:rFonts w:ascii="Arial" w:cs="Arial" w:eastAsia="Arial" w:hAnsi="Arial"/>
          <w:sz w:val="18"/>
          <w:szCs w:val="18"/>
          <w:color w:val="auto"/>
        </w:rPr>
        <w:t>on public offerings, $115.1 million in gross proceeds from the issuance of convertible preferred stock, $18.8 million of upfront and milestone payments from Alexion Pharma Holding, or Alexion, a $45.0 million upfront payment from F. Hoffmann-La Roche Ltd and Hoffmann-La Roche Inc., which we refer to collectively as Roche, and $10.0 million in gross proceeds from the debt financing. As a result of the termination of the Alexion agreement, which was effective October 24, 2017, we will not be entitled to receive payment from Alexion for any additional milestones.</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Since inception, we have incurred significant operating losses. Our net losses were $99.1 million for the nine months ended September 30, 2017 and $72.5 million, $52.8 million and $40.3 million for the years ended December 31, 2016, 2015 and 2014, respectively. As of September 30, 2017, we had an accumulated deficit of $306.6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w:t>
      </w:r>
      <w:r>
        <w:rPr>
          <w:rFonts w:ascii="MS PGothic" w:cs="MS PGothic" w:eastAsia="MS PGothic" w:hAnsi="MS PGothic"/>
          <w:sz w:val="16"/>
          <w:szCs w:val="16"/>
          <w:color w:val="auto"/>
        </w:rPr>
        <w:t>‑</w:t>
      </w:r>
      <w:r>
        <w:rPr>
          <w:rFonts w:ascii="Arial" w:cs="Arial" w:eastAsia="Arial" w:hAnsi="Arial"/>
          <w:sz w:val="16"/>
          <w:szCs w:val="16"/>
          <w:color w:val="auto"/>
        </w:rPr>
        <w:t>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70"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8"/>
          <w:szCs w:val="18"/>
          <w:color w:val="auto"/>
        </w:rPr>
        <w:t>To date, we have not generated any revenue from our lead drug candidates, BLU</w:t>
      </w:r>
      <w:r>
        <w:rPr>
          <w:rFonts w:ascii="MS PGothic" w:cs="MS PGothic" w:eastAsia="MS PGothic" w:hAnsi="MS PGothic"/>
          <w:sz w:val="18"/>
          <w:szCs w:val="18"/>
          <w:color w:val="auto"/>
        </w:rPr>
        <w:t>‑</w:t>
      </w:r>
      <w:r>
        <w:rPr>
          <w:rFonts w:ascii="Arial" w:cs="Arial" w:eastAsia="Arial" w:hAnsi="Arial"/>
          <w:sz w:val="18"/>
          <w:szCs w:val="18"/>
          <w:color w:val="auto"/>
        </w:rPr>
        <w:t>285, BLU</w:t>
      </w:r>
      <w:r>
        <w:rPr>
          <w:rFonts w:ascii="MS PGothic" w:cs="MS PGothic" w:eastAsia="MS PGothic" w:hAnsi="MS PGothic"/>
          <w:sz w:val="18"/>
          <w:szCs w:val="18"/>
          <w:color w:val="auto"/>
        </w:rPr>
        <w:t>‑</w:t>
      </w:r>
      <w:r>
        <w:rPr>
          <w:rFonts w:ascii="Arial" w:cs="Arial" w:eastAsia="Arial" w:hAnsi="Arial"/>
          <w:sz w:val="18"/>
          <w:szCs w:val="18"/>
          <w:color w:val="auto"/>
        </w:rPr>
        <w:t>554 and BLU</w:t>
      </w:r>
      <w:r>
        <w:rPr>
          <w:rFonts w:ascii="MS PGothic" w:cs="MS PGothic" w:eastAsia="MS PGothic" w:hAnsi="MS PGothic"/>
          <w:sz w:val="18"/>
          <w:szCs w:val="18"/>
          <w:color w:val="auto"/>
        </w:rPr>
        <w:t>‑</w:t>
      </w:r>
      <w:r>
        <w:rPr>
          <w:rFonts w:ascii="Arial" w:cs="Arial" w:eastAsia="Arial" w:hAnsi="Arial"/>
          <w:sz w:val="18"/>
          <w:szCs w:val="18"/>
          <w:color w:val="auto"/>
        </w:rPr>
        <w:t>667, and we do not expect to generate any revenue from the sale of drugs in the near future. We do not expect to generate significant revenue unless and until we obtain marketing approval of, and begin to sell, BLU</w:t>
      </w:r>
      <w:r>
        <w:rPr>
          <w:rFonts w:ascii="MS PGothic" w:cs="MS PGothic" w:eastAsia="MS PGothic" w:hAnsi="MS PGothic"/>
          <w:sz w:val="18"/>
          <w:szCs w:val="18"/>
          <w:color w:val="auto"/>
        </w:rPr>
        <w:t>‑</w:t>
      </w:r>
      <w:r>
        <w:rPr>
          <w:rFonts w:ascii="Arial" w:cs="Arial" w:eastAsia="Arial" w:hAnsi="Arial"/>
          <w:sz w:val="18"/>
          <w:szCs w:val="18"/>
          <w:color w:val="auto"/>
        </w:rPr>
        <w:t>285, BLU</w:t>
      </w:r>
      <w:r>
        <w:rPr>
          <w:rFonts w:ascii="MS PGothic" w:cs="MS PGothic" w:eastAsia="MS PGothic" w:hAnsi="MS PGothic"/>
          <w:sz w:val="18"/>
          <w:szCs w:val="18"/>
          <w:color w:val="auto"/>
        </w:rPr>
        <w:t>‑</w:t>
      </w:r>
      <w:r>
        <w:rPr>
          <w:rFonts w:ascii="Arial" w:cs="Arial" w:eastAsia="Arial" w:hAnsi="Arial"/>
          <w:sz w:val="18"/>
          <w:szCs w:val="18"/>
          <w:color w:val="auto"/>
        </w:rPr>
        <w:t>554, BLU</w:t>
      </w:r>
      <w:r>
        <w:rPr>
          <w:rFonts w:ascii="MS PGothic" w:cs="MS PGothic" w:eastAsia="MS PGothic" w:hAnsi="MS PGothic"/>
          <w:sz w:val="18"/>
          <w:szCs w:val="18"/>
          <w:color w:val="auto"/>
        </w:rPr>
        <w:t>‑</w:t>
      </w:r>
      <w:r>
        <w:rPr>
          <w:rFonts w:ascii="Arial" w:cs="Arial" w:eastAsia="Arial" w:hAnsi="Arial"/>
          <w:sz w:val="18"/>
          <w:szCs w:val="18"/>
          <w:color w:val="auto"/>
        </w:rPr>
        <w:t>667 or one of our other drug candidates. Our ability to generate revenue depends on a number of factors, including, but not limited to, our ability to:</w:t>
      </w:r>
    </w:p>
    <w:p>
      <w:pPr>
        <w:spacing w:after="0" w:line="162" w:lineRule="exact"/>
        <w:rPr>
          <w:sz w:val="20"/>
          <w:szCs w:val="20"/>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84" w:lineRule="exact"/>
        <w:rPr>
          <w:rFonts w:ascii="Arial" w:cs="Arial" w:eastAsia="Arial" w:hAnsi="Arial"/>
          <w:sz w:val="18"/>
          <w:szCs w:val="18"/>
          <w:color w:val="auto"/>
        </w:rPr>
      </w:pPr>
    </w:p>
    <w:p>
      <w:pPr>
        <w:ind w:left="1300" w:right="80" w:hanging="325"/>
        <w:spacing w:after="0" w:line="23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1" w:lineRule="exact"/>
        <w:rPr>
          <w:rFonts w:ascii="Arial" w:cs="Arial" w:eastAsia="Arial" w:hAnsi="Arial"/>
          <w:sz w:val="18"/>
          <w:szCs w:val="18"/>
          <w:color w:val="auto"/>
        </w:rPr>
      </w:pPr>
    </w:p>
    <w:p>
      <w:pPr>
        <w:ind w:left="1300" w:right="120" w:hanging="325"/>
        <w:spacing w:after="0" w:line="23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161" w:lineRule="exact"/>
        <w:rPr>
          <w:rFonts w:ascii="Arial" w:cs="Arial" w:eastAsia="Arial" w:hAnsi="Arial"/>
          <w:sz w:val="18"/>
          <w:szCs w:val="18"/>
          <w:color w:val="auto"/>
        </w:rPr>
      </w:pPr>
    </w:p>
    <w:p>
      <w:pPr>
        <w:ind w:left="1300" w:right="360" w:hanging="325"/>
        <w:spacing w:after="0" w:line="23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161" w:lineRule="exact"/>
        <w:rPr>
          <w:rFonts w:ascii="Arial" w:cs="Arial" w:eastAsia="Arial" w:hAnsi="Arial"/>
          <w:sz w:val="18"/>
          <w:szCs w:val="18"/>
          <w:color w:val="auto"/>
        </w:rPr>
      </w:pPr>
    </w:p>
    <w:p>
      <w:pPr>
        <w:ind w:left="1300" w:hanging="325"/>
        <w:spacing w:after="0" w:line="184" w:lineRule="exact"/>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achieve market acceptance of our drug candidates in the medical community and with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8"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The development of pharmaceuticals is capital</w:t>
      </w:r>
      <w:r>
        <w:rPr>
          <w:rFonts w:ascii="MS PGothic" w:cs="MS PGothic" w:eastAsia="MS PGothic" w:hAnsi="MS PGothic"/>
          <w:sz w:val="17"/>
          <w:szCs w:val="17"/>
          <w:color w:val="auto"/>
        </w:rPr>
        <w:t>‑</w:t>
      </w:r>
      <w:r>
        <w:rPr>
          <w:rFonts w:ascii="Arial" w:cs="Arial" w:eastAsia="Arial" w:hAnsi="Arial"/>
          <w:sz w:val="17"/>
          <w:szCs w:val="17"/>
          <w:color w:val="auto"/>
        </w:rPr>
        <w:t>intensive. We are currently advancing our lead drug candidates, BLU</w:t>
      </w:r>
      <w:r>
        <w:rPr>
          <w:rFonts w:ascii="MS PGothic" w:cs="MS PGothic" w:eastAsia="MS PGothic" w:hAnsi="MS PGothic"/>
          <w:sz w:val="17"/>
          <w:szCs w:val="17"/>
          <w:color w:val="auto"/>
        </w:rPr>
        <w:t>‑</w:t>
      </w:r>
      <w:r>
        <w:rPr>
          <w:rFonts w:ascii="Arial" w:cs="Arial" w:eastAsia="Arial" w:hAnsi="Arial"/>
          <w:sz w:val="17"/>
          <w:szCs w:val="17"/>
          <w:color w:val="auto"/>
        </w:rPr>
        <w:t>285,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and distribution are not the responsibility of Roche or other collaborators. We may also need to raise additional funds sooner if we choose to pursue additional indications or geographies for our drug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63"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As of September 30, 2017, we had cash, cash equivalents and investments of $390.7 million. Based on our current plans, we believe our existing cash, cash equivalents and investments, excluding any potential option fees and milestone payments under our existing collaboration with Roche, will be sufficient to enable us to fund our operating expenses and capital expenditure requirements into the second half of 2019. Our future capital requirements will depend on and could increase significantly as a result of many factors, including:</w:t>
      </w:r>
    </w:p>
    <w:p>
      <w:pPr>
        <w:spacing w:after="0" w:line="162" w:lineRule="exact"/>
        <w:rPr>
          <w:sz w:val="20"/>
          <w:szCs w:val="20"/>
          <w:color w:val="auto"/>
        </w:rPr>
      </w:pPr>
    </w:p>
    <w:p>
      <w:pPr>
        <w:ind w:left="1300" w:right="26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1"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our collaboration with Roche;</w:t>
      </w:r>
    </w:p>
    <w:p>
      <w:pPr>
        <w:spacing w:after="0" w:line="184" w:lineRule="exact"/>
        <w:rPr>
          <w:rFonts w:ascii="Arial" w:cs="Arial" w:eastAsia="Arial" w:hAnsi="Arial"/>
          <w:sz w:val="18"/>
          <w:szCs w:val="18"/>
          <w:color w:val="auto"/>
        </w:rPr>
      </w:pPr>
    </w:p>
    <w:p>
      <w:pPr>
        <w:ind w:left="1300" w:right="40" w:hanging="325"/>
        <w:spacing w:after="0" w:line="189" w:lineRule="exact"/>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companion diagnostic tests, including our companion diagnostic tests for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FGF19 signaling, BLU-285 in order to identify GIST patients with the PDGFRα D842V mutation and BLU-667 in order to identify NSCLC patients with RET fusions;</w:t>
      </w:r>
    </w:p>
    <w:p>
      <w:pPr>
        <w:spacing w:after="0" w:line="162"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84" w:lineRule="exact"/>
        <w:rPr>
          <w:rFonts w:ascii="Arial" w:cs="Arial" w:eastAsia="Arial" w:hAnsi="Arial"/>
          <w:sz w:val="18"/>
          <w:szCs w:val="18"/>
          <w:color w:val="auto"/>
        </w:rPr>
      </w:pPr>
    </w:p>
    <w:p>
      <w:pPr>
        <w:ind w:left="1300" w:right="160" w:hanging="325"/>
        <w:spacing w:after="0" w:line="289"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our collaboration agreement with Roche or any collaboration agreements that we may enter into in the future;</w:t>
      </w:r>
    </w:p>
    <w:p>
      <w:pPr>
        <w:spacing w:after="0" w:line="124" w:lineRule="exact"/>
        <w:rPr>
          <w:rFonts w:ascii="Arial" w:cs="Arial" w:eastAsia="Arial" w:hAnsi="Arial"/>
          <w:sz w:val="16"/>
          <w:szCs w:val="16"/>
          <w:color w:val="auto"/>
        </w:rPr>
      </w:pPr>
    </w:p>
    <w:p>
      <w:pPr>
        <w:ind w:left="1300" w:right="6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700" w:hanging="325"/>
        <w:spacing w:after="0" w:line="23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drug candidates.</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Identifying potential drug candidates and conducting pre-clinical development and testing and clinical trials is a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62"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6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62"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 with Roche, which is limited in scope and duration, and funds already borrowed under the loan and security agreement that we entered into with Silicon Valley Bank in May 2013.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4"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89" w:lineRule="exact"/>
        <w:rPr>
          <w:sz w:val="20"/>
          <w:szCs w:val="20"/>
          <w:color w:val="auto"/>
        </w:rPr>
      </w:pPr>
    </w:p>
    <w:p>
      <w:pPr>
        <w:ind w:right="80"/>
        <w:spacing w:after="0" w:line="187" w:lineRule="exact"/>
        <w:rPr>
          <w:sz w:val="20"/>
          <w:szCs w:val="20"/>
          <w:color w:val="auto"/>
        </w:rPr>
      </w:pPr>
      <w:r>
        <w:rPr>
          <w:rFonts w:ascii="Arial" w:cs="Arial" w:eastAsia="Arial" w:hAnsi="Arial"/>
          <w:sz w:val="16"/>
          <w:szCs w:val="16"/>
          <w:b w:val="1"/>
          <w:bCs w:val="1"/>
          <w:i w:val="1"/>
          <w:iCs w:val="1"/>
          <w:color w:val="auto"/>
        </w:rPr>
        <w:t>We are very early in our development efforts with only three drug candidates, BLU</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285, BLU</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554 and BLU</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667, in clinical development. All of our other drug candidates are currently in pre-clinical or earlier stages of development. If we are unable to advance our other drug candidates to clinical development, obtain regulatory approval for our lead drug candidates or other drug candidates and ultimately commercialize our lead drug candidates or other drug candidates, or experience significant delays in doing so, our business will be materially harmed.</w:t>
      </w:r>
    </w:p>
    <w:p>
      <w:pPr>
        <w:spacing w:after="0" w:line="162"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We are very early in our development efforts with only three drug candidates,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and BLU</w:t>
      </w:r>
      <w:r>
        <w:rPr>
          <w:rFonts w:ascii="MS PGothic" w:cs="MS PGothic" w:eastAsia="MS PGothic" w:hAnsi="MS PGothic"/>
          <w:sz w:val="16"/>
          <w:szCs w:val="16"/>
          <w:color w:val="auto"/>
        </w:rPr>
        <w:t>‑</w:t>
      </w:r>
      <w:r>
        <w:rPr>
          <w:rFonts w:ascii="Arial" w:cs="Arial" w:eastAsia="Arial" w:hAnsi="Arial"/>
          <w:sz w:val="16"/>
          <w:szCs w:val="16"/>
          <w:color w:val="auto"/>
        </w:rPr>
        <w:t>667, in clinical development. All of our other drug candidates are currently in pre-clinical or earlier stages of development. We have invested substantially all of our efforts and financial resources in the identification and pre-clinical development of kinase inhibitors, including the development of our lead drug candidates,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and BLU</w:t>
      </w:r>
      <w:r>
        <w:rPr>
          <w:rFonts w:ascii="MS PGothic" w:cs="MS PGothic" w:eastAsia="MS PGothic" w:hAnsi="MS PGothic"/>
          <w:sz w:val="16"/>
          <w:szCs w:val="16"/>
          <w:color w:val="auto"/>
        </w:rPr>
        <w:t>‑</w:t>
      </w:r>
      <w:r>
        <w:rPr>
          <w:rFonts w:ascii="Arial" w:cs="Arial" w:eastAsia="Arial" w:hAnsi="Arial"/>
          <w:sz w:val="16"/>
          <w:szCs w:val="16"/>
          <w:color w:val="auto"/>
        </w:rPr>
        <w:t>667.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for some of our drug candidates, in order to select patients most likely to respond to treatment and rapidly confirm mechanistic and clinical proof-of-concept, we may seek to develop companion diagnostic tests, which are assays or tests to identify an appropriate patient population. For example, we have entered into agreements with third parties to develop and commercialize companion diagnostics for BLU</w:t>
      </w:r>
      <w:r>
        <w:rPr>
          <w:rFonts w:ascii="MS PGothic" w:cs="MS PGothic" w:eastAsia="MS PGothic" w:hAnsi="MS PGothic"/>
          <w:sz w:val="16"/>
          <w:szCs w:val="16"/>
          <w:color w:val="auto"/>
        </w:rPr>
        <w:t>‑</w:t>
      </w:r>
      <w:r>
        <w:rPr>
          <w:rFonts w:ascii="Arial" w:cs="Arial" w:eastAsia="Arial" w:hAnsi="Arial"/>
          <w:sz w:val="16"/>
          <w:szCs w:val="16"/>
          <w:color w:val="auto"/>
        </w:rPr>
        <w:t>554 in order to identify HCC patients with FGF19 signaling, BLU-285 in order to identify GIST patients with the PDGFRα D842V mutation and BLU-667 in order to identify NSCLC patients with RET fusions. Companion diagnostic tests are subject to regulation as medical devices and must themselves be approved for marketing by the FDA or certain other foreign regulatory agencies before we may commercialize our drug candidates. The success of our lead drug candidates and other drug candidates will depend on several factors, including the following:</w:t>
      </w:r>
    </w:p>
    <w:p>
      <w:pPr>
        <w:spacing w:after="0" w:line="175" w:lineRule="exact"/>
        <w:rPr>
          <w:sz w:val="20"/>
          <w:szCs w:val="20"/>
          <w:color w:val="auto"/>
        </w:rPr>
      </w:pPr>
    </w:p>
    <w:p>
      <w:pPr>
        <w:ind w:left="1300" w:right="140" w:hanging="325"/>
        <w:spacing w:after="0" w:line="203" w:lineRule="exact"/>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including our current Phase 1 clinical trials for BLU</w:t>
      </w:r>
      <w:r>
        <w:rPr>
          <w:rFonts w:ascii="MS PGothic" w:cs="MS PGothic" w:eastAsia="MS PGothic" w:hAnsi="MS PGothic"/>
          <w:sz w:val="18"/>
          <w:szCs w:val="18"/>
          <w:color w:val="auto"/>
        </w:rPr>
        <w:t>‑</w:t>
      </w:r>
      <w:r>
        <w:rPr>
          <w:rFonts w:ascii="Arial" w:cs="Arial" w:eastAsia="Arial" w:hAnsi="Arial"/>
          <w:sz w:val="18"/>
          <w:szCs w:val="18"/>
          <w:color w:val="auto"/>
        </w:rPr>
        <w:t>285, BLU</w:t>
      </w:r>
      <w:r>
        <w:rPr>
          <w:rFonts w:ascii="MS PGothic" w:cs="MS PGothic" w:eastAsia="MS PGothic" w:hAnsi="MS PGothic"/>
          <w:sz w:val="18"/>
          <w:szCs w:val="18"/>
          <w:color w:val="auto"/>
        </w:rPr>
        <w:t>‑</w:t>
      </w:r>
      <w:r>
        <w:rPr>
          <w:rFonts w:ascii="Arial" w:cs="Arial" w:eastAsia="Arial" w:hAnsi="Arial"/>
          <w:sz w:val="18"/>
          <w:szCs w:val="18"/>
          <w:color w:val="auto"/>
        </w:rPr>
        <w:t>554 and BLU</w:t>
      </w:r>
      <w:r>
        <w:rPr>
          <w:rFonts w:ascii="MS PGothic" w:cs="MS PGothic" w:eastAsia="MS PGothic" w:hAnsi="MS PGothic"/>
          <w:sz w:val="18"/>
          <w:szCs w:val="18"/>
          <w:color w:val="auto"/>
        </w:rPr>
        <w:t>‑</w:t>
      </w:r>
      <w:r>
        <w:rPr>
          <w:rFonts w:ascii="Arial" w:cs="Arial" w:eastAsia="Arial" w:hAnsi="Arial"/>
          <w:sz w:val="18"/>
          <w:szCs w:val="18"/>
          <w:color w:val="auto"/>
        </w:rPr>
        <w:t>667;</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pre-clinical studies for our other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approval of Investigational New Drug applications for future clinical trials for our other drug candidates;</w:t>
      </w:r>
    </w:p>
    <w:p>
      <w:pPr>
        <w:spacing w:after="0" w:line="196" w:lineRule="exact"/>
        <w:rPr>
          <w:rFonts w:ascii="Arial" w:cs="Arial" w:eastAsia="Arial" w:hAnsi="Arial"/>
          <w:sz w:val="17"/>
          <w:szCs w:val="17"/>
          <w:color w:val="auto"/>
        </w:rPr>
      </w:pPr>
    </w:p>
    <w:p>
      <w:pPr>
        <w:ind w:left="1300" w:right="40" w:hanging="325"/>
        <w:spacing w:after="0" w:line="189" w:lineRule="exact"/>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development of any companion diagnostic tests for use with our drug candidates, including the development of a companion diagnostic test for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FGF19 signaling, BLU-285 in order to identify GIST patients with the PDGFRα D842V mutation and BLU-667 in order to identify NSCLC patients with RET fusions;</w:t>
      </w:r>
    </w:p>
    <w:p>
      <w:pPr>
        <w:spacing w:after="0" w:line="162"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8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 for clinical supply and commercial manufacturing;</w:t>
      </w:r>
    </w:p>
    <w:p>
      <w:pPr>
        <w:spacing w:after="0" w:line="161"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spacing w:after="0" w:line="161" w:lineRule="exact"/>
        <w:rPr>
          <w:rFonts w:ascii="Arial" w:cs="Arial" w:eastAsia="Arial" w:hAnsi="Arial"/>
          <w:sz w:val="18"/>
          <w:szCs w:val="18"/>
          <w:color w:val="auto"/>
        </w:rPr>
      </w:pPr>
    </w:p>
    <w:p>
      <w:pPr>
        <w:ind w:left="1300" w:right="960" w:hanging="325"/>
        <w:spacing w:after="0" w:line="23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61" w:lineRule="exact"/>
        <w:rPr>
          <w:rFonts w:ascii="Arial" w:cs="Arial" w:eastAsia="Arial" w:hAnsi="Arial"/>
          <w:sz w:val="18"/>
          <w:szCs w:val="18"/>
          <w:color w:val="auto"/>
        </w:rPr>
      </w:pPr>
    </w:p>
    <w:p>
      <w:pPr>
        <w:ind w:left="1300" w:right="260" w:hanging="325"/>
        <w:spacing w:after="0" w:line="23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approval.</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6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62" w:lineRule="exact"/>
        <w:rPr>
          <w:sz w:val="20"/>
          <w:szCs w:val="20"/>
          <w:color w:val="auto"/>
        </w:rPr>
      </w:pPr>
    </w:p>
    <w:p>
      <w:pPr>
        <w:jc w:val="both"/>
        <w:ind w:right="80" w:firstLine="648"/>
        <w:spacing w:after="0" w:line="226"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6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63"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Each of our lead drug candidates,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and BLU</w:t>
      </w:r>
      <w:r>
        <w:rPr>
          <w:rFonts w:ascii="MS PGothic" w:cs="MS PGothic" w:eastAsia="MS PGothic" w:hAnsi="MS PGothic"/>
          <w:sz w:val="16"/>
          <w:szCs w:val="16"/>
          <w:color w:val="auto"/>
        </w:rPr>
        <w:t>‑</w:t>
      </w:r>
      <w:r>
        <w:rPr>
          <w:rFonts w:ascii="Arial" w:cs="Arial" w:eastAsia="Arial" w:hAnsi="Arial"/>
          <w:sz w:val="16"/>
          <w:szCs w:val="16"/>
          <w:color w:val="auto"/>
        </w:rPr>
        <w:t>667, is in clinical development, and all of our other drug candidates are in pre-clinical development. The risk of failure for our lead drug candidates and other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Our pre-clinical studies, current Phase 1 clinical trials and future clinical trials may not be successful.</w:t>
      </w:r>
    </w:p>
    <w:p>
      <w:pPr>
        <w:spacing w:after="0" w:line="157" w:lineRule="exact"/>
        <w:rPr>
          <w:sz w:val="20"/>
          <w:szCs w:val="20"/>
          <w:color w:val="auto"/>
        </w:rPr>
      </w:pPr>
    </w:p>
    <w:p>
      <w:pPr>
        <w:ind w:right="60" w:firstLine="648"/>
        <w:spacing w:after="0" w:line="189" w:lineRule="exact"/>
        <w:rPr>
          <w:sz w:val="20"/>
          <w:szCs w:val="20"/>
          <w:color w:val="auto"/>
        </w:rPr>
      </w:pPr>
      <w:r>
        <w:rPr>
          <w:rFonts w:ascii="Arial" w:cs="Arial" w:eastAsia="Arial" w:hAnsi="Arial"/>
          <w:sz w:val="18"/>
          <w:szCs w:val="18"/>
          <w:color w:val="auto"/>
        </w:rPr>
        <w:t>We are currently evaluating BLU</w:t>
      </w:r>
      <w:r>
        <w:rPr>
          <w:rFonts w:ascii="MS PGothic" w:cs="MS PGothic" w:eastAsia="MS PGothic" w:hAnsi="MS PGothic"/>
          <w:sz w:val="18"/>
          <w:szCs w:val="18"/>
          <w:color w:val="auto"/>
        </w:rPr>
        <w:t>‑</w:t>
      </w:r>
      <w:r>
        <w:rPr>
          <w:rFonts w:ascii="Arial" w:cs="Arial" w:eastAsia="Arial" w:hAnsi="Arial"/>
          <w:sz w:val="18"/>
          <w:szCs w:val="18"/>
          <w:color w:val="auto"/>
        </w:rPr>
        <w:t>285 in an ongoing Phase 1 clinical trial for defined subsets of patients with GIST, BLU-285 in an ongoing Phase 1 clinical trial for advanced SM, BLU</w:t>
      </w:r>
      <w:r>
        <w:rPr>
          <w:rFonts w:ascii="MS PGothic" w:cs="MS PGothic" w:eastAsia="MS PGothic" w:hAnsi="MS PGothic"/>
          <w:sz w:val="18"/>
          <w:szCs w:val="18"/>
          <w:color w:val="auto"/>
        </w:rPr>
        <w:t>‑</w:t>
      </w:r>
      <w:r>
        <w:rPr>
          <w:rFonts w:ascii="Arial" w:cs="Arial" w:eastAsia="Arial" w:hAnsi="Arial"/>
          <w:sz w:val="18"/>
          <w:szCs w:val="18"/>
          <w:color w:val="auto"/>
        </w:rPr>
        <w:t>554 in an ongoing Phase 1 clinical trial in patients with advanced HCC and BLU-667 in an ongoing Phase 1 clinical trial in patients with NSCLC, MTC and other advanced solid tumors.</w:t>
      </w:r>
    </w:p>
    <w:p>
      <w:pPr>
        <w:spacing w:after="0" w:line="163"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8"/>
          <w:szCs w:val="18"/>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BLU</w:t>
      </w:r>
      <w:r>
        <w:rPr>
          <w:rFonts w:ascii="MS PGothic" w:cs="MS PGothic" w:eastAsia="MS PGothic" w:hAnsi="MS PGothic"/>
          <w:sz w:val="18"/>
          <w:szCs w:val="18"/>
          <w:color w:val="auto"/>
        </w:rPr>
        <w:t>‑</w:t>
      </w:r>
      <w:r>
        <w:rPr>
          <w:rFonts w:ascii="Arial" w:cs="Arial" w:eastAsia="Arial" w:hAnsi="Arial"/>
          <w:sz w:val="18"/>
          <w:szCs w:val="18"/>
          <w:color w:val="auto"/>
        </w:rPr>
        <w:t>285, BLU</w:t>
      </w:r>
      <w:r>
        <w:rPr>
          <w:rFonts w:ascii="MS PGothic" w:cs="MS PGothic" w:eastAsia="MS PGothic" w:hAnsi="MS PGothic"/>
          <w:sz w:val="18"/>
          <w:szCs w:val="18"/>
          <w:color w:val="auto"/>
        </w:rPr>
        <w:t>‑</w:t>
      </w:r>
      <w:r>
        <w:rPr>
          <w:rFonts w:ascii="Arial" w:cs="Arial" w:eastAsia="Arial" w:hAnsi="Arial"/>
          <w:sz w:val="18"/>
          <w:szCs w:val="18"/>
          <w:color w:val="auto"/>
        </w:rPr>
        <w:t>554, BLU</w:t>
      </w:r>
      <w:r>
        <w:rPr>
          <w:rFonts w:ascii="MS PGothic" w:cs="MS PGothic" w:eastAsia="MS PGothic" w:hAnsi="MS PGothic"/>
          <w:sz w:val="18"/>
          <w:szCs w:val="18"/>
          <w:color w:val="auto"/>
        </w:rPr>
        <w:t>‑</w:t>
      </w:r>
      <w:r>
        <w:rPr>
          <w:rFonts w:ascii="Arial" w:cs="Arial" w:eastAsia="Arial" w:hAnsi="Arial"/>
          <w:sz w:val="18"/>
          <w:szCs w:val="18"/>
          <w:color w:val="auto"/>
        </w:rPr>
        <w:t>667 and our other drug candidates. We do not know whether any of our clinical trials for our lead drug candidates will be completed on schedule, if at all.</w:t>
      </w:r>
    </w:p>
    <w:p>
      <w:pPr>
        <w:spacing w:after="0" w:line="135" w:lineRule="exact"/>
        <w:rPr>
          <w:sz w:val="20"/>
          <w:szCs w:val="20"/>
          <w:color w:val="auto"/>
        </w:rPr>
      </w:pPr>
    </w:p>
    <w:p>
      <w:pPr>
        <w:ind w:right="120" w:firstLine="648"/>
        <w:spacing w:after="0" w:line="258" w:lineRule="auto"/>
        <w:rPr>
          <w:sz w:val="20"/>
          <w:szCs w:val="20"/>
          <w:color w:val="auto"/>
        </w:rPr>
      </w:pPr>
      <w:r>
        <w:rPr>
          <w:rFonts w:ascii="Arial" w:cs="Arial" w:eastAsia="Arial" w:hAnsi="Arial"/>
          <w:sz w:val="17"/>
          <w:szCs w:val="17"/>
          <w:color w:val="auto"/>
        </w:rPr>
        <w:t>We may experience delays in completing our pre-clinical studies and initiating or completing clinical trials, and we may experience numerous unforeseen events during, or as a result of, any current or future clinical trials that we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could conduct that could delay or prevent our ability to receive marketing approval or commercialize our drug candidates, including:</w:t>
      </w:r>
    </w:p>
    <w:p>
      <w:pPr>
        <w:spacing w:after="0" w:line="148" w:lineRule="exact"/>
        <w:rPr>
          <w:sz w:val="20"/>
          <w:szCs w:val="20"/>
          <w:color w:val="auto"/>
        </w:rPr>
      </w:pPr>
    </w:p>
    <w:p>
      <w:pPr>
        <w:ind w:left="1300" w:right="620" w:hanging="325"/>
        <w:spacing w:after="0" w:line="25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33" w:lineRule="exact"/>
        <w:rPr>
          <w:rFonts w:ascii="Arial" w:cs="Arial" w:eastAsia="Arial" w:hAnsi="Arial"/>
          <w:sz w:val="17"/>
          <w:szCs w:val="17"/>
          <w:color w:val="auto"/>
        </w:rPr>
      </w:pPr>
    </w:p>
    <w:p>
      <w:pPr>
        <w:ind w:left="1300" w:right="240" w:hanging="325"/>
        <w:spacing w:after="0" w:line="259"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33" w:lineRule="exact"/>
        <w:rPr>
          <w:rFonts w:ascii="Arial" w:cs="Arial" w:eastAsia="Arial" w:hAnsi="Arial"/>
          <w:sz w:val="16"/>
          <w:szCs w:val="16"/>
          <w:color w:val="auto"/>
        </w:rPr>
      </w:pPr>
    </w:p>
    <w:p>
      <w:pPr>
        <w:ind w:left="1300" w:right="160" w:hanging="325"/>
        <w:spacing w:after="0" w:line="22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49" w:lineRule="exact"/>
        <w:rPr>
          <w:rFonts w:ascii="Arial" w:cs="Arial" w:eastAsia="Arial" w:hAnsi="Arial"/>
          <w:sz w:val="18"/>
          <w:szCs w:val="18"/>
          <w:color w:val="auto"/>
        </w:rPr>
      </w:pPr>
    </w:p>
    <w:p>
      <w:pPr>
        <w:ind w:left="1300" w:right="180" w:hanging="325"/>
        <w:spacing w:after="0" w:line="259"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33" w:lineRule="exact"/>
        <w:rPr>
          <w:rFonts w:ascii="Arial" w:cs="Arial" w:eastAsia="Arial" w:hAnsi="Arial"/>
          <w:sz w:val="16"/>
          <w:szCs w:val="16"/>
          <w:color w:val="auto"/>
        </w:rPr>
      </w:pPr>
    </w:p>
    <w:p>
      <w:pPr>
        <w:ind w:left="1300" w:right="120" w:hanging="325"/>
        <w:spacing w:after="0" w:line="23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47" w:lineRule="exact"/>
        <w:rPr>
          <w:rFonts w:ascii="Arial" w:cs="Arial" w:eastAsia="Arial" w:hAnsi="Arial"/>
          <w:sz w:val="17"/>
          <w:szCs w:val="17"/>
          <w:color w:val="auto"/>
        </w:rPr>
      </w:pPr>
    </w:p>
    <w:p>
      <w:pPr>
        <w:jc w:val="both"/>
        <w:ind w:left="1300" w:right="560" w:hanging="325"/>
        <w:spacing w:after="0" w:line="259"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33" w:lineRule="exact"/>
        <w:rPr>
          <w:rFonts w:ascii="Arial" w:cs="Arial" w:eastAsia="Arial" w:hAnsi="Arial"/>
          <w:sz w:val="16"/>
          <w:szCs w:val="16"/>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171"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48" w:lineRule="exact"/>
        <w:rPr>
          <w:rFonts w:ascii="Arial" w:cs="Arial" w:eastAsia="Arial" w:hAnsi="Arial"/>
          <w:sz w:val="18"/>
          <w:szCs w:val="18"/>
          <w:color w:val="auto"/>
        </w:rPr>
      </w:pPr>
    </w:p>
    <w:p>
      <w:pPr>
        <w:ind w:left="1300" w:hanging="325"/>
        <w:spacing w:after="0" w:line="21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49" w:lineRule="exact"/>
        <w:rPr>
          <w:rFonts w:ascii="Arial" w:cs="Arial" w:eastAsia="Arial" w:hAnsi="Arial"/>
          <w:sz w:val="18"/>
          <w:szCs w:val="18"/>
          <w:color w:val="auto"/>
        </w:rPr>
      </w:pPr>
    </w:p>
    <w:p>
      <w:pPr>
        <w:ind w:left="1300" w:right="820" w:hanging="325"/>
        <w:spacing w:after="0" w:line="23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48"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34" w:lineRule="exact"/>
        <w:rPr>
          <w:sz w:val="20"/>
          <w:szCs w:val="20"/>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171"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38"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b w:val="1"/>
          <w:bCs w:val="1"/>
          <w:i w:val="1"/>
          <w:iCs w:val="1"/>
          <w:color w:val="auto"/>
        </w:rPr>
        <w:t>We may choose not to develop a potential drug candidate, or we may suspend, deprioritize or terminate one or more discovery programs or pre-clinical drug candidates or programs.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drug candidates or programs. For example, we have previously determined to suspend our discovery program for inhibitors of neurotrophic tyrosine receptor kinase, or NTRK, and predicted NTRK resistant mutants, and we recently determined to deprioritize our discovery program targeting protein kinase cAMP-activated catalytic subunit alpha fusions for the treatment of fibrolamellar carcinoma.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49"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85" w:lineRule="exact"/>
        <w:rPr>
          <w:sz w:val="20"/>
          <w:szCs w:val="20"/>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spacing w:after="0" w:line="284" w:lineRule="auto"/>
        <w:rPr>
          <w:sz w:val="20"/>
          <w:szCs w:val="20"/>
          <w:color w:val="auto"/>
        </w:rPr>
      </w:pPr>
      <w:r>
        <w:rPr>
          <w:rFonts w:ascii="Arial" w:cs="Arial" w:eastAsia="Arial" w:hAnsi="Arial"/>
          <w:sz w:val="15"/>
          <w:szCs w:val="15"/>
          <w:b w:val="1"/>
          <w:bCs w:val="1"/>
          <w:i w:val="1"/>
          <w:iCs w:val="1"/>
          <w:color w:val="auto"/>
        </w:rPr>
        <w:t>Because the target patient populations for our drug candidates are relatively small, it may be difficult to successfully identify patients, which may lead to delays in enrollment for our trials. If the market opportunities for our drug candidates are smaller than we believe they are, our product revenues may be adversely affected and our business may suffer.</w:t>
      </w:r>
    </w:p>
    <w:p>
      <w:pPr>
        <w:spacing w:after="0" w:line="130" w:lineRule="exact"/>
        <w:rPr>
          <w:sz w:val="20"/>
          <w:szCs w:val="20"/>
          <w:color w:val="auto"/>
        </w:rPr>
      </w:pPr>
    </w:p>
    <w:p>
      <w:pPr>
        <w:ind w:right="20" w:firstLine="648"/>
        <w:spacing w:after="0" w:line="178" w:lineRule="exact"/>
        <w:rPr>
          <w:sz w:val="20"/>
          <w:szCs w:val="20"/>
          <w:color w:val="auto"/>
        </w:rPr>
      </w:pPr>
      <w:r>
        <w:rPr>
          <w:rFonts w:ascii="Arial" w:cs="Arial" w:eastAsia="Arial" w:hAnsi="Arial"/>
          <w:sz w:val="17"/>
          <w:szCs w:val="17"/>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it may be difficult to successfully identify patients. We have entered into agreements with third parties to develop a companion diagnostic test for BLU</w:t>
      </w:r>
      <w:r>
        <w:rPr>
          <w:rFonts w:ascii="MS PGothic" w:cs="MS PGothic" w:eastAsia="MS PGothic" w:hAnsi="MS PGothic"/>
          <w:sz w:val="17"/>
          <w:szCs w:val="17"/>
          <w:color w:val="auto"/>
        </w:rPr>
        <w:t>‑</w:t>
      </w:r>
      <w:r>
        <w:rPr>
          <w:rFonts w:ascii="Arial" w:cs="Arial" w:eastAsia="Arial" w:hAnsi="Arial"/>
          <w:sz w:val="17"/>
          <w:szCs w:val="17"/>
          <w:color w:val="auto"/>
        </w:rPr>
        <w:t>554 in order to identify HCC patients with FGF19 signaling, BLU-285 in order to identify GIST patients with the PDGFRα D842V mutation and BLU-667 in order to identify NSCLC patients with RET fusions. We may engage third parties to develop companion diagnostic tests for use in some of our other current or future clinical trials. However, third parties may not be successful in developing such companion diagnostic tests, furthering the difficulty in identifying patients for our clinical trials. 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drug candidates or patients may become increasingly difficult to identify and access, all of which would adversely affect our business, prospects and ability to achieve or sustain profitability.</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our drug candidates, and our ability to generate revenue will be materially impaired.</w:t>
      </w:r>
    </w:p>
    <w:p>
      <w:pPr>
        <w:spacing w:after="0" w:line="147"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Our drug candidates and any related companion diagnostic tests, including the companion diagnostic tests that we are developing for BLU</w:t>
      </w:r>
      <w:r>
        <w:rPr>
          <w:rFonts w:ascii="MS PGothic" w:cs="MS PGothic" w:eastAsia="MS PGothic" w:hAnsi="MS PGothic"/>
          <w:sz w:val="17"/>
          <w:szCs w:val="17"/>
          <w:color w:val="auto"/>
        </w:rPr>
        <w:t>‑</w:t>
      </w:r>
      <w:r>
        <w:rPr>
          <w:rFonts w:ascii="Arial" w:cs="Arial" w:eastAsia="Arial" w:hAnsi="Arial"/>
          <w:sz w:val="17"/>
          <w:szCs w:val="17"/>
          <w:color w:val="auto"/>
        </w:rPr>
        <w:t>554 in order to identify HCC patients with FGF19 signaling, BLU-285 in order to identify GIST patients with the PDGFRα D842V mutation and BLU-667 in order to identify NSCLC patients with RET fusions,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any related companion diagnostic tests, including the companion diagnostic tests that we are developing for BLU-554, BLU</w:t>
      </w:r>
      <w:r>
        <w:rPr>
          <w:rFonts w:ascii="MS PGothic" w:cs="MS PGothic" w:eastAsia="MS PGothic" w:hAnsi="MS PGothic"/>
          <w:sz w:val="17"/>
          <w:szCs w:val="17"/>
          <w:color w:val="auto"/>
        </w:rPr>
        <w:t>‑</w:t>
      </w:r>
      <w:r>
        <w:rPr>
          <w:rFonts w:ascii="Arial" w:cs="Arial" w:eastAsia="Arial" w:hAnsi="Arial"/>
          <w:sz w:val="17"/>
          <w:szCs w:val="17"/>
          <w:color w:val="auto"/>
        </w:rPr>
        <w:t>285 and BLU-667. We have not received approval to market any of our drug candidates or related companion diagnostic tests from regulatory authorities in any jurisdiction, and it is possible that none of our current or future drug candidates or related companion diagnostic tests will ever obtain regulatory approval. We have only limited experience in filing and supporting the applications necessary to gain regulatory approvals and expect to rely on third-party CROs and/or regulatory consultants to assist us in this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1" w:lineRule="exact"/>
        <w:rPr>
          <w:sz w:val="20"/>
          <w:szCs w:val="20"/>
          <w:color w:val="auto"/>
        </w:rPr>
      </w:pPr>
    </w:p>
    <w:p>
      <w:pPr>
        <w:ind w:right="20" w:firstLine="648"/>
        <w:spacing w:after="0" w:line="181" w:lineRule="exact"/>
        <w:rPr>
          <w:sz w:val="20"/>
          <w:szCs w:val="20"/>
          <w:color w:val="auto"/>
        </w:rPr>
      </w:pPr>
      <w:r>
        <w:rPr>
          <w:rFonts w:ascii="Arial" w:cs="Arial" w:eastAsia="Arial" w:hAnsi="Arial"/>
          <w:sz w:val="18"/>
          <w:szCs w:val="18"/>
          <w:color w:val="auto"/>
        </w:rPr>
        <w:t>The process of obtaining regulatory approvals, if approval is obtained at all, both in the United States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8"/>
          <w:szCs w:val="18"/>
          <w:color w:val="auto"/>
        </w:rPr>
        <w:t>‑</w:t>
      </w:r>
      <w:r>
        <w:rPr>
          <w:rFonts w:ascii="Arial" w:cs="Arial" w:eastAsia="Arial" w:hAnsi="Arial"/>
          <w:sz w:val="18"/>
          <w:szCs w:val="18"/>
          <w:color w:val="auto"/>
        </w:rPr>
        <w:t>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69" w:lineRule="exact"/>
        <w:rPr>
          <w:sz w:val="20"/>
          <w:szCs w:val="20"/>
          <w:color w:val="auto"/>
        </w:rPr>
      </w:pPr>
    </w:p>
    <w:p>
      <w:pPr>
        <w:ind w:left="1300" w:right="200" w:hanging="325"/>
        <w:spacing w:after="0" w:line="235"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61" w:lineRule="exact"/>
        <w:rPr>
          <w:rFonts w:ascii="Arial" w:cs="Arial" w:eastAsia="Arial" w:hAnsi="Arial"/>
          <w:sz w:val="18"/>
          <w:szCs w:val="18"/>
          <w:color w:val="auto"/>
        </w:rPr>
      </w:pPr>
    </w:p>
    <w:p>
      <w:pPr>
        <w:ind w:left="1300" w:right="340" w:hanging="325"/>
        <w:spacing w:after="0" w:line="22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63"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Arial" w:cs="Arial" w:eastAsia="Arial" w:hAnsi="Arial"/>
          <w:sz w:val="18"/>
          <w:szCs w:val="18"/>
          <w:color w:val="auto"/>
        </w:rPr>
      </w:pPr>
    </w:p>
    <w:p>
      <w:pPr>
        <w:ind w:left="1300" w:right="360" w:hanging="325"/>
        <w:spacing w:after="0" w:line="235"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61"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61" w:lineRule="exact"/>
        <w:rPr>
          <w:rFonts w:ascii="Arial" w:cs="Arial" w:eastAsia="Arial" w:hAnsi="Arial"/>
          <w:sz w:val="18"/>
          <w:szCs w:val="18"/>
          <w:color w:val="auto"/>
        </w:rPr>
      </w:pPr>
    </w:p>
    <w:p>
      <w:pPr>
        <w:ind w:left="1300" w:right="20" w:hanging="325"/>
        <w:spacing w:after="0" w:line="289"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United States or elsewhere;</w:t>
      </w:r>
    </w:p>
    <w:p>
      <w:pPr>
        <w:spacing w:after="0" w:line="124" w:lineRule="exact"/>
        <w:rPr>
          <w:rFonts w:ascii="Arial" w:cs="Arial" w:eastAsia="Arial" w:hAnsi="Arial"/>
          <w:sz w:val="16"/>
          <w:szCs w:val="16"/>
          <w:color w:val="auto"/>
        </w:rPr>
      </w:pPr>
    </w:p>
    <w:p>
      <w:pPr>
        <w:ind w:left="1300" w:right="160" w:hanging="325"/>
        <w:spacing w:after="0" w:line="289"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24" w:lineRule="exact"/>
        <w:rPr>
          <w:rFonts w:ascii="Arial" w:cs="Arial" w:eastAsia="Arial" w:hAnsi="Arial"/>
          <w:sz w:val="16"/>
          <w:szCs w:val="16"/>
          <w:color w:val="auto"/>
        </w:rPr>
      </w:pPr>
    </w:p>
    <w:p>
      <w:pPr>
        <w:ind w:left="1300" w:right="760" w:hanging="325"/>
        <w:spacing w:after="0" w:line="25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7"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62" w:lineRule="exact"/>
        <w:rPr>
          <w:sz w:val="20"/>
          <w:szCs w:val="20"/>
          <w:color w:val="auto"/>
        </w:rPr>
      </w:pPr>
    </w:p>
    <w:p>
      <w:pPr>
        <w:jc w:val="both"/>
        <w:ind w:right="360" w:firstLine="648"/>
        <w:spacing w:after="0" w:line="224"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and related companion diagnostic tests, the commercial prospects for our drug candidates may be harmed and our ability to generate revenues will be materially impaired.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63"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8"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Further, our drug candidates could cause undesirable side effects in clinical trials related to on</w:t>
      </w:r>
      <w:r>
        <w:rPr>
          <w:rFonts w:ascii="MS PGothic" w:cs="MS PGothic" w:eastAsia="MS PGothic" w:hAnsi="MS PGothic"/>
          <w:sz w:val="16"/>
          <w:szCs w:val="16"/>
          <w:color w:val="auto"/>
        </w:rPr>
        <w:t>‑</w:t>
      </w:r>
      <w:r>
        <w:rPr>
          <w:rFonts w:ascii="Arial" w:cs="Arial" w:eastAsia="Arial" w:hAnsi="Arial"/>
          <w:sz w:val="16"/>
          <w:szCs w:val="16"/>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6"/>
          <w:szCs w:val="16"/>
          <w:color w:val="auto"/>
        </w:rPr>
        <w:t>‑</w:t>
      </w:r>
      <w:r>
        <w:rPr>
          <w:rFonts w:ascii="Arial" w:cs="Arial" w:eastAsia="Arial" w:hAnsi="Arial"/>
          <w:sz w:val="16"/>
          <w:szCs w:val="16"/>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Many compounds that initially showed promise in early stage testing for treating cancer have later been found to cause side effects that prevented further development of the compound.</w:t>
      </w:r>
    </w:p>
    <w:p>
      <w:pPr>
        <w:spacing w:after="0" w:line="16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61" w:lineRule="exact"/>
        <w:rPr>
          <w:sz w:val="20"/>
          <w:szCs w:val="20"/>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184" w:lineRule="exact"/>
        <w:rPr>
          <w:rFonts w:ascii="Arial" w:cs="Arial" w:eastAsia="Arial" w:hAnsi="Arial"/>
          <w:sz w:val="18"/>
          <w:szCs w:val="18"/>
          <w:color w:val="auto"/>
        </w:rPr>
      </w:pPr>
    </w:p>
    <w:p>
      <w:pPr>
        <w:ind w:left="1300" w:right="420" w:hanging="325"/>
        <w:spacing w:after="0" w:line="23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61" w:lineRule="exact"/>
        <w:rPr>
          <w:rFonts w:ascii="Arial" w:cs="Arial" w:eastAsia="Arial" w:hAnsi="Arial"/>
          <w:sz w:val="18"/>
          <w:szCs w:val="18"/>
          <w:color w:val="auto"/>
        </w:rPr>
      </w:pPr>
    </w:p>
    <w:p>
      <w:pPr>
        <w:ind w:left="1300" w:right="160" w:hanging="325"/>
        <w:spacing w:after="0" w:line="23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61" w:lineRule="exact"/>
        <w:rPr>
          <w:rFonts w:ascii="Arial" w:cs="Arial" w:eastAsia="Arial" w:hAnsi="Arial"/>
          <w:sz w:val="18"/>
          <w:szCs w:val="18"/>
          <w:color w:val="auto"/>
        </w:rPr>
      </w:pPr>
    </w:p>
    <w:p>
      <w:pPr>
        <w:ind w:left="1300" w:right="500" w:hanging="325"/>
        <w:spacing w:after="0" w:line="258"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be required to change the way such drug candidates are distributed or administered, conduct additional clinical trials or change the labeling of the drug candidates;</w:t>
      </w:r>
    </w:p>
    <w:p>
      <w:pPr>
        <w:spacing w:after="0" w:line="146" w:lineRule="exact"/>
        <w:rPr>
          <w:rFonts w:ascii="Arial" w:cs="Arial" w:eastAsia="Arial" w:hAnsi="Arial"/>
          <w:sz w:val="17"/>
          <w:szCs w:val="17"/>
          <w:color w:val="auto"/>
        </w:rPr>
      </w:pPr>
    </w:p>
    <w:p>
      <w:pPr>
        <w:jc w:val="both"/>
        <w:ind w:left="1300" w:right="180" w:hanging="325"/>
        <w:spacing w:after="0" w:line="259"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7" w:lineRule="exact"/>
        <w:rPr>
          <w:rFonts w:ascii="Arial" w:cs="Arial" w:eastAsia="Arial" w:hAnsi="Arial"/>
          <w:sz w:val="16"/>
          <w:szCs w:val="16"/>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184" w:lineRule="exact"/>
        <w:rPr>
          <w:rFonts w:ascii="Arial" w:cs="Arial" w:eastAsia="Arial" w:hAnsi="Arial"/>
          <w:sz w:val="18"/>
          <w:szCs w:val="18"/>
          <w:color w:val="auto"/>
        </w:rPr>
      </w:pPr>
    </w:p>
    <w:p>
      <w:pPr>
        <w:ind w:left="1300" w:right="80" w:hanging="325"/>
        <w:spacing w:after="0" w:line="23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47" w:lineRule="exact"/>
        <w:rPr>
          <w:sz w:val="20"/>
          <w:szCs w:val="20"/>
          <w:color w:val="auto"/>
        </w:rPr>
      </w:pPr>
    </w:p>
    <w:p>
      <w:pPr>
        <w:spacing w:after="0" w:line="219"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including BLU-285 for the treatment of patients with unresectable or metastatic GIST harboring the PDGFRα D842V mutation, may not lead to a faster development or regulatory review or approval process, and it does not increase the likelihood that our drug candidates will receive marketing approval.</w:t>
      </w:r>
    </w:p>
    <w:p>
      <w:pPr>
        <w:spacing w:after="0" w:line="163"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6"/>
          <w:szCs w:val="16"/>
          <w:color w:val="auto"/>
        </w:rPr>
        <w:t>In June 2017, the FDA granted breakthrough therapy designation to BLU-285 for the treatment of patients with unresectable or metastatic GIST harboring the PDGFRα D842V mutation. We may also seek breakthrough therapy designation for some of our other drug candidates.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6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In October 2016, the FDA granted fast track designation to BLU</w:t>
      </w:r>
      <w:r>
        <w:rPr>
          <w:rFonts w:ascii="MS PGothic" w:cs="MS PGothic" w:eastAsia="MS PGothic" w:hAnsi="MS PGothic"/>
          <w:sz w:val="16"/>
          <w:szCs w:val="16"/>
          <w:color w:val="auto"/>
        </w:rPr>
        <w:t>‑</w:t>
      </w:r>
      <w:r>
        <w:rPr>
          <w:rFonts w:ascii="Arial" w:cs="Arial" w:eastAsia="Arial" w:hAnsi="Arial"/>
          <w:sz w:val="16"/>
          <w:szCs w:val="16"/>
          <w:color w:val="auto"/>
        </w:rPr>
        <w:t>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may also seek fast track designation for some of our other drug candidates. If a drug is intended for the treatment of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 we have received fast track designation for BLU</w:t>
      </w:r>
      <w:r>
        <w:rPr>
          <w:rFonts w:ascii="MS PGothic" w:cs="MS PGothic" w:eastAsia="MS PGothic" w:hAnsi="MS PGothic"/>
          <w:sz w:val="16"/>
          <w:szCs w:val="16"/>
          <w:color w:val="auto"/>
        </w:rPr>
        <w:t>‑</w:t>
      </w:r>
      <w:r>
        <w:rPr>
          <w:rFonts w:ascii="Arial" w:cs="Arial" w:eastAsia="Arial" w:hAnsi="Arial"/>
          <w:sz w:val="16"/>
          <w:szCs w:val="16"/>
          <w:color w:val="auto"/>
        </w:rPr>
        <w:t>285 for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or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66" w:lineRule="exact"/>
        <w:rPr>
          <w:sz w:val="20"/>
          <w:szCs w:val="20"/>
          <w:color w:val="auto"/>
        </w:rPr>
      </w:pPr>
    </w:p>
    <w:p>
      <w:pPr>
        <w:ind w:right="160"/>
        <w:spacing w:after="0" w:line="189" w:lineRule="exact"/>
        <w:rPr>
          <w:sz w:val="20"/>
          <w:szCs w:val="20"/>
          <w:color w:val="auto"/>
        </w:rPr>
      </w:pPr>
      <w:r>
        <w:rPr>
          <w:rFonts w:ascii="Arial" w:cs="Arial" w:eastAsia="Arial" w:hAnsi="Arial"/>
          <w:sz w:val="18"/>
          <w:szCs w:val="18"/>
          <w:b w:val="1"/>
          <w:bCs w:val="1"/>
          <w:i w:val="1"/>
          <w:iCs w:val="1"/>
          <w:color w:val="auto"/>
        </w:rPr>
        <w:t>While we have received orphan drug designation for two of our lead drug candidates, 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285 and 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554,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63" w:lineRule="exact"/>
        <w:rPr>
          <w:sz w:val="20"/>
          <w:szCs w:val="20"/>
          <w:color w:val="auto"/>
        </w:rPr>
      </w:pPr>
    </w:p>
    <w:p>
      <w:pPr>
        <w:ind w:right="20" w:firstLine="648"/>
        <w:spacing w:after="0" w:line="187" w:lineRule="exact"/>
        <w:rPr>
          <w:sz w:val="20"/>
          <w:szCs w:val="20"/>
          <w:color w:val="auto"/>
        </w:rPr>
      </w:pPr>
      <w:r>
        <w:rPr>
          <w:rFonts w:ascii="Arial" w:cs="Arial" w:eastAsia="Arial" w:hAnsi="Arial"/>
          <w:sz w:val="17"/>
          <w:szCs w:val="17"/>
          <w:color w:val="auto"/>
        </w:rPr>
        <w:t>In September 2015, the FDA granted orphan drug designation to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HCC, and in January 2016, the FDA granted orphan drug designation to BLU</w:t>
      </w:r>
      <w:r>
        <w:rPr>
          <w:rFonts w:ascii="MS PGothic" w:cs="MS PGothic" w:eastAsia="MS PGothic" w:hAnsi="MS PGothic"/>
          <w:sz w:val="17"/>
          <w:szCs w:val="17"/>
          <w:color w:val="auto"/>
        </w:rPr>
        <w:t>‑</w:t>
      </w:r>
      <w:r>
        <w:rPr>
          <w:rFonts w:ascii="Arial" w:cs="Arial" w:eastAsia="Arial" w:hAnsi="Arial"/>
          <w:sz w:val="17"/>
          <w:szCs w:val="17"/>
          <w:color w:val="auto"/>
        </w:rPr>
        <w:t>285 for the treatment of GIST and SM. In addition, in July 2017, the European Medicines Agency granted orphan drug designation to BLU-285 for the treatment of GIST. As part of our business strategy, we may seek orphan drug designation for some of our other drug candidates, and we may be unsuccessful. Regulatory authorities in some jurisdictions, including the United States and the European Union, may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85" w:lineRule="exact"/>
        <w:rPr>
          <w:sz w:val="20"/>
          <w:szCs w:val="20"/>
          <w:color w:val="auto"/>
        </w:rPr>
      </w:pPr>
      <w:r>
        <w:rPr>
          <w:rFonts w:ascii="Arial" w:cs="Arial" w:eastAsia="Arial" w:hAnsi="Arial"/>
          <w:sz w:val="17"/>
          <w:szCs w:val="17"/>
          <w:color w:val="auto"/>
        </w:rPr>
        <w:t>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7"/>
          <w:szCs w:val="17"/>
          <w:color w:val="auto"/>
        </w:rPr>
        <w:t>‑</w:t>
      </w:r>
      <w:r>
        <w:rPr>
          <w:rFonts w:ascii="Arial" w:cs="Arial" w:eastAsia="Arial" w:hAnsi="Arial"/>
          <w:sz w:val="17"/>
          <w:szCs w:val="17"/>
          <w:color w:val="auto"/>
        </w:rPr>
        <w:t>fee waivers.</w:t>
      </w:r>
    </w:p>
    <w:p>
      <w:pPr>
        <w:spacing w:after="0" w:line="165"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7"/>
          <w:szCs w:val="17"/>
          <w:color w:val="auto"/>
        </w:rPr>
        <w:t>Similarly, in the European Union,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entitles a party to financial incentives such as reduction of fees or fee waivers.</w:t>
      </w:r>
    </w:p>
    <w:p>
      <w:pPr>
        <w:spacing w:after="0" w:line="164"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BLU</w:t>
      </w:r>
      <w:r>
        <w:rPr>
          <w:rFonts w:ascii="MS PGothic" w:cs="MS PGothic" w:eastAsia="MS PGothic" w:hAnsi="MS PGothic"/>
          <w:sz w:val="17"/>
          <w:szCs w:val="17"/>
          <w:color w:val="auto"/>
        </w:rPr>
        <w:t>‑</w:t>
      </w:r>
      <w:r>
        <w:rPr>
          <w:rFonts w:ascii="Arial" w:cs="Arial" w:eastAsia="Arial" w:hAnsi="Arial"/>
          <w:sz w:val="17"/>
          <w:szCs w:val="17"/>
          <w:color w:val="auto"/>
        </w:rPr>
        <w:t xml:space="preserve">554 for the treatment of HCC and BLU </w:t>
      </w:r>
      <w:r>
        <w:rPr>
          <w:rFonts w:ascii="MS PGothic" w:cs="MS PGothic" w:eastAsia="MS PGothic" w:hAnsi="MS PGothic"/>
          <w:sz w:val="17"/>
          <w:szCs w:val="17"/>
          <w:color w:val="auto"/>
        </w:rPr>
        <w:t>‑</w:t>
      </w:r>
      <w:r>
        <w:rPr>
          <w:rFonts w:ascii="Arial" w:cs="Arial" w:eastAsia="Arial" w:hAnsi="Arial"/>
          <w:sz w:val="17"/>
          <w:szCs w:val="17"/>
          <w:color w:val="auto"/>
        </w:rPr>
        <w:t>285 for the treatment of GIST and SM, we may never receive such designations. Even if we receive orphan drug designation for any of our drug candidates, there is no guarantee that we will enjoy the benefits of those designations.</w:t>
      </w:r>
    </w:p>
    <w:p>
      <w:pPr>
        <w:spacing w:after="0" w:line="169"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FDA or a comparable foreign regulatory authority approves any of our drug candidates, the manufacturing</w:t>
      </w:r>
    </w:p>
    <w:p>
      <w:pPr>
        <w:spacing w:after="0" w:line="229" w:lineRule="auto"/>
        <w:rPr>
          <w:sz w:val="20"/>
          <w:szCs w:val="20"/>
          <w:color w:val="auto"/>
        </w:rPr>
      </w:pPr>
      <w:r>
        <w:rPr>
          <w:rFonts w:ascii="Arial" w:cs="Arial" w:eastAsia="Arial" w:hAnsi="Arial"/>
          <w:sz w:val="16"/>
          <w:szCs w:val="16"/>
          <w:color w:val="auto"/>
        </w:rPr>
        <w:t>processes, labeling, packaging, distribution, adverse event reporting, storage, advertising, promotion and recordkeeping for</w:t>
      </w:r>
    </w:p>
    <w:p>
      <w:pPr>
        <w:spacing w:after="0" w:line="229" w:lineRule="auto"/>
        <w:rPr>
          <w:sz w:val="20"/>
          <w:szCs w:val="20"/>
          <w:color w:val="auto"/>
        </w:rPr>
      </w:pPr>
      <w:r>
        <w:rPr>
          <w:rFonts w:ascii="Arial" w:cs="Arial" w:eastAsia="Arial" w:hAnsi="Arial"/>
          <w:sz w:val="16"/>
          <w:szCs w:val="16"/>
          <w:color w:val="auto"/>
        </w:rPr>
        <w:t>the drug will be subject to extensive and ongoing regulatory requirements. These requirements include submissions of safety</w:t>
      </w:r>
    </w:p>
    <w:p>
      <w:pPr>
        <w:spacing w:after="0" w:line="176" w:lineRule="exact"/>
        <w:rPr>
          <w:sz w:val="20"/>
          <w:szCs w:val="20"/>
          <w:color w:val="auto"/>
        </w:rPr>
      </w:pPr>
      <w:r>
        <w:rPr>
          <w:rFonts w:ascii="Arial" w:cs="Arial" w:eastAsia="Arial" w:hAnsi="Arial"/>
          <w:sz w:val="18"/>
          <w:szCs w:val="18"/>
          <w:color w:val="auto"/>
        </w:rPr>
        <w:t>and other post</w:t>
      </w:r>
      <w:r>
        <w:rPr>
          <w:rFonts w:ascii="MS PGothic" w:cs="MS PGothic" w:eastAsia="MS PGothic" w:hAnsi="MS PGothic"/>
          <w:sz w:val="18"/>
          <w:szCs w:val="18"/>
          <w:color w:val="auto"/>
        </w:rPr>
        <w:t>‑</w:t>
      </w:r>
      <w:r>
        <w:rPr>
          <w:rFonts w:ascii="Arial" w:cs="Arial" w:eastAsia="Arial" w:hAnsi="Arial"/>
          <w:sz w:val="18"/>
          <w:szCs w:val="18"/>
          <w:color w:val="auto"/>
        </w:rPr>
        <w:t>marketing information and reports, registration, as well as continued compliance with current Good</w:t>
      </w:r>
    </w:p>
    <w:p>
      <w:pPr>
        <w:spacing w:after="0" w:line="204" w:lineRule="auto"/>
        <w:rPr>
          <w:sz w:val="20"/>
          <w:szCs w:val="20"/>
          <w:color w:val="auto"/>
        </w:rPr>
      </w:pPr>
      <w:r>
        <w:rPr>
          <w:rFonts w:ascii="Arial" w:cs="Arial" w:eastAsia="Arial" w:hAnsi="Arial"/>
          <w:sz w:val="18"/>
          <w:szCs w:val="18"/>
          <w:color w:val="auto"/>
        </w:rPr>
        <w:t>Manufacturing Practices, or cGMPs, and Good Clinical Practices, or GCPs, for any clinical trials that we conduct</w:t>
      </w:r>
    </w:p>
    <w:p>
      <w:pPr>
        <w:spacing w:after="0" w:line="176" w:lineRule="exact"/>
        <w:rPr>
          <w:sz w:val="20"/>
          <w:szCs w:val="20"/>
          <w:color w:val="auto"/>
        </w:rPr>
      </w:pPr>
      <w:r>
        <w:rPr>
          <w:rFonts w:ascii="Arial" w:cs="Arial" w:eastAsia="Arial" w:hAnsi="Arial"/>
          <w:sz w:val="17"/>
          <w:szCs w:val="17"/>
          <w:color w:val="auto"/>
        </w:rPr>
        <w:t>post</w:t>
      </w:r>
      <w:r>
        <w:rPr>
          <w:rFonts w:ascii="MS PGothic" w:cs="MS PGothic" w:eastAsia="MS PGothic" w:hAnsi="MS PGothic"/>
          <w:sz w:val="17"/>
          <w:szCs w:val="17"/>
          <w:color w:val="auto"/>
        </w:rPr>
        <w:t>‑</w:t>
      </w:r>
      <w:r>
        <w:rPr>
          <w:rFonts w:ascii="Arial" w:cs="Arial" w:eastAsia="Arial" w:hAnsi="Arial"/>
          <w:sz w:val="17"/>
          <w:szCs w:val="17"/>
          <w:color w:val="auto"/>
        </w:rPr>
        <w:t>approval. Any regulatory approvals that we receive for our drug candidates may also be subject to limitations on the</w:t>
      </w:r>
    </w:p>
    <w:p>
      <w:pPr>
        <w:spacing w:after="0" w:line="229" w:lineRule="auto"/>
        <w:rPr>
          <w:sz w:val="20"/>
          <w:szCs w:val="20"/>
          <w:color w:val="auto"/>
        </w:rPr>
      </w:pPr>
      <w:r>
        <w:rPr>
          <w:rFonts w:ascii="Arial" w:cs="Arial" w:eastAsia="Arial" w:hAnsi="Arial"/>
          <w:sz w:val="16"/>
          <w:szCs w:val="16"/>
          <w:color w:val="auto"/>
        </w:rPr>
        <w:t>approved indicated uses for which the drug may be marketed or to the conditions of approval, or contain requirements for</w:t>
      </w:r>
    </w:p>
    <w:p>
      <w:pPr>
        <w:spacing w:after="0" w:line="176" w:lineRule="exact"/>
        <w:rPr>
          <w:sz w:val="20"/>
          <w:szCs w:val="20"/>
          <w:color w:val="auto"/>
        </w:rPr>
      </w:pPr>
      <w:r>
        <w:rPr>
          <w:rFonts w:ascii="Arial" w:cs="Arial" w:eastAsia="Arial" w:hAnsi="Arial"/>
          <w:sz w:val="16"/>
          <w:szCs w:val="16"/>
          <w:color w:val="auto"/>
        </w:rPr>
        <w:t>potentially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including Phase 4 clinical trials, and surveillance to monitor the safety and efficacy</w:t>
      </w:r>
    </w:p>
    <w:p>
      <w:pPr>
        <w:spacing w:after="0" w:line="229" w:lineRule="auto"/>
        <w:rPr>
          <w:sz w:val="20"/>
          <w:szCs w:val="20"/>
          <w:color w:val="auto"/>
        </w:rPr>
      </w:pPr>
      <w:r>
        <w:rPr>
          <w:rFonts w:ascii="Arial" w:cs="Arial" w:eastAsia="Arial" w:hAnsi="Arial"/>
          <w:sz w:val="16"/>
          <w:szCs w:val="16"/>
          <w:color w:val="auto"/>
        </w:rPr>
        <w:t>of the drug. Later discovery of previously unknown problems with a drug, including adverse events of unanticipated severity</w:t>
      </w:r>
    </w:p>
    <w:p>
      <w:pPr>
        <w:spacing w:after="0" w:line="176" w:lineRule="exact"/>
        <w:rPr>
          <w:sz w:val="20"/>
          <w:szCs w:val="20"/>
          <w:color w:val="auto"/>
        </w:rPr>
      </w:pPr>
      <w:r>
        <w:rPr>
          <w:rFonts w:ascii="Arial" w:cs="Arial" w:eastAsia="Arial" w:hAnsi="Arial"/>
          <w:sz w:val="17"/>
          <w:szCs w:val="17"/>
          <w:color w:val="auto"/>
        </w:rPr>
        <w:t>or frequency, or with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manufacturing processes, or failure to comply with regulatory</w:t>
      </w:r>
    </w:p>
    <w:p>
      <w:pPr>
        <w:spacing w:after="0"/>
        <w:rPr>
          <w:sz w:val="20"/>
          <w:szCs w:val="20"/>
          <w:color w:val="auto"/>
        </w:rPr>
      </w:pPr>
      <w:r>
        <w:rPr>
          <w:rFonts w:ascii="Arial" w:cs="Arial" w:eastAsia="Arial" w:hAnsi="Arial"/>
          <w:sz w:val="18"/>
          <w:szCs w:val="18"/>
          <w:color w:val="auto"/>
        </w:rPr>
        <w:t>requirements, may result in, among other things: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380" w:hanging="325"/>
        <w:spacing w:after="0" w:line="235"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8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discovery platform to build a pipeline of drug candidates.</w:t>
      </w:r>
    </w:p>
    <w:p>
      <w:pPr>
        <w:spacing w:after="0" w:line="219"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68"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Commercialization</w:t>
      </w:r>
    </w:p>
    <w:p>
      <w:pPr>
        <w:spacing w:after="0" w:line="189"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63"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The precise incidence and prevalence for SM, GIST, HCC and RET-driven NSCLC and MTC are unknown. Our projections of both the number of people who have these diseases, as well as the subset of people with these diseases who have the potential to benefit from treatment with our drug candidates, are based on estimates. We estimate that in the United States, France, Germany, Italy, Spain, the United Kingdom and Japan, or the Major Markets, there are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(i) 4,100 patients with advanced forms of SM, including smoldering SM, who have the KIT D816V mutation;</w:t>
      </w:r>
    </w:p>
    <w:p>
      <w:pPr>
        <w:spacing w:after="0" w:line="8" w:lineRule="exact"/>
        <w:rPr>
          <w:sz w:val="20"/>
          <w:szCs w:val="20"/>
          <w:color w:val="auto"/>
        </w:rPr>
      </w:pPr>
    </w:p>
    <w:p>
      <w:pPr>
        <w:ind w:right="20" w:firstLine="3"/>
        <w:spacing w:after="0" w:line="214"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500 patients with PDGFRα D842V-driven GIST; (iii) 6,300 second line and third line patients with GIST who have a KIT Exon 17 mutation; (iv) 18,900 first line and approximately 8,000 second line HCC patients with aberrantly active FGFR4 signaling, as indicated by FGF19 overexpression; and (iv) 10,000 patients with RET-driven NSCLC and approximately 600 patients with RET-driven MTC.</w:t>
      </w:r>
    </w:p>
    <w:p>
      <w:pPr>
        <w:spacing w:after="0" w:line="164"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7"/>
          <w:szCs w:val="17"/>
          <w:color w:val="auto"/>
        </w:rPr>
        <w:t>The total addressable market opportunity for BLU</w:t>
      </w:r>
      <w:r>
        <w:rPr>
          <w:rFonts w:ascii="MS PGothic" w:cs="MS PGothic" w:eastAsia="MS PGothic" w:hAnsi="MS PGothic"/>
          <w:sz w:val="17"/>
          <w:szCs w:val="17"/>
          <w:color w:val="auto"/>
        </w:rPr>
        <w:t>‑</w:t>
      </w:r>
      <w:r>
        <w:rPr>
          <w:rFonts w:ascii="Arial" w:cs="Arial" w:eastAsia="Arial" w:hAnsi="Arial"/>
          <w:sz w:val="17"/>
          <w:szCs w:val="17"/>
          <w:color w:val="auto"/>
        </w:rPr>
        <w:t>285 for the treatment of patients with SM and GIST,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patients with HCC and BLU</w:t>
      </w:r>
      <w:r>
        <w:rPr>
          <w:rFonts w:ascii="MS PGothic" w:cs="MS PGothic" w:eastAsia="MS PGothic" w:hAnsi="MS PGothic"/>
          <w:sz w:val="17"/>
          <w:szCs w:val="17"/>
          <w:color w:val="auto"/>
        </w:rPr>
        <w:t>‑</w:t>
      </w:r>
      <w:r>
        <w:rPr>
          <w:rFonts w:ascii="Arial" w:cs="Arial" w:eastAsia="Arial" w:hAnsi="Arial"/>
          <w:sz w:val="17"/>
          <w:szCs w:val="17"/>
          <w:color w:val="auto"/>
        </w:rPr>
        <w:t>667 for the treatment of patients with NSCLC and MTC will ultimately depend upon, among other things, the diagnosis criteria included in the final label for each of BLU</w:t>
      </w:r>
      <w:r>
        <w:rPr>
          <w:rFonts w:ascii="MS PGothic" w:cs="MS PGothic" w:eastAsia="MS PGothic" w:hAnsi="MS PGothic"/>
          <w:sz w:val="17"/>
          <w:szCs w:val="17"/>
          <w:color w:val="auto"/>
        </w:rPr>
        <w:t>‑</w:t>
      </w:r>
      <w:r>
        <w:rPr>
          <w:rFonts w:ascii="Arial" w:cs="Arial" w:eastAsia="Arial" w:hAnsi="Arial"/>
          <w:sz w:val="17"/>
          <w:szCs w:val="17"/>
          <w:color w:val="auto"/>
        </w:rPr>
        <w:t>285,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 if our drug candidates are approved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16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right="20" w:firstLine="648"/>
        <w:spacing w:after="0" w:line="179" w:lineRule="exact"/>
        <w:rPr>
          <w:sz w:val="20"/>
          <w:szCs w:val="20"/>
          <w:color w:val="auto"/>
        </w:rPr>
      </w:pPr>
      <w:r>
        <w:rPr>
          <w:rFonts w:ascii="Arial" w:cs="Arial" w:eastAsia="Arial" w:hAnsi="Arial"/>
          <w:sz w:val="17"/>
          <w:szCs w:val="17"/>
          <w:color w:val="auto"/>
        </w:rPr>
        <w:t>Specifically, there are a large number of companies developing or marketing treatments for cancer, including many major pharmaceutical and biotechnology companies. If BLU-285 receives marketing approval for advanced SM, it will face competition from Novartis AG’s midostaurin, a multi-kinase inhibitor with KIT D816V inhibitory activity that was approved in April 2017 by the FDA for the treatment of advanced SM. In addition, if BLU-285 receives marketing approval for advanced SM, GIST and/or for GIST patients with the PDGFRα D842V mutation, it may face competition from other drug candidates in development for these indications, including drug candidates in development by AB Science S.A., ARIAD Pharmaceuticals, Inc., a wholly-owned subsidiary of Takeda Pharmaceutical Company Limited, AROG Pharmaceuticals, Inc., Celldex Therapeutics, Inc., Deciphera Pharmaceuticals, LLC and Plexxikon Inc., a wholly-owned subsidiary of Daiichi Sankyo Company, Limited. Further, if BLU-554 receives marketing approval for HCC patients with aberrantly active FGFR4 signaling, as indicated by FGF19 overexpression, it will face competition from sorafenib and regorafenib, the only approved systemic medical therapies for HCC. In addition, BLU-554 may face competition from other drug candidates in development by AstraZeneca plc, Bayer AG, Bristol-Myers Squibb Company, Celgene Corporation, Eisai Inc., H3 Biomedicine Inc., Incyte Corporation, Johnson &amp; Johnson, Novartis AG, Sanofi S.A., Taiho Pharmaceutical Co., Ltd., U3 Pharma GmbH, a wholly-owned subsidiary of Daiichi Sankyo Company, Limited, and Xoma Ltd. If BLU</w:t>
      </w:r>
      <w:r>
        <w:rPr>
          <w:rFonts w:ascii="MS PGothic" w:cs="MS PGothic" w:eastAsia="MS PGothic" w:hAnsi="MS PGothic"/>
          <w:sz w:val="17"/>
          <w:szCs w:val="17"/>
          <w:color w:val="auto"/>
        </w:rPr>
        <w:t>‑</w:t>
      </w:r>
      <w:r>
        <w:rPr>
          <w:rFonts w:ascii="Arial" w:cs="Arial" w:eastAsia="Arial" w:hAnsi="Arial"/>
          <w:sz w:val="17"/>
          <w:szCs w:val="17"/>
          <w:color w:val="auto"/>
        </w:rPr>
        <w:t>667 receives marketing approval for patients with RET-driven cancers, it may face competition from other drug candidates in development, including drug candidates in development by ARIAD Pharmaceuticals, Inc., a wholly-owned subsidiary of Takeda Pharmaceutical Company Limited, AstraZeneca plc, Eisai Inc., Exelixis, Inc., GlaxoSmithKline plc, Ignyta, Inc., Loxo Oncology, Inc., Mirati Therapeutics, Inc., Novartis AG, Pfizer Inc. and Roche.</w:t>
      </w:r>
    </w:p>
    <w:p>
      <w:pPr>
        <w:spacing w:after="0" w:line="166"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39"/>
        <w:spacing w:after="0" w:line="235" w:lineRule="auto"/>
        <w:rPr>
          <w:sz w:val="20"/>
          <w:szCs w:val="20"/>
          <w:color w:val="auto"/>
        </w:rPr>
      </w:pPr>
      <w:r>
        <w:rPr>
          <w:rFonts w:ascii="Arial" w:cs="Arial" w:eastAsia="Arial" w:hAnsi="Arial"/>
          <w:sz w:val="18"/>
          <w:szCs w:val="18"/>
          <w:color w:val="auto"/>
        </w:rPr>
        <w:t>establishing clinical trial sites and patient registration for clinical trials, as well as in acquiring technologies complementary to, or necessary for, our programs.</w:t>
      </w:r>
    </w:p>
    <w:p>
      <w:pPr>
        <w:spacing w:after="0" w:line="162" w:lineRule="exact"/>
        <w:rPr>
          <w:sz w:val="20"/>
          <w:szCs w:val="20"/>
          <w:color w:val="auto"/>
        </w:rPr>
      </w:pPr>
    </w:p>
    <w:p>
      <w:pPr>
        <w:ind w:right="19" w:firstLine="648"/>
        <w:spacing w:after="0" w:line="211"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65" w:lineRule="exact"/>
        <w:rPr>
          <w:sz w:val="20"/>
          <w:szCs w:val="20"/>
          <w:color w:val="auto"/>
        </w:rPr>
      </w:pPr>
    </w:p>
    <w:p>
      <w:pPr>
        <w:ind w:right="279"/>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62" w:lineRule="exact"/>
        <w:rPr>
          <w:sz w:val="20"/>
          <w:szCs w:val="20"/>
          <w:color w:val="auto"/>
        </w:rPr>
      </w:pPr>
    </w:p>
    <w:p>
      <w:pPr>
        <w:ind w:right="339" w:firstLine="648"/>
        <w:spacing w:after="0" w:line="232" w:lineRule="auto"/>
        <w:rPr>
          <w:sz w:val="20"/>
          <w:szCs w:val="20"/>
          <w:color w:val="auto"/>
        </w:rPr>
      </w:pPr>
      <w:r>
        <w:rPr>
          <w:rFonts w:ascii="Arial" w:cs="Arial" w:eastAsia="Arial" w:hAnsi="Arial"/>
          <w:sz w:val="17"/>
          <w:szCs w:val="17"/>
          <w:color w:val="auto"/>
        </w:rPr>
        <w:t>We will face an inherent risk of product liability exposure related to the testing of our drug candidates in human clinical trials and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63" w:lineRule="exact"/>
        <w:rPr>
          <w:sz w:val="20"/>
          <w:szCs w:val="20"/>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185" w:lineRule="exact"/>
        <w:rPr>
          <w:sz w:val="20"/>
          <w:szCs w:val="20"/>
          <w:color w:val="auto"/>
        </w:rPr>
      </w:pPr>
    </w:p>
    <w:p>
      <w:pPr>
        <w:ind w:right="79" w:firstLine="648"/>
        <w:spacing w:after="0" w:line="249"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right="119"/>
        <w:spacing w:after="0" w:line="224"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 candidates, or experience significant delays in doing so we may not realize the full commercial potential of our drug candidates.</w:t>
      </w:r>
    </w:p>
    <w:p>
      <w:pPr>
        <w:spacing w:after="0" w:line="163" w:lineRule="exact"/>
        <w:rPr>
          <w:sz w:val="20"/>
          <w:szCs w:val="20"/>
          <w:color w:val="auto"/>
        </w:rPr>
      </w:pPr>
    </w:p>
    <w:p>
      <w:pPr>
        <w:ind w:right="39" w:firstLine="648"/>
        <w:spacing w:after="0" w:line="180" w:lineRule="exact"/>
        <w:rPr>
          <w:sz w:val="20"/>
          <w:szCs w:val="20"/>
          <w:color w:val="auto"/>
        </w:rPr>
      </w:pPr>
      <w:r>
        <w:rPr>
          <w:rFonts w:ascii="Arial" w:cs="Arial" w:eastAsia="Arial" w:hAnsi="Arial"/>
          <w:sz w:val="17"/>
          <w:szCs w:val="17"/>
          <w:color w:val="auto"/>
        </w:rPr>
        <w:t>Because we are focused on precision medicine, in which predictive biomarkers will be used to identify the right patients for our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 diagnostic tests with third parties for BLU</w:t>
      </w:r>
      <w:r>
        <w:rPr>
          <w:rFonts w:ascii="MS PGothic" w:cs="MS PGothic" w:eastAsia="MS PGothic" w:hAnsi="MS PGothic"/>
          <w:sz w:val="17"/>
          <w:szCs w:val="17"/>
          <w:color w:val="auto"/>
        </w:rPr>
        <w:t>‑</w:t>
      </w:r>
      <w:r>
        <w:rPr>
          <w:rFonts w:ascii="Arial" w:cs="Arial" w:eastAsia="Arial" w:hAnsi="Arial"/>
          <w:sz w:val="17"/>
          <w:szCs w:val="17"/>
          <w:color w:val="auto"/>
        </w:rPr>
        <w:t>554 in order to identify HCC patients with FGF19 signaling, BLU-285 in order to identify GIST patients with the PDGFRα D842V mutation and BLU-667 in order to identify NSCLC patients with RET fusions. However, we have not yet initiated commercialization of these companion diagnostic tests or development and commercialization of companion diagnostic tests for any of our other programs. We have little experience in the development and commercialization of companion diagnostic tests and may not be successful in developing and commercializing appropriate companion diagnostic tests to pair with any of our drug candidates that receive marketing approval. Companion diagnostic tests are subject to regulation by the FDA and similar regulatory</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182" w:lineRule="exact"/>
        <w:rPr>
          <w:sz w:val="20"/>
          <w:szCs w:val="20"/>
          <w:color w:val="auto"/>
        </w:rPr>
      </w:pPr>
      <w:r>
        <w:rPr>
          <w:rFonts w:ascii="Arial" w:cs="Arial" w:eastAsia="Arial" w:hAnsi="Arial"/>
          <w:sz w:val="17"/>
          <w:szCs w:val="17"/>
          <w:color w:val="auto"/>
        </w:rPr>
        <w:t>authorities outside the United States as medical devices and require separate regulatory approval prior to commercialization. Given our limited experience in developing and commercializing companion diagnostic tests, we are relying on third parties to design, manufacture, obtain regulatory approval for and commercialize the companion diagnostic tests for BLU</w:t>
      </w:r>
      <w:r>
        <w:rPr>
          <w:rFonts w:ascii="MS PGothic" w:cs="MS PGothic" w:eastAsia="MS PGothic" w:hAnsi="MS PGothic"/>
          <w:sz w:val="17"/>
          <w:szCs w:val="17"/>
          <w:color w:val="auto"/>
        </w:rPr>
        <w:t>‑</w:t>
      </w:r>
      <w:r>
        <w:rPr>
          <w:rFonts w:ascii="Arial" w:cs="Arial" w:eastAsia="Arial" w:hAnsi="Arial"/>
          <w:sz w:val="17"/>
          <w:szCs w:val="17"/>
          <w:color w:val="auto"/>
        </w:rPr>
        <w:t>554, BLU</w:t>
      </w:r>
      <w:r>
        <w:rPr>
          <w:rFonts w:ascii="MS PGothic" w:cs="MS PGothic" w:eastAsia="MS PGothic" w:hAnsi="MS PGothic"/>
          <w:sz w:val="17"/>
          <w:szCs w:val="17"/>
          <w:color w:val="auto"/>
        </w:rPr>
        <w:t>‑</w:t>
      </w:r>
      <w:r>
        <w:rPr>
          <w:rFonts w:ascii="Arial" w:cs="Arial" w:eastAsia="Arial" w:hAnsi="Arial"/>
          <w:sz w:val="17"/>
          <w:szCs w:val="17"/>
          <w:color w:val="auto"/>
        </w:rPr>
        <w:t>285 and BLU-667, and we expect to rely in whole or in part on third parties to design, manufacture, obtain regulatory approval for and commercialize any other companion diagnostic tests for our drug candidates. We and our collaborators may encounter difficulties in developing and obtaining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68" w:lineRule="exact"/>
        <w:rPr>
          <w:sz w:val="20"/>
          <w:szCs w:val="20"/>
          <w:color w:val="auto"/>
        </w:rPr>
      </w:pPr>
    </w:p>
    <w:p>
      <w:pPr>
        <w:ind w:left="1300" w:hanging="325"/>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07" w:lineRule="exact"/>
        <w:rPr>
          <w:rFonts w:ascii="Arial" w:cs="Arial" w:eastAsia="Arial" w:hAnsi="Arial"/>
          <w:sz w:val="16"/>
          <w:szCs w:val="16"/>
          <w:color w:val="auto"/>
        </w:rPr>
      </w:pPr>
    </w:p>
    <w:p>
      <w:pPr>
        <w:ind w:left="1300" w:right="760" w:hanging="325"/>
        <w:spacing w:after="0" w:line="235"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approvals;</w:t>
      </w:r>
    </w:p>
    <w:p>
      <w:pPr>
        <w:spacing w:after="0" w:line="161" w:lineRule="exact"/>
        <w:rPr>
          <w:rFonts w:ascii="Arial" w:cs="Arial" w:eastAsia="Arial" w:hAnsi="Arial"/>
          <w:sz w:val="18"/>
          <w:szCs w:val="18"/>
          <w:color w:val="auto"/>
        </w:rPr>
      </w:pPr>
    </w:p>
    <w:p>
      <w:pPr>
        <w:jc w:val="both"/>
        <w:ind w:left="1300" w:right="400" w:hanging="325"/>
        <w:spacing w:after="0" w:line="22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63" w:lineRule="exact"/>
        <w:rPr>
          <w:rFonts w:ascii="Arial" w:cs="Arial" w:eastAsia="Arial" w:hAnsi="Arial"/>
          <w:sz w:val="18"/>
          <w:szCs w:val="18"/>
          <w:color w:val="auto"/>
        </w:rPr>
      </w:pPr>
    </w:p>
    <w:p>
      <w:pPr>
        <w:ind w:left="1300" w:right="180" w:hanging="325"/>
        <w:spacing w:after="0" w:line="235"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the a companion diagnostic test;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185"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Any delay or failure by us or our collaborators to develop or obtain regulatory approval of the companion diagnostic tests could delay or prevent approval of our drug candidates. If we, or any third parties that we have engaged or may in the future engage to assist us are unable to successfully develop and commercialize companion diagnostic tests for our drug candidates, or experience delays in doing so:</w:t>
      </w:r>
    </w:p>
    <w:p>
      <w:pPr>
        <w:spacing w:after="0" w:line="163" w:lineRule="exact"/>
        <w:rPr>
          <w:sz w:val="20"/>
          <w:szCs w:val="20"/>
          <w:color w:val="auto"/>
        </w:rPr>
      </w:pPr>
    </w:p>
    <w:p>
      <w:pPr>
        <w:ind w:left="1300" w:right="140" w:hanging="325"/>
        <w:spacing w:after="0" w:line="235"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development of our drug candidates may be adversely affected if we are unable to appropriately select patients for enrollment in our clinical trials;</w:t>
      </w:r>
    </w:p>
    <w:p>
      <w:pPr>
        <w:spacing w:after="0" w:line="161" w:lineRule="exact"/>
        <w:rPr>
          <w:rFonts w:ascii="Arial" w:cs="Arial" w:eastAsia="Arial" w:hAnsi="Arial"/>
          <w:sz w:val="18"/>
          <w:szCs w:val="18"/>
          <w:color w:val="auto"/>
        </w:rPr>
      </w:pPr>
    </w:p>
    <w:p>
      <w:pPr>
        <w:ind w:left="1300" w:right="400" w:hanging="325"/>
        <w:spacing w:after="0" w:line="235"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drug candidates may not receive marketing approval if safe and effective use of a therapeutic drug candidate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1" w:lineRule="exact"/>
        <w:rPr>
          <w:rFonts w:ascii="Arial" w:cs="Arial" w:eastAsia="Arial" w:hAnsi="Arial"/>
          <w:sz w:val="18"/>
          <w:szCs w:val="18"/>
          <w:color w:val="auto"/>
        </w:rPr>
      </w:pPr>
    </w:p>
    <w:p>
      <w:pPr>
        <w:jc w:val="both"/>
        <w:ind w:left="1300" w:hanging="325"/>
        <w:spacing w:after="0" w:line="22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drug candidates that receive marketing approval if, among other reasons, we are unable to appropriately select patients who are likely to benefit from treatment with our drugs.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drug candidates, if approved. In addition, the diagnostic company with whom we contract may decide to discontinue selling or manufacturing the companion diagnostic test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60"/>
        <w:spacing w:after="0" w:line="289" w:lineRule="auto"/>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24"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67"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63"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08"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types of providers.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167"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In addition, on May 4, 2017, the U.S. House of Representatives passed the American Health Care Act, which would repeal certain aspects of the Affordable Care Act. It is uncertain whether any legislation will be enacted, and if it is, what impact it will have on the availability and cost of healthcare. We plan to continue to evaluate the effect that the Affordable Care Act and its possible repeal and replacement may have on our business.</w:t>
      </w:r>
    </w:p>
    <w:p>
      <w:pPr>
        <w:spacing w:after="0" w:line="167"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products, if approved.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61"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potential commercialization of our products.</w:t>
      </w:r>
    </w:p>
    <w:p>
      <w:pPr>
        <w:spacing w:after="0" w:line="162"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63" w:lineRule="exact"/>
        <w:rPr>
          <w:sz w:val="20"/>
          <w:szCs w:val="20"/>
          <w:color w:val="auto"/>
        </w:rPr>
      </w:pPr>
    </w:p>
    <w:p>
      <w:pPr>
        <w:ind w:right="40" w:firstLine="648"/>
        <w:spacing w:after="0" w:line="185" w:lineRule="exact"/>
        <w:rPr>
          <w:sz w:val="20"/>
          <w:szCs w:val="20"/>
          <w:color w:val="auto"/>
        </w:rPr>
      </w:pPr>
      <w:r>
        <w:rPr>
          <w:rFonts w:ascii="Arial" w:cs="Arial" w:eastAsia="Arial" w:hAnsi="Arial"/>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8"/>
          <w:szCs w:val="18"/>
          <w:color w:val="auto"/>
        </w:rPr>
        <w:t>‑</w:t>
      </w:r>
      <w:r>
        <w:rPr>
          <w:rFonts w:ascii="Arial" w:cs="Arial" w:eastAsia="Arial" w:hAnsi="Arial"/>
          <w:sz w:val="18"/>
          <w:szCs w:val="18"/>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185" w:lineRule="exact"/>
        <w:rPr>
          <w:sz w:val="20"/>
          <w:szCs w:val="20"/>
          <w:color w:val="auto"/>
        </w:rPr>
      </w:pP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84" w:lineRule="exact"/>
        <w:rPr>
          <w:rFonts w:ascii="Arial" w:cs="Arial" w:eastAsia="Arial" w:hAnsi="Arial"/>
          <w:sz w:val="18"/>
          <w:szCs w:val="18"/>
          <w:color w:val="auto"/>
        </w:rPr>
      </w:pPr>
    </w:p>
    <w:p>
      <w:pPr>
        <w:ind w:left="1300" w:right="160" w:hanging="325"/>
        <w:spacing w:after="0" w:line="235"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61" w:lineRule="exact"/>
        <w:rPr>
          <w:rFonts w:ascii="Arial" w:cs="Arial" w:eastAsia="Arial" w:hAnsi="Arial"/>
          <w:sz w:val="18"/>
          <w:szCs w:val="18"/>
          <w:color w:val="auto"/>
        </w:rPr>
      </w:pPr>
    </w:p>
    <w:p>
      <w:pPr>
        <w:ind w:left="1300" w:right="500" w:hanging="325"/>
        <w:spacing w:after="0" w:line="235"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08" w:lineRule="exact"/>
        <w:rPr>
          <w:sz w:val="20"/>
          <w:szCs w:val="20"/>
          <w:color w:val="auto"/>
        </w:rPr>
      </w:pPr>
    </w:p>
    <w:p>
      <w:pPr>
        <w:ind w:right="140" w:firstLine="648"/>
        <w:spacing w:after="0" w:line="237"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7"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30"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7" w:lineRule="exact"/>
        <w:rPr>
          <w:sz w:val="20"/>
          <w:szCs w:val="20"/>
          <w:color w:val="auto"/>
        </w:rPr>
      </w:pPr>
    </w:p>
    <w:p>
      <w:pPr>
        <w:ind w:left="980" w:hanging="329"/>
        <w:spacing w:after="0" w:line="21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jc w:val="both"/>
        <w:ind w:left="980" w:right="120" w:hanging="329"/>
        <w:spacing w:after="0" w:line="232"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320"/>
        <w:spacing w:after="0" w:line="235" w:lineRule="auto"/>
        <w:rPr>
          <w:sz w:val="20"/>
          <w:szCs w:val="20"/>
          <w:color w:val="auto"/>
        </w:rPr>
      </w:pPr>
      <w:r>
        <w:rPr>
          <w:rFonts w:ascii="Arial" w:cs="Arial" w:eastAsia="Arial" w:hAnsi="Arial"/>
          <w:sz w:val="18"/>
          <w:szCs w:val="18"/>
          <w:color w:val="auto"/>
        </w:rPr>
        <w:t>may assert that a claim including items and services resulting from a violation of the federal Anti-Kickback Statute constitutes a false or fraudulent claim for purposes of the False Claims Act;</w:t>
      </w:r>
    </w:p>
    <w:p>
      <w:pPr>
        <w:spacing w:after="0" w:line="162" w:lineRule="exact"/>
        <w:rPr>
          <w:sz w:val="20"/>
          <w:szCs w:val="20"/>
          <w:color w:val="auto"/>
        </w:rPr>
      </w:pPr>
    </w:p>
    <w:p>
      <w:pPr>
        <w:ind w:left="980" w:right="20" w:hanging="329"/>
        <w:spacing w:after="0" w:line="21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980" w:right="200" w:hanging="329"/>
        <w:spacing w:after="0" w:line="244"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58" w:lineRule="exact"/>
        <w:rPr>
          <w:rFonts w:ascii="Arial" w:cs="Arial" w:eastAsia="Arial" w:hAnsi="Arial"/>
          <w:sz w:val="16"/>
          <w:szCs w:val="16"/>
          <w:color w:val="auto"/>
        </w:rPr>
      </w:pPr>
    </w:p>
    <w:p>
      <w:pPr>
        <w:ind w:left="980" w:right="80" w:hanging="329"/>
        <w:spacing w:after="0" w:line="21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62" w:lineRule="exact"/>
        <w:rPr>
          <w:rFonts w:ascii="Arial" w:cs="Arial" w:eastAsia="Arial" w:hAnsi="Arial"/>
          <w:sz w:val="18"/>
          <w:szCs w:val="18"/>
          <w:color w:val="auto"/>
        </w:rPr>
      </w:pPr>
    </w:p>
    <w:p>
      <w:pPr>
        <w:ind w:left="980" w:right="20" w:hanging="329"/>
        <w:spacing w:after="0" w:line="237"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67"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64"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2"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drug candidates and ultimately commercialize our drug candidates in foreign markets, we would be subject to additional risks and uncertainties, including:</w:t>
      </w:r>
    </w:p>
    <w:p>
      <w:pPr>
        <w:spacing w:after="0" w:line="162" w:lineRule="exact"/>
        <w:rPr>
          <w:sz w:val="20"/>
          <w:szCs w:val="20"/>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44" w:lineRule="exact"/>
        <w:rPr>
          <w:rFonts w:ascii="Arial" w:cs="Arial" w:eastAsia="Arial" w:hAnsi="Arial"/>
          <w:sz w:val="18"/>
          <w:szCs w:val="18"/>
          <w:color w:val="auto"/>
        </w:rPr>
      </w:pPr>
    </w:p>
    <w:p>
      <w:pPr>
        <w:ind w:left="1300" w:right="720" w:hanging="325"/>
        <w:spacing w:after="0" w:line="235"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21"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155" w:lineRule="exact"/>
        <w:rPr>
          <w:rFonts w:ascii="Arial" w:cs="Arial" w:eastAsia="Arial" w:hAnsi="Arial"/>
          <w:sz w:val="17"/>
          <w:szCs w:val="17"/>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156"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62"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the recent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69" w:lineRule="exact"/>
        <w:rPr>
          <w:sz w:val="20"/>
          <w:szCs w:val="20"/>
          <w:color w:val="auto"/>
        </w:rPr>
      </w:pPr>
    </w:p>
    <w:p>
      <w:pPr>
        <w:ind w:right="480"/>
        <w:spacing w:after="0" w:line="289"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resulting damages, and any liability could exceed our resources. We also could incur significant costs associated with civil or criminal fines and penalties.</w:t>
      </w:r>
    </w:p>
    <w:p>
      <w:pPr>
        <w:spacing w:after="0" w:line="162"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62"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7"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67"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We may also be restricted under our collaboration agreement with Roche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68"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addition, our collaboration with Roche,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For example, effective October 24, 2017, Alexion terminated our rare genetic disease collaboration for convenience following a strategic review by Alexion of its research and development portfolio. We currently plan to continue the development of our research program targeting the kinase ALK2 for the treatment of fibrodysplasia ossificans progressiva and are conducting research and pre-clinical development activities directed toward identifying a</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development candidate. Any termination or expiration of our collaboration agreement with Roche or any future collaboration agreement could adversely affect us financially or harm our business reputation.</w:t>
      </w:r>
    </w:p>
    <w:p>
      <w:pPr>
        <w:spacing w:after="0" w:line="162"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30"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68"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62"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2" w:lineRule="exact"/>
        <w:rPr>
          <w:sz w:val="20"/>
          <w:szCs w:val="20"/>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85" w:lineRule="exact"/>
        <w:rPr>
          <w:sz w:val="20"/>
          <w:szCs w:val="20"/>
          <w:color w:val="auto"/>
        </w:rPr>
      </w:pPr>
    </w:p>
    <w:p>
      <w:pPr>
        <w:ind w:right="120" w:firstLine="648"/>
        <w:spacing w:after="0" w:line="226"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20"/>
        <w:spacing w:after="0" w:line="235" w:lineRule="auto"/>
        <w:rPr>
          <w:sz w:val="20"/>
          <w:szCs w:val="20"/>
          <w:color w:val="auto"/>
        </w:rPr>
      </w:pPr>
      <w:r>
        <w:rPr>
          <w:rFonts w:ascii="Arial" w:cs="Arial" w:eastAsia="Arial" w:hAnsi="Arial"/>
          <w:sz w:val="18"/>
          <w:szCs w:val="18"/>
          <w:color w:val="auto"/>
        </w:rPr>
        <w:t>extend the duration of, or increase the size of any clinical trials we conduct and this could significantly delay commercialization and require significantly greater expenditures.</w:t>
      </w:r>
    </w:p>
    <w:p>
      <w:pPr>
        <w:spacing w:after="0" w:line="162" w:lineRule="exact"/>
        <w:rPr>
          <w:sz w:val="20"/>
          <w:szCs w:val="20"/>
          <w:color w:val="auto"/>
        </w:rPr>
      </w:pPr>
    </w:p>
    <w:p>
      <w:pPr>
        <w:ind w:right="180" w:firstLine="648"/>
        <w:spacing w:after="0" w:line="223"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68"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63"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We do not have any long-term supply agreements with our contract manufacturers, and we purchase our required drug supply, including the drug product and drug substance used in our lead drug candidates, on a purchase order basis.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62" w:lineRule="exact"/>
        <w:rPr>
          <w:sz w:val="20"/>
          <w:szCs w:val="20"/>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84" w:lineRule="exact"/>
        <w:rPr>
          <w:rFonts w:ascii="Arial" w:cs="Arial" w:eastAsia="Arial" w:hAnsi="Arial"/>
          <w:sz w:val="18"/>
          <w:szCs w:val="18"/>
          <w:color w:val="auto"/>
        </w:rPr>
      </w:pPr>
    </w:p>
    <w:p>
      <w:pPr>
        <w:ind w:left="1300" w:right="240" w:hanging="325"/>
        <w:spacing w:after="0" w:line="23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61"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63" w:lineRule="exact"/>
        <w:rPr>
          <w:sz w:val="20"/>
          <w:szCs w:val="20"/>
          <w:color w:val="auto"/>
        </w:rPr>
      </w:pPr>
    </w:p>
    <w:p>
      <w:pPr>
        <w:jc w:val="both"/>
        <w:ind w:right="140" w:firstLine="648"/>
        <w:spacing w:after="0" w:line="22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bulk drug substances.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61"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47"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or API, drug product and drug substance used in our lead drug candidates are our sole source of supply, and the loss of any of these suppliers could significantly harm our business.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API, drug product and drug substance used in our lead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product and drug substance for these drugs in accordance with regulatory requirements and in sufficient quantities for clinical testing and commercialization. Although we have entered into arrangements to establish redundant or second-source supply of some of the API, drug product or drug substance for our lead drug candidates,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and our financial condition.</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product and drug substance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62" w:lineRule="exact"/>
        <w:rPr>
          <w:sz w:val="20"/>
          <w:szCs w:val="20"/>
          <w:color w:val="auto"/>
        </w:rPr>
      </w:pPr>
    </w:p>
    <w:p>
      <w:pPr>
        <w:jc w:val="both"/>
        <w:ind w:right="320" w:firstLine="648"/>
        <w:spacing w:after="0" w:line="235"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w:t>
      </w:r>
    </w:p>
    <w:p>
      <w:pPr>
        <w:spacing w:after="0" w:line="2"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380"/>
        <w:spacing w:after="0" w:line="23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3" w:lineRule="exact"/>
        <w:rPr>
          <w:sz w:val="20"/>
          <w:szCs w:val="20"/>
          <w:color w:val="auto"/>
        </w:rPr>
      </w:pPr>
    </w:p>
    <w:p>
      <w:pPr>
        <w:ind w:right="20" w:firstLine="648"/>
        <w:spacing w:after="0" w:line="189" w:lineRule="exact"/>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drug candidates, including BLU</w:t>
      </w:r>
      <w:r>
        <w:rPr>
          <w:rFonts w:ascii="MS PGothic" w:cs="MS PGothic" w:eastAsia="MS PGothic" w:hAnsi="MS PGothic"/>
          <w:sz w:val="17"/>
          <w:szCs w:val="17"/>
          <w:color w:val="auto"/>
        </w:rPr>
        <w:t>‑</w:t>
      </w:r>
      <w:r>
        <w:rPr>
          <w:rFonts w:ascii="Arial" w:cs="Arial" w:eastAsia="Arial" w:hAnsi="Arial"/>
          <w:sz w:val="17"/>
          <w:szCs w:val="17"/>
          <w:color w:val="auto"/>
        </w:rPr>
        <w:t>285,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 and our core technologies, including our novel target discovery engine and our proprietary compound library and other know-how. We seek to protect our proprietary and intellectual property position by, among other methods,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47"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color w:val="auto"/>
        </w:rPr>
        <w:t>We own patents and patent applications that relate to BLU</w:t>
      </w:r>
      <w:r>
        <w:rPr>
          <w:rFonts w:ascii="MS PGothic" w:cs="MS PGothic" w:eastAsia="MS PGothic" w:hAnsi="MS PGothic"/>
          <w:sz w:val="17"/>
          <w:szCs w:val="17"/>
          <w:color w:val="auto"/>
        </w:rPr>
        <w:t>‑</w:t>
      </w:r>
      <w:r>
        <w:rPr>
          <w:rFonts w:ascii="Arial" w:cs="Arial" w:eastAsia="Arial" w:hAnsi="Arial"/>
          <w:sz w:val="17"/>
          <w:szCs w:val="17"/>
          <w:color w:val="auto"/>
        </w:rPr>
        <w:t>285, BLU</w:t>
      </w:r>
      <w:r>
        <w:rPr>
          <w:rFonts w:ascii="MS PGothic" w:cs="MS PGothic" w:eastAsia="MS PGothic" w:hAnsi="MS PGothic"/>
          <w:sz w:val="17"/>
          <w:szCs w:val="17"/>
          <w:color w:val="auto"/>
        </w:rPr>
        <w:t>‑</w:t>
      </w:r>
      <w:r>
        <w:rPr>
          <w:rFonts w:ascii="Arial" w:cs="Arial" w:eastAsia="Arial" w:hAnsi="Arial"/>
          <w:sz w:val="17"/>
          <w:szCs w:val="17"/>
          <w:color w:val="auto"/>
        </w:rPr>
        <w:t>554 and BLU-667 as composition of matter. We also own applications relating to composition of matter for KIT inhibitors with multiple compound families, composition of matter for FGFR4 inhibitors with multiple compound families and composition of matter for inhibitors of RET, including predicted RET resistant mutants, with multiple compound families, as well as methods of use for these novel compounds. The issued patent directed to BLU</w:t>
      </w:r>
      <w:r>
        <w:rPr>
          <w:rFonts w:ascii="MS PGothic" w:cs="MS PGothic" w:eastAsia="MS PGothic" w:hAnsi="MS PGothic"/>
          <w:sz w:val="17"/>
          <w:szCs w:val="17"/>
          <w:color w:val="auto"/>
        </w:rPr>
        <w:t>‑</w:t>
      </w:r>
      <w:r>
        <w:rPr>
          <w:rFonts w:ascii="Arial" w:cs="Arial" w:eastAsia="Arial" w:hAnsi="Arial"/>
          <w:sz w:val="17"/>
          <w:szCs w:val="17"/>
          <w:color w:val="auto"/>
        </w:rPr>
        <w:t>554 composition of matter has a statutory expiration date in 2034, the issued patent directed to BLU</w:t>
      </w:r>
      <w:r>
        <w:rPr>
          <w:rFonts w:ascii="MS PGothic" w:cs="MS PGothic" w:eastAsia="MS PGothic" w:hAnsi="MS PGothic"/>
          <w:sz w:val="17"/>
          <w:szCs w:val="17"/>
          <w:color w:val="auto"/>
        </w:rPr>
        <w:t>‑</w:t>
      </w:r>
      <w:r>
        <w:rPr>
          <w:rFonts w:ascii="Arial" w:cs="Arial" w:eastAsia="Arial" w:hAnsi="Arial"/>
          <w:sz w:val="17"/>
          <w:szCs w:val="17"/>
          <w:color w:val="auto"/>
        </w:rPr>
        <w:t>285 composition of matter has a statutory expiration date in 2034.</w:t>
      </w:r>
    </w:p>
    <w:p>
      <w:pPr>
        <w:spacing w:after="0" w:line="16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As of October 15, 2017, we owned four issued U.S. patents, five pending U.S. non-provisional patent applications, one pending U.S. provisional patent application, 28 foreign patent applications in a number of jurisdictions, including Australia, Argentina, Brazil, Bolivia, Canada, China, the European Union, Hong Kong, Israel, India, Iraq, Japan, Lebanon, Mexico, New Zealand, Pakistan, Paraguay, Philippines, Russia, Singapore, South Africa, South Korea, Taiwan, Uruguay and Venezuela, and one pending Patent Cooperation Treaty, or PCT, patent application directed to our KIT program, including BLU</w:t>
      </w:r>
      <w:r>
        <w:rPr>
          <w:rFonts w:ascii="MS PGothic" w:cs="MS PGothic" w:eastAsia="MS PGothic" w:hAnsi="MS PGothic"/>
          <w:sz w:val="16"/>
          <w:szCs w:val="16"/>
          <w:color w:val="auto"/>
        </w:rPr>
        <w:t>‑</w:t>
      </w:r>
      <w:r>
        <w:rPr>
          <w:rFonts w:ascii="Arial" w:cs="Arial" w:eastAsia="Arial" w:hAnsi="Arial"/>
          <w:sz w:val="16"/>
          <w:szCs w:val="16"/>
          <w:color w:val="auto"/>
        </w:rPr>
        <w:t>285. Any U.S. or ex</w:t>
      </w:r>
      <w:r>
        <w:rPr>
          <w:rFonts w:ascii="MS PGothic" w:cs="MS PGothic" w:eastAsia="MS PGothic" w:hAnsi="MS PGothic"/>
          <w:sz w:val="16"/>
          <w:szCs w:val="16"/>
          <w:color w:val="auto"/>
        </w:rPr>
        <w:t>‑</w:t>
      </w:r>
      <w:r>
        <w:rPr>
          <w:rFonts w:ascii="Arial" w:cs="Arial" w:eastAsia="Arial" w:hAnsi="Arial"/>
          <w:sz w:val="16"/>
          <w:szCs w:val="16"/>
          <w:color w:val="auto"/>
        </w:rPr>
        <w:t>U.S. patents issuing from the pending applications covering BLU</w:t>
      </w:r>
      <w:r>
        <w:rPr>
          <w:rFonts w:ascii="MS PGothic" w:cs="MS PGothic" w:eastAsia="MS PGothic" w:hAnsi="MS PGothic"/>
          <w:sz w:val="16"/>
          <w:szCs w:val="16"/>
          <w:color w:val="auto"/>
        </w:rPr>
        <w:t>‑</w:t>
      </w:r>
      <w:r>
        <w:rPr>
          <w:rFonts w:ascii="Arial" w:cs="Arial" w:eastAsia="Arial" w:hAnsi="Arial"/>
          <w:sz w:val="16"/>
          <w:szCs w:val="16"/>
          <w:color w:val="auto"/>
        </w:rPr>
        <w:t>285 will have a statutory expiration date of October 2034. Patent term adjustments or patent term extensions could result in later expiration dates.</w:t>
      </w:r>
    </w:p>
    <w:p>
      <w:pPr>
        <w:spacing w:after="0" w:line="163" w:lineRule="exact"/>
        <w:rPr>
          <w:sz w:val="20"/>
          <w:szCs w:val="20"/>
          <w:color w:val="auto"/>
        </w:rPr>
      </w:pPr>
    </w:p>
    <w:p>
      <w:pPr>
        <w:ind w:right="60" w:firstLine="648"/>
        <w:spacing w:after="0" w:line="182" w:lineRule="exact"/>
        <w:rPr>
          <w:sz w:val="20"/>
          <w:szCs w:val="20"/>
          <w:color w:val="auto"/>
        </w:rPr>
      </w:pPr>
      <w:r>
        <w:rPr>
          <w:rFonts w:ascii="Arial" w:cs="Arial" w:eastAsia="Arial" w:hAnsi="Arial"/>
          <w:sz w:val="16"/>
          <w:szCs w:val="16"/>
          <w:color w:val="auto"/>
        </w:rPr>
        <w:t>As of October 15, 2017, we owned five issued U.S. patents, three pending U.S. non-provisional patent applications, one pending U.S. provisional patent applications, three issued foreign patents and 42 pending foreign patent applications in a number of jurisdictions, including Argentina, Australia, Bolivia, Brazil, Canada, China, Egypt, the European Union, Hong Kong, Israel, India, Indonesia, Iraq, Japan, South Korea, Lebanon, Mexico New Zealand, Pakistan, Paraguay, Philippines, Russia, Singapore, South Africa, Taiwan, Thailand, Uruguay and Venezuela, and one pending PCT patent application directed to our FGFR4 program, including BLU</w:t>
      </w:r>
      <w:r>
        <w:rPr>
          <w:rFonts w:ascii="MS PGothic" w:cs="MS PGothic" w:eastAsia="MS PGothic" w:hAnsi="MS PGothic"/>
          <w:sz w:val="16"/>
          <w:szCs w:val="16"/>
          <w:color w:val="auto"/>
        </w:rPr>
        <w:t>‑</w:t>
      </w:r>
      <w:r>
        <w:rPr>
          <w:rFonts w:ascii="Arial" w:cs="Arial" w:eastAsia="Arial" w:hAnsi="Arial"/>
          <w:sz w:val="16"/>
          <w:szCs w:val="16"/>
          <w:color w:val="auto"/>
        </w:rPr>
        <w:t>554. Any U.S. or ex</w:t>
      </w:r>
      <w:r>
        <w:rPr>
          <w:rFonts w:ascii="MS PGothic" w:cs="MS PGothic" w:eastAsia="MS PGothic" w:hAnsi="MS PGothic"/>
          <w:sz w:val="16"/>
          <w:szCs w:val="16"/>
          <w:color w:val="auto"/>
        </w:rPr>
        <w:t>‑</w:t>
      </w:r>
      <w:r>
        <w:rPr>
          <w:rFonts w:ascii="Arial" w:cs="Arial" w:eastAsia="Arial" w:hAnsi="Arial"/>
          <w:sz w:val="16"/>
          <w:szCs w:val="16"/>
          <w:color w:val="auto"/>
        </w:rPr>
        <w:t>U.S. patent issuing from the pending applications covering BLU</w:t>
      </w:r>
      <w:r>
        <w:rPr>
          <w:rFonts w:ascii="MS PGothic" w:cs="MS PGothic" w:eastAsia="MS PGothic" w:hAnsi="MS PGothic"/>
          <w:sz w:val="16"/>
          <w:szCs w:val="16"/>
          <w:color w:val="auto"/>
        </w:rPr>
        <w:t>‑</w:t>
      </w:r>
      <w:r>
        <w:rPr>
          <w:rFonts w:ascii="Arial" w:cs="Arial" w:eastAsia="Arial" w:hAnsi="Arial"/>
          <w:sz w:val="16"/>
          <w:szCs w:val="16"/>
          <w:color w:val="auto"/>
        </w:rPr>
        <w:t>554 will have a statutory expiration date of July 2033, December 2033, October 2034, September 2037 or April 2038. Patent term adjustments or patent term extensions could result in later expiration dates.</w:t>
      </w:r>
    </w:p>
    <w:p>
      <w:pPr>
        <w:spacing w:after="0" w:line="167"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As of October 15, 2017, we owned five pending U.S. non-provisional patent applications, four pending PCT applications, six pending foreign patent applications filed in Argentina, Lebanon, Uruguay and Taiwan, and one pending U.S. provisional patent applications directed to our RET program, which, if issued, will have statutory expiration dates of 2036 or 2037. Patent term adjustments or patent term extensions could result in later expiration dates.</w:t>
      </w:r>
    </w:p>
    <w:p>
      <w:pPr>
        <w:spacing w:after="0" w:line="163"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The intellectual property portfolio directed to our platform includes patent applications directed to novel gene fusions and the uses of these fusions for detecting and treating conditions implicated with these fusions. As of October 15, 2017, we owned ten U.S. patent applications and ten European Union patent applications directed to this technology, which, if issued, will have statutory expiration dates ranging from 2034 to 2035.</w:t>
      </w:r>
    </w:p>
    <w:p>
      <w:pPr>
        <w:spacing w:after="0" w:line="163"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BLU-667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79" w:lineRule="exact"/>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a U.S. patent owned by a third party that has generic composition of matter claims that cover BLU</w:t>
      </w:r>
      <w:r>
        <w:rPr>
          <w:rFonts w:ascii="MS PGothic" w:cs="MS PGothic" w:eastAsia="MS PGothic" w:hAnsi="MS PGothic"/>
          <w:sz w:val="17"/>
          <w:szCs w:val="17"/>
          <w:color w:val="auto"/>
        </w:rPr>
        <w:t>‑</w:t>
      </w:r>
      <w:r>
        <w:rPr>
          <w:rFonts w:ascii="Arial" w:cs="Arial" w:eastAsia="Arial" w:hAnsi="Arial"/>
          <w:sz w:val="17"/>
          <w:szCs w:val="17"/>
          <w:color w:val="auto"/>
        </w:rPr>
        <w:t>554. If the claims of this third-party patent are asserted against us, we do not believe BLU</w:t>
      </w:r>
      <w:r>
        <w:rPr>
          <w:rFonts w:ascii="MS PGothic" w:cs="MS PGothic" w:eastAsia="MS PGothic" w:hAnsi="MS PGothic"/>
          <w:sz w:val="17"/>
          <w:szCs w:val="17"/>
          <w:color w:val="auto"/>
        </w:rPr>
        <w:t>‑</w:t>
      </w:r>
      <w:r>
        <w:rPr>
          <w:rFonts w:ascii="Arial" w:cs="Arial" w:eastAsia="Arial" w:hAnsi="Arial"/>
          <w:sz w:val="17"/>
          <w:szCs w:val="17"/>
          <w:color w:val="auto"/>
        </w:rPr>
        <w:t>554 or our proposed activities related to BLU</w:t>
      </w:r>
      <w:r>
        <w:rPr>
          <w:rFonts w:ascii="MS PGothic" w:cs="MS PGothic" w:eastAsia="MS PGothic" w:hAnsi="MS PGothic"/>
          <w:sz w:val="17"/>
          <w:szCs w:val="17"/>
          <w:color w:val="auto"/>
        </w:rPr>
        <w:t>‑</w:t>
      </w:r>
      <w:r>
        <w:rPr>
          <w:rFonts w:ascii="Arial" w:cs="Arial" w:eastAsia="Arial" w:hAnsi="Arial"/>
          <w:sz w:val="17"/>
          <w:szCs w:val="17"/>
          <w:color w:val="auto"/>
        </w:rPr>
        <w:t>554 would be found to infringe any valid claim of this patent. While we may decide to initiate proceedings to challenge the validity of this patent in the future, we may be unsuccessful, and courts or patent offices in the United States and abroad could uphold the validity of any such patent.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68"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3"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2"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spacing w:after="0" w:line="249" w:lineRule="auto"/>
        <w:rPr>
          <w:sz w:val="20"/>
          <w:szCs w:val="20"/>
          <w:color w:val="auto"/>
        </w:rPr>
      </w:pPr>
      <w:r>
        <w:rPr>
          <w:rFonts w:ascii="Arial" w:cs="Arial" w:eastAsia="Arial" w:hAnsi="Arial"/>
          <w:sz w:val="16"/>
          <w:szCs w:val="16"/>
          <w:color w:val="auto"/>
        </w:rPr>
        <w:t>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55"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4"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a U.S. patent owned by a third party that has generic composition of matter claims that cover BLU</w:t>
      </w:r>
      <w:r>
        <w:rPr>
          <w:rFonts w:ascii="MS PGothic" w:cs="MS PGothic" w:eastAsia="MS PGothic" w:hAnsi="MS PGothic"/>
          <w:sz w:val="16"/>
          <w:szCs w:val="16"/>
          <w:color w:val="auto"/>
        </w:rPr>
        <w:t>‑</w:t>
      </w:r>
      <w:r>
        <w:rPr>
          <w:rFonts w:ascii="Arial" w:cs="Arial" w:eastAsia="Arial" w:hAnsi="Arial"/>
          <w:sz w:val="16"/>
          <w:szCs w:val="16"/>
          <w:color w:val="auto"/>
        </w:rPr>
        <w:t>554. If the claims of this third-party patent are asserted against us, we do not believe BLU</w:t>
      </w:r>
      <w:r>
        <w:rPr>
          <w:rFonts w:ascii="MS PGothic" w:cs="MS PGothic" w:eastAsia="MS PGothic" w:hAnsi="MS PGothic"/>
          <w:sz w:val="16"/>
          <w:szCs w:val="16"/>
          <w:color w:val="auto"/>
        </w:rPr>
        <w:t>‑</w:t>
      </w:r>
      <w:r>
        <w:rPr>
          <w:rFonts w:ascii="Arial" w:cs="Arial" w:eastAsia="Arial" w:hAnsi="Arial"/>
          <w:sz w:val="16"/>
          <w:szCs w:val="16"/>
          <w:color w:val="auto"/>
        </w:rPr>
        <w:t>554 or our proposed activities related to BLU</w:t>
      </w:r>
      <w:r>
        <w:rPr>
          <w:rFonts w:ascii="MS PGothic" w:cs="MS PGothic" w:eastAsia="MS PGothic" w:hAnsi="MS PGothic"/>
          <w:sz w:val="16"/>
          <w:szCs w:val="16"/>
          <w:color w:val="auto"/>
        </w:rPr>
        <w:t>‑</w:t>
      </w:r>
      <w:r>
        <w:rPr>
          <w:rFonts w:ascii="Arial" w:cs="Arial" w:eastAsia="Arial" w:hAnsi="Arial"/>
          <w:sz w:val="16"/>
          <w:szCs w:val="16"/>
          <w:color w:val="auto"/>
        </w:rPr>
        <w:t>554 would be found to infringe any valid claim of this patent. While we may decide to initiate proceedings to challenge the validity of this patent in the future, we may be unsuccessful, and courts or patent offices in the United States and abroad could uphold the validity of any such patent.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64"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5"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6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8"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280" w:firstLine="648"/>
        <w:spacing w:after="0" w:line="244"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62"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61"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62" w:lineRule="exact"/>
        <w:rPr>
          <w:sz w:val="20"/>
          <w:szCs w:val="20"/>
          <w:color w:val="auto"/>
        </w:rPr>
      </w:pPr>
    </w:p>
    <w:p>
      <w:pPr>
        <w:ind w:right="60" w:firstLine="648"/>
        <w:spacing w:after="0" w:line="220"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9"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19"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66" w:lineRule="exact"/>
        <w:rPr>
          <w:sz w:val="20"/>
          <w:szCs w:val="20"/>
          <w:color w:val="auto"/>
        </w:rPr>
      </w:pPr>
    </w:p>
    <w:p>
      <w:pPr>
        <w:ind w:right="159" w:firstLine="648"/>
        <w:spacing w:after="0" w:line="223"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68" w:lineRule="exact"/>
        <w:rPr>
          <w:sz w:val="20"/>
          <w:szCs w:val="20"/>
          <w:color w:val="auto"/>
        </w:rPr>
      </w:pPr>
    </w:p>
    <w:p>
      <w:pPr>
        <w:ind w:right="79"/>
        <w:spacing w:after="0" w:line="324"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02" w:lineRule="exact"/>
        <w:rPr>
          <w:sz w:val="20"/>
          <w:szCs w:val="20"/>
          <w:color w:val="auto"/>
        </w:rPr>
      </w:pPr>
    </w:p>
    <w:p>
      <w:pPr>
        <w:ind w:right="39" w:firstLine="648"/>
        <w:spacing w:after="0" w:line="233"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19" w:lineRule="exact"/>
        <w:rPr>
          <w:sz w:val="20"/>
          <w:szCs w:val="20"/>
          <w:color w:val="auto"/>
        </w:rPr>
      </w:pPr>
    </w:p>
    <w:p>
      <w:pPr>
        <w:ind w:right="399" w:firstLine="648"/>
        <w:spacing w:after="0" w:line="289" w:lineRule="auto"/>
        <w:rPr>
          <w:sz w:val="20"/>
          <w:szCs w:val="20"/>
          <w:color w:val="auto"/>
        </w:rPr>
      </w:pPr>
      <w:r>
        <w:rPr>
          <w:rFonts w:ascii="Arial" w:cs="Arial" w:eastAsia="Arial" w:hAnsi="Arial"/>
          <w:sz w:val="16"/>
          <w:szCs w:val="16"/>
          <w:color w:val="auto"/>
        </w:rPr>
        <w:t>We are highly dependent on the research and development, clinical, business development, financial and legal expertise of Jeffrey W. Albers, our President and Chief Executive Officer, Anthony L. Boral, our Chief Medical Officer,</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22" w:lineRule="auto"/>
        <w:rPr>
          <w:sz w:val="20"/>
          <w:szCs w:val="20"/>
          <w:color w:val="auto"/>
        </w:rPr>
      </w:pPr>
      <w:r>
        <w:rPr>
          <w:rFonts w:ascii="Arial" w:cs="Arial" w:eastAsia="Arial" w:hAnsi="Arial"/>
          <w:sz w:val="17"/>
          <w:szCs w:val="17"/>
          <w:color w:val="auto"/>
        </w:rPr>
        <w:t>Marion Dorsch, our Chief Scientific Officer, Kathryn Haviland, our Chief Business Officer, Michael Landsittel, our Vice President of Finance, Tracey McCain, our Chief Legal Officer, and Christopher Murray, our Senior Vice President of Technical Operations, as well as the other principal members of our management, scientific and clinical team. Although we have entered into employment agreements with our executive officers, other than Mr. Landsittel,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4"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62"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As of October 15, 2017, we had 133 full-time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In April 2017, we entered into a lease agreement for new office and laboratory space located at 45 Sidney Street, Cambridge, Massachusetts 02139, and we currently anticipate relocating our corporate headquarters to the new premises in the first quarter of 2018. The physical expansion of our operations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In addition, Brexit has already and may continue to adversely affect European and/or worldwide economic or market, political or regulatory conditions and may contribute to instability in the global financial markets, political institutions and regulatory agencies. The long-term impact of Brexit, including on our business and our industry, will depend on the terms that are negotiated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0"/>
        <w:spacing w:after="0" w:line="224" w:lineRule="auto"/>
        <w:rPr>
          <w:sz w:val="20"/>
          <w:szCs w:val="20"/>
          <w:color w:val="auto"/>
        </w:rPr>
      </w:pPr>
      <w:r>
        <w:rPr>
          <w:rFonts w:ascii="Arial" w:cs="Arial" w:eastAsia="Arial" w:hAnsi="Arial"/>
          <w:sz w:val="18"/>
          <w:szCs w:val="18"/>
          <w:color w:val="auto"/>
        </w:rPr>
        <w:t>in relation to the United Kingdom’s future relationship with the European Union. Any of the foregoing could harm our business and we cannot anticipate all of the ways in which the current economic climate and financial market conditions could adversely impact our business.</w:t>
      </w:r>
    </w:p>
    <w:p>
      <w:pPr>
        <w:spacing w:after="0" w:line="163"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24"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right="240"/>
        <w:spacing w:after="0" w:line="324" w:lineRule="auto"/>
        <w:rPr>
          <w:sz w:val="20"/>
          <w:szCs w:val="20"/>
          <w:color w:val="auto"/>
        </w:rPr>
      </w:pPr>
      <w:r>
        <w:rPr>
          <w:rFonts w:ascii="Arial" w:cs="Arial" w:eastAsia="Arial" w:hAnsi="Arial"/>
          <w:sz w:val="15"/>
          <w:szCs w:val="15"/>
          <w:b w:val="1"/>
          <w:bCs w:val="1"/>
          <w:i w:val="1"/>
          <w:iCs w:val="1"/>
          <w:color w:val="auto"/>
        </w:rPr>
        <w:t>Our internal computer systems, or those of our third-party CROs or other contractors or consultants, may fail or suffer security breaches, which could result in a material disruption of our drug candidates’ development programs.</w:t>
      </w:r>
    </w:p>
    <w:p>
      <w:pPr>
        <w:spacing w:after="0" w:line="10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68"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19"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6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185"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$71.67 and a low price of $13.04 per share for the period beginning on April 30, 2015, our first day of trading on The NASDAQ Global Select Market, through October 25, 2017. As a result of this volatility, our stockholders could incur substantial losses. In addition, the market price for our common stock may be influenced by many factors, including:</w:t>
      </w:r>
    </w:p>
    <w:p>
      <w:pPr>
        <w:spacing w:after="0" w:line="165" w:lineRule="exact"/>
        <w:rPr>
          <w:sz w:val="20"/>
          <w:szCs w:val="20"/>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96" w:lineRule="exact"/>
        <w:rPr>
          <w:rFonts w:ascii="Arial" w:cs="Arial" w:eastAsia="Arial" w:hAnsi="Arial"/>
          <w:sz w:val="17"/>
          <w:szCs w:val="17"/>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196" w:lineRule="exact"/>
        <w:rPr>
          <w:rFonts w:ascii="Arial" w:cs="Arial" w:eastAsia="Arial" w:hAnsi="Arial"/>
          <w:sz w:val="17"/>
          <w:szCs w:val="17"/>
          <w:color w:val="auto"/>
        </w:rPr>
      </w:pPr>
    </w:p>
    <w:p>
      <w:pPr>
        <w:ind w:left="1300" w:right="1280" w:hanging="325"/>
        <w:spacing w:after="0" w:line="23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ind w:right="79" w:firstLine="648"/>
        <w:spacing w:after="0" w:line="24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1" w:lineRule="exact"/>
        <w:rPr>
          <w:sz w:val="20"/>
          <w:szCs w:val="20"/>
          <w:color w:val="auto"/>
        </w:rPr>
      </w:pPr>
    </w:p>
    <w:p>
      <w:pPr>
        <w:ind w:right="79"/>
        <w:spacing w:after="0" w:line="23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62" w:lineRule="exact"/>
        <w:rPr>
          <w:sz w:val="20"/>
          <w:szCs w:val="20"/>
          <w:color w:val="auto"/>
        </w:rPr>
      </w:pPr>
    </w:p>
    <w:p>
      <w:pPr>
        <w:ind w:right="59" w:firstLine="648"/>
        <w:spacing w:after="0" w:line="244"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59"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62" w:lineRule="exact"/>
        <w:rPr>
          <w:sz w:val="20"/>
          <w:szCs w:val="20"/>
          <w:color w:val="auto"/>
        </w:rPr>
      </w:pPr>
    </w:p>
    <w:p>
      <w:pPr>
        <w:ind w:right="39" w:firstLine="648"/>
        <w:spacing w:after="0" w:line="212"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65" w:lineRule="exact"/>
        <w:rPr>
          <w:sz w:val="20"/>
          <w:szCs w:val="20"/>
          <w:color w:val="auto"/>
        </w:rPr>
      </w:pPr>
    </w:p>
    <w:p>
      <w:pPr>
        <w:ind w:right="359"/>
        <w:spacing w:after="0" w:line="258"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right="79" w:firstLine="648"/>
        <w:spacing w:after="0" w:line="239"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84" w:lineRule="exact"/>
        <w:rPr>
          <w:rFonts w:ascii="Arial" w:cs="Arial" w:eastAsia="Arial" w:hAnsi="Arial"/>
          <w:sz w:val="18"/>
          <w:szCs w:val="18"/>
          <w:color w:val="auto"/>
        </w:rPr>
      </w:pPr>
    </w:p>
    <w:p>
      <w:pPr>
        <w:ind w:left="1300" w:right="199" w:hanging="325"/>
        <w:spacing w:after="0" w:line="235"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3"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7"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62"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63"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b w:val="1"/>
          <w:bCs w:val="1"/>
          <w:i w:val="1"/>
          <w:iCs w:val="1"/>
          <w:color w:val="auto"/>
        </w:rPr>
        <w:t>Commencing January 1, 2018, we will no longer be an “emerging growth company,” and the reduced disclosure requirements applicable to emerging growth companies will no longer apply to us.</w:t>
      </w:r>
    </w:p>
    <w:p>
      <w:pPr>
        <w:spacing w:after="0" w:line="147"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We are currently an “emerging growth company,” as defined in the Jumpstart Our Business Startups Act of 2012. However, as of June 30, 2017, the market value of our common stock that was held by non-affiliates exceeded $700 million, and as a result, we will no longer qualify for such status commencing January 1, 2018. As a large accelerated filer, we will be subject to certain disclosure requirements that are applicable to other public companies that have not been applicable to us as an emerging growth company. These requirements include:</w:t>
      </w:r>
    </w:p>
    <w:p>
      <w:pPr>
        <w:spacing w:after="0" w:line="162" w:lineRule="exact"/>
        <w:rPr>
          <w:sz w:val="20"/>
          <w:szCs w:val="20"/>
          <w:color w:val="auto"/>
        </w:rPr>
      </w:pPr>
    </w:p>
    <w:p>
      <w:pPr>
        <w:ind w:left="1620" w:right="340" w:hanging="321"/>
        <w:spacing w:after="0" w:line="235"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requirements in the assessment of our internal control over financial reporting;</w:t>
      </w:r>
    </w:p>
    <w:p>
      <w:pPr>
        <w:spacing w:after="0" w:line="161" w:lineRule="exact"/>
        <w:rPr>
          <w:rFonts w:ascii="Arial" w:cs="Arial" w:eastAsia="Arial" w:hAnsi="Arial"/>
          <w:sz w:val="18"/>
          <w:szCs w:val="18"/>
          <w:color w:val="auto"/>
        </w:rPr>
      </w:pPr>
    </w:p>
    <w:p>
      <w:pPr>
        <w:ind w:left="1620" w:right="120" w:hanging="321"/>
        <w:spacing w:after="0" w:line="224"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3" w:lineRule="exact"/>
        <w:rPr>
          <w:rFonts w:ascii="Arial" w:cs="Arial" w:eastAsia="Arial" w:hAnsi="Arial"/>
          <w:sz w:val="18"/>
          <w:szCs w:val="18"/>
          <w:color w:val="auto"/>
        </w:rPr>
      </w:pPr>
    </w:p>
    <w:p>
      <w:pPr>
        <w:ind w:left="1620" w:hanging="321"/>
        <w:spacing w:after="0"/>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full disclosure obligations regarding executive compensation; and</w:t>
      </w:r>
    </w:p>
    <w:p>
      <w:pPr>
        <w:spacing w:after="0" w:line="184" w:lineRule="exact"/>
        <w:rPr>
          <w:rFonts w:ascii="Arial" w:cs="Arial" w:eastAsia="Arial" w:hAnsi="Arial"/>
          <w:sz w:val="18"/>
          <w:szCs w:val="18"/>
          <w:color w:val="auto"/>
        </w:rPr>
      </w:pPr>
    </w:p>
    <w:p>
      <w:pPr>
        <w:ind w:left="1620" w:right="160" w:hanging="321"/>
        <w:spacing w:after="0" w:line="289" w:lineRule="auto"/>
        <w:tabs>
          <w:tab w:leader="none" w:pos="1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compliance with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In addition, we will no longer be able to take advantage of transition periods for complying with new or revised accounting standards that are available to emerging growth companies.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20"/>
        <w:spacing w:after="0" w:line="324" w:lineRule="auto"/>
        <w:rPr>
          <w:sz w:val="20"/>
          <w:szCs w:val="20"/>
          <w:color w:val="auto"/>
        </w:rPr>
      </w:pPr>
      <w:r>
        <w:rPr>
          <w:rFonts w:ascii="Arial" w:cs="Arial" w:eastAsia="Arial" w:hAnsi="Arial"/>
          <w:sz w:val="15"/>
          <w:szCs w:val="15"/>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02"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As a public company, and particularly commencing January 1, 2018 when we will no longer be an emerging growth company, we have incurred and expect to continue to incur significant legal, accounting and other expenses that we did not incur as a private company.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costly.</w:t>
      </w:r>
    </w:p>
    <w:p>
      <w:pPr>
        <w:spacing w:after="0" w:line="168" w:lineRule="exact"/>
        <w:rPr>
          <w:sz w:val="20"/>
          <w:szCs w:val="20"/>
          <w:color w:val="auto"/>
        </w:rPr>
      </w:pPr>
    </w:p>
    <w:p>
      <w:pPr>
        <w:jc w:val="both"/>
        <w:ind w:right="180" w:firstLine="648"/>
        <w:spacing w:after="0" w:line="224" w:lineRule="auto"/>
        <w:rPr>
          <w:sz w:val="20"/>
          <w:szCs w:val="20"/>
          <w:color w:val="auto"/>
        </w:rPr>
      </w:pPr>
      <w:r>
        <w:rPr>
          <w:rFonts w:ascii="Arial" w:cs="Arial" w:eastAsia="Arial" w:hAnsi="Arial"/>
          <w:sz w:val="18"/>
          <w:szCs w:val="18"/>
          <w:color w:val="auto"/>
        </w:rPr>
        <w:t>Commencing January 1, 2018, we will no longer be an emerging growth company. As a result, we will not be able to take advantage of certain exemptions from various reporting requirements that are applicable to other public companies that are emerging growth companies as has been the case to date.</w:t>
      </w:r>
    </w:p>
    <w:p>
      <w:pPr>
        <w:spacing w:after="0" w:line="163"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an annual report by our management on our internal control over financial reporting. Commencing January 1, 2018, because we will no longer be an emerging growth company, we will be required to include with this annual report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69" w:lineRule="exact"/>
        <w:rPr>
          <w:sz w:val="20"/>
          <w:szCs w:val="20"/>
          <w:color w:val="auto"/>
        </w:rPr>
      </w:pPr>
    </w:p>
    <w:p>
      <w:pPr>
        <w:ind w:right="960"/>
        <w:spacing w:after="0" w:line="25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and security agreement with Silicon Valley Bank, we are currently restricted from paying cash dividends, and we expect these restrictions to continue in the future. In addition, the terms of any future debt agreements may preclude us from paying dividends. As a result, capital appreciation, if any, of our common stock will be the sole source of gain for our stockholders for the foreseeable future.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2016, we had federal net operating loss carryforwards of approximately $179.8 million, and our ability to utilize those net operating loss carryforwards could be limited by an “ownership change” as described above, which could result in increased tax liability to us.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60" w:type="dxa"/>
            <w:vAlign w:val="bottom"/>
            <w:gridSpan w:val="7"/>
          </w:tcPr>
          <w:p>
            <w:pPr>
              <w:ind w:left="2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7"/>
            <w:vMerge w:val="restart"/>
          </w:tcPr>
          <w:p>
            <w:pPr>
              <w:ind w:left="32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6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line="156"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60" w:type="dxa"/>
            <w:vAlign w:val="bottom"/>
            <w:gridSpan w:val="7"/>
          </w:tcPr>
          <w:p>
            <w:pPr>
              <w:spacing w:after="0" w:line="15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Employment Agreement, dated October 10, 2017, by and between the Registrant and Christopher K. Murray</w:t>
              </w:r>
            </w:hyperlink>
          </w:p>
        </w:tc>
        <w:tc>
          <w:tcPr>
            <w:tcW w:w="0" w:type="dxa"/>
            <w:vAlign w:val="bottom"/>
          </w:tcPr>
          <w:p>
            <w:pPr>
              <w:spacing w:after="0"/>
              <w:rPr>
                <w:sz w:val="1"/>
                <w:szCs w:val="1"/>
                <w:color w:val="auto"/>
              </w:rPr>
            </w:pPr>
          </w:p>
        </w:tc>
      </w:tr>
      <w:tr>
        <w:trPr>
          <w:trHeight w:val="264"/>
        </w:trPr>
        <w:tc>
          <w:tcPr>
            <w:tcW w:w="880" w:type="dxa"/>
            <w:vAlign w:val="bottom"/>
            <w:gridSpan w:val="2"/>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2"/>
                <w:szCs w:val="22"/>
                <w:color w:val="auto"/>
              </w:rPr>
            </w:pPr>
          </w:p>
        </w:tc>
        <w:tc>
          <w:tcPr>
            <w:tcW w:w="7820" w:type="dxa"/>
            <w:vAlign w:val="bottom"/>
            <w:tcBorders>
              <w:top w:val="single" w:sz="8" w:color="0000EE"/>
            </w:tcBorders>
            <w:gridSpan w:val="7"/>
          </w:tcPr>
          <w:p>
            <w:pPr>
              <w:spacing w:after="0"/>
              <w:rPr>
                <w:rFonts w:ascii="Arial" w:cs="Arial" w:eastAsia="Arial" w:hAnsi="Arial"/>
                <w:sz w:val="18"/>
                <w:szCs w:val="18"/>
                <w:color w:val="0000EE"/>
                <w:w w:val="93"/>
              </w:rPr>
            </w:pPr>
            <w:hyperlink w:anchor="page85">
              <w:r>
                <w:rPr>
                  <w:rFonts w:ascii="Arial" w:cs="Arial" w:eastAsia="Arial" w:hAnsi="Arial"/>
                  <w:sz w:val="18"/>
                  <w:szCs w:val="18"/>
                  <w:color w:val="0000EE"/>
                  <w:w w:val="93"/>
                </w:rPr>
                <w:t>Certification of Principal Executive Officer pursuant to Rule 13a-14(a) or Rule 15d-14(a) of the Exchange</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60" w:type="dxa"/>
            <w:vAlign w:val="bottom"/>
            <w:tcBorders>
              <w:top w:val="single" w:sz="8" w:color="0000EE"/>
            </w:tcBorders>
            <w:gridSpan w:val="5"/>
          </w:tcPr>
          <w:p>
            <w:pPr>
              <w:spacing w:after="0" w:line="156" w:lineRule="exact"/>
              <w:rPr>
                <w:rFonts w:ascii="Arial" w:cs="Arial" w:eastAsia="Arial" w:hAnsi="Arial"/>
                <w:sz w:val="18"/>
                <w:szCs w:val="18"/>
                <w:color w:val="0000EE"/>
              </w:rPr>
            </w:pPr>
            <w:hyperlink w:anchor="page85">
              <w:r>
                <w:rPr>
                  <w:rFonts w:ascii="Arial" w:cs="Arial" w:eastAsia="Arial" w:hAnsi="Arial"/>
                  <w:sz w:val="18"/>
                  <w:szCs w:val="18"/>
                  <w:color w:val="0000EE"/>
                </w:rPr>
                <w:t>Act, as adopted pursuant to Section 302 of the Sarbanes-Oxley Act of 2002</w:t>
              </w:r>
            </w:hyperlink>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2"/>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2"/>
                <w:szCs w:val="22"/>
                <w:color w:val="auto"/>
              </w:rPr>
            </w:pPr>
          </w:p>
        </w:tc>
        <w:tc>
          <w:tcPr>
            <w:tcW w:w="7880" w:type="dxa"/>
            <w:vAlign w:val="bottom"/>
            <w:gridSpan w:val="8"/>
          </w:tcPr>
          <w:p>
            <w:pPr>
              <w:spacing w:after="0"/>
              <w:rPr>
                <w:rFonts w:ascii="Arial" w:cs="Arial" w:eastAsia="Arial" w:hAnsi="Arial"/>
                <w:sz w:val="18"/>
                <w:szCs w:val="18"/>
                <w:color w:val="0000EE"/>
                <w:w w:val="95"/>
              </w:rPr>
            </w:pPr>
            <w:hyperlink w:anchor="page86">
              <w:r>
                <w:rPr>
                  <w:rFonts w:ascii="Arial" w:cs="Arial" w:eastAsia="Arial" w:hAnsi="Arial"/>
                  <w:sz w:val="18"/>
                  <w:szCs w:val="18"/>
                  <w:color w:val="0000EE"/>
                  <w:w w:val="95"/>
                </w:rPr>
                <w:t>Certification of Principal Financial Officer pursuant to Rule 13a-14(a) or Rule 15d-14(a) of the Exchange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0" w:type="dxa"/>
            <w:vAlign w:val="bottom"/>
            <w:tcBorders>
              <w:top w:val="single" w:sz="8" w:color="0000EE"/>
            </w:tcBorders>
            <w:gridSpan w:val="4"/>
          </w:tcPr>
          <w:p>
            <w:pPr>
              <w:spacing w:after="0" w:line="156" w:lineRule="exact"/>
              <w:rPr>
                <w:rFonts w:ascii="Arial" w:cs="Arial" w:eastAsia="Arial" w:hAnsi="Arial"/>
                <w:sz w:val="18"/>
                <w:szCs w:val="18"/>
                <w:color w:val="0000EE"/>
              </w:rPr>
            </w:pPr>
            <w:hyperlink w:anchor="page86">
              <w:r>
                <w:rPr>
                  <w:rFonts w:ascii="Arial" w:cs="Arial" w:eastAsia="Arial" w:hAnsi="Arial"/>
                  <w:sz w:val="18"/>
                  <w:szCs w:val="18"/>
                  <w:color w:val="0000EE"/>
                </w:rPr>
                <w:t>Act, as adopted pursuant to Section 302 of the Sarbanes-Oxley Act of 2002</w:t>
              </w:r>
            </w:hyperlink>
          </w:p>
        </w:tc>
        <w:tc>
          <w:tcPr>
            <w:tcW w:w="8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2"/>
                <w:szCs w:val="22"/>
                <w:color w:val="auto"/>
              </w:rPr>
            </w:pPr>
          </w:p>
        </w:tc>
        <w:tc>
          <w:tcPr>
            <w:tcW w:w="7880" w:type="dxa"/>
            <w:vAlign w:val="bottom"/>
            <w:gridSpan w:val="8"/>
          </w:tcPr>
          <w:p>
            <w:pPr>
              <w:spacing w:after="0"/>
              <w:rPr>
                <w:rFonts w:ascii="Arial" w:cs="Arial" w:eastAsia="Arial" w:hAnsi="Arial"/>
                <w:sz w:val="18"/>
                <w:szCs w:val="18"/>
                <w:color w:val="0000EE"/>
                <w:w w:val="95"/>
              </w:rPr>
            </w:pPr>
            <w:hyperlink w:anchor="page87">
              <w:r>
                <w:rPr>
                  <w:rFonts w:ascii="Arial" w:cs="Arial" w:eastAsia="Arial" w:hAnsi="Arial"/>
                  <w:sz w:val="18"/>
                  <w:szCs w:val="18"/>
                  <w:color w:val="0000EE"/>
                  <w:w w:val="95"/>
                </w:rPr>
                <w:t>Certifications of Principal Executive Officer and Principal Financial Officer pursuant to 18 U.S.C. Section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80" w:type="dxa"/>
            <w:vAlign w:val="bottom"/>
            <w:tcBorders>
              <w:top w:val="single" w:sz="8" w:color="0000EE"/>
            </w:tcBorders>
            <w:gridSpan w:val="6"/>
          </w:tcPr>
          <w:p>
            <w:pPr>
              <w:spacing w:after="0" w:line="156" w:lineRule="exact"/>
              <w:rPr>
                <w:rFonts w:ascii="Arial" w:cs="Arial" w:eastAsia="Arial" w:hAnsi="Arial"/>
                <w:sz w:val="18"/>
                <w:szCs w:val="18"/>
                <w:color w:val="0000EE"/>
              </w:rPr>
            </w:pPr>
            <w:hyperlink w:anchor="page87">
              <w:r>
                <w:rPr>
                  <w:rFonts w:ascii="Arial" w:cs="Arial" w:eastAsia="Arial" w:hAnsi="Arial"/>
                  <w:sz w:val="18"/>
                  <w:szCs w:val="18"/>
                  <w:color w:val="0000EE"/>
                </w:rPr>
                <w:t>1350, as adopted pursuant to Section 906 of the Sarbanes-Oxley Act of 2002</w:t>
              </w:r>
            </w:hyperlink>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55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2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788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78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78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78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78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ind w:left="200" w:right="139" w:hanging="197"/>
        <w:spacing w:after="0" w:line="219" w:lineRule="auto"/>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339" w:firstLine="441"/>
        <w:spacing w:after="0" w:line="25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BLUEPRINT MEDICINES CORPORATION</w:t>
      </w:r>
    </w:p>
    <w:p>
      <w:pPr>
        <w:spacing w:after="0" w:line="21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October 31,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Jeffrey W. Albers</w:t>
      </w:r>
    </w:p>
    <w:p>
      <w:pPr>
        <w:ind w:left="4780"/>
        <w:spacing w:after="0"/>
        <w:rPr>
          <w:sz w:val="20"/>
          <w:szCs w:val="20"/>
          <w:color w:val="auto"/>
        </w:rPr>
      </w:pPr>
      <w:r>
        <w:rPr>
          <w:rFonts w:ascii="Arial" w:cs="Arial" w:eastAsia="Arial" w:hAnsi="Arial"/>
          <w:sz w:val="16"/>
          <w:szCs w:val="16"/>
          <w:i w:val="1"/>
          <w:iCs w:val="1"/>
          <w:color w:val="auto"/>
        </w:rPr>
        <w:t>President, Chief Executive Officer and Director (Principal</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Executive Officer)</w:t>
      </w:r>
    </w:p>
    <w:p>
      <w:pPr>
        <w:spacing w:after="0" w:line="19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October 31,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Michael Landsittel</w:t>
      </w:r>
    </w:p>
    <w:p>
      <w:pPr>
        <w:ind w:left="4780"/>
        <w:spacing w:after="0" w:line="234" w:lineRule="auto"/>
        <w:rPr>
          <w:sz w:val="20"/>
          <w:szCs w:val="20"/>
          <w:color w:val="auto"/>
        </w:rPr>
      </w:pPr>
      <w:r>
        <w:rPr>
          <w:rFonts w:ascii="Arial" w:cs="Arial" w:eastAsia="Arial" w:hAnsi="Arial"/>
          <w:sz w:val="18"/>
          <w:szCs w:val="18"/>
          <w:i w:val="1"/>
          <w:iCs w:val="1"/>
          <w:color w:val="auto"/>
        </w:rPr>
        <w:t>Vice President of Finance</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2" w:name="page73"/>
    <w:bookmarkEnd w:id="72"/>
    <w:p>
      <w:pPr>
        <w:jc w:val="right"/>
        <w:ind w:right="139"/>
        <w:spacing w:after="0"/>
        <w:rPr>
          <w:sz w:val="20"/>
          <w:szCs w:val="20"/>
          <w:color w:val="auto"/>
        </w:rPr>
      </w:pPr>
      <w:r>
        <w:rPr>
          <w:rFonts w:ascii="Arial" w:cs="Arial" w:eastAsia="Arial" w:hAnsi="Arial"/>
          <w:sz w:val="18"/>
          <w:szCs w:val="18"/>
          <w:b w:val="1"/>
          <w:bCs w:val="1"/>
          <w:color w:val="auto"/>
        </w:rPr>
        <w:t>Exhibit 10.1</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EMPLOYMENT AGREEMENT</w:t>
      </w:r>
    </w:p>
    <w:p>
      <w:pPr>
        <w:spacing w:after="0" w:line="188" w:lineRule="exact"/>
        <w:rPr>
          <w:sz w:val="20"/>
          <w:szCs w:val="20"/>
          <w:color w:val="auto"/>
        </w:rPr>
      </w:pPr>
    </w:p>
    <w:p>
      <w:pPr>
        <w:ind w:left="160" w:right="219" w:firstLine="648"/>
        <w:spacing w:after="0"/>
        <w:rPr>
          <w:sz w:val="20"/>
          <w:szCs w:val="20"/>
          <w:color w:val="auto"/>
        </w:rPr>
      </w:pPr>
      <w:r>
        <w:rPr>
          <w:rFonts w:ascii="Arial" w:cs="Arial" w:eastAsia="Arial" w:hAnsi="Arial"/>
          <w:sz w:val="22"/>
          <w:szCs w:val="22"/>
          <w:color w:val="auto"/>
        </w:rPr>
        <w:t>This Employment Agreement (“Agreement”) is dated as of October 10, 2017 (the “Effective Date”), between Blueprint Medicines Corporation, a Delaware corporation (the “Company”), and Chris Murray (the “Executive”).</w:t>
      </w:r>
    </w:p>
    <w:p>
      <w:pPr>
        <w:spacing w:after="0" w:line="186" w:lineRule="exact"/>
        <w:rPr>
          <w:sz w:val="20"/>
          <w:szCs w:val="20"/>
          <w:color w:val="auto"/>
        </w:rPr>
      </w:pPr>
    </w:p>
    <w:p>
      <w:pPr>
        <w:ind w:left="160" w:right="359" w:firstLine="648"/>
        <w:spacing w:after="0" w:line="251" w:lineRule="auto"/>
        <w:rPr>
          <w:sz w:val="20"/>
          <w:szCs w:val="20"/>
          <w:color w:val="auto"/>
        </w:rPr>
      </w:pPr>
      <w:r>
        <w:rPr>
          <w:rFonts w:ascii="Arial" w:cs="Arial" w:eastAsia="Arial" w:hAnsi="Arial"/>
          <w:sz w:val="22"/>
          <w:szCs w:val="22"/>
          <w:color w:val="auto"/>
        </w:rPr>
        <w:t>WHEREAS, the Company desires to employ the Executive and the Executive desires to be employed by the Company on the terms and conditions contained herein.</w:t>
      </w:r>
    </w:p>
    <w:p>
      <w:pPr>
        <w:spacing w:after="0" w:line="173" w:lineRule="exact"/>
        <w:rPr>
          <w:sz w:val="20"/>
          <w:szCs w:val="20"/>
          <w:color w:val="auto"/>
        </w:rPr>
      </w:pPr>
    </w:p>
    <w:p>
      <w:pPr>
        <w:ind w:left="160" w:right="259" w:firstLine="648"/>
        <w:spacing w:after="0"/>
        <w:rPr>
          <w:sz w:val="20"/>
          <w:szCs w:val="20"/>
          <w:color w:val="auto"/>
        </w:rPr>
      </w:pPr>
      <w:r>
        <w:rPr>
          <w:rFonts w:ascii="Arial" w:cs="Arial" w:eastAsia="Arial" w:hAnsi="Arial"/>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86" w:lineRule="exact"/>
        <w:rPr>
          <w:sz w:val="20"/>
          <w:szCs w:val="20"/>
          <w:color w:val="auto"/>
        </w:rPr>
      </w:pPr>
    </w:p>
    <w:p>
      <w:pPr>
        <w:ind w:left="1440" w:hanging="641"/>
        <w:spacing w:after="0"/>
        <w:tabs>
          <w:tab w:leader="none" w:pos="144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219" w:firstLine="1287"/>
        <w:spacing w:after="0" w:line="328" w:lineRule="auto"/>
        <w:tabs>
          <w:tab w:leader="none" w:pos="2142"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continue until terminated in accordance with the provisions of Section 3 (the “Term”).</w:t>
      </w:r>
    </w:p>
    <w:p>
      <w:pPr>
        <w:spacing w:after="0" w:line="105" w:lineRule="exact"/>
        <w:rPr>
          <w:rFonts w:ascii="Arial" w:cs="Arial" w:eastAsia="Arial" w:hAnsi="Arial"/>
          <w:sz w:val="19"/>
          <w:szCs w:val="19"/>
          <w:color w:val="auto"/>
        </w:rPr>
      </w:pPr>
    </w:p>
    <w:p>
      <w:pPr>
        <w:ind w:left="160" w:right="159" w:firstLine="1287"/>
        <w:spacing w:after="0" w:line="245" w:lineRule="auto"/>
        <w:tabs>
          <w:tab w:leader="none" w:pos="2154"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Position and Duties</w:t>
      </w:r>
      <w:r>
        <w:rPr>
          <w:rFonts w:ascii="Arial" w:cs="Arial" w:eastAsia="Arial" w:hAnsi="Arial"/>
          <w:sz w:val="21"/>
          <w:szCs w:val="21"/>
          <w:color w:val="auto"/>
        </w:rPr>
        <w:t>. During the Term, the Executive shall serve as the Senior Vice President, Technical Operations of the Company, and shall have such duties as are consistent with such position. The Executive shall report to the Chief Executive Officer of the Company (the “CEO”). The Executive shall devote his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his duties to the Company as provided in this Agreement.</w:t>
      </w:r>
    </w:p>
    <w:p>
      <w:pPr>
        <w:spacing w:after="0" w:line="185" w:lineRule="exact"/>
        <w:rPr>
          <w:rFonts w:ascii="Arial" w:cs="Arial" w:eastAsia="Arial" w:hAnsi="Arial"/>
          <w:sz w:val="21"/>
          <w:szCs w:val="21"/>
          <w:color w:val="auto"/>
        </w:rPr>
      </w:pPr>
    </w:p>
    <w:p>
      <w:pPr>
        <w:ind w:left="1440" w:hanging="641"/>
        <w:spacing w:after="0"/>
        <w:tabs>
          <w:tab w:leader="none" w:pos="144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140" w:hanging="693"/>
        <w:spacing w:after="0"/>
        <w:tabs>
          <w:tab w:leader="none" w:pos="2140"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Term, the Executive’s annual base salary shall</w:t>
      </w:r>
    </w:p>
    <w:p>
      <w:pPr>
        <w:spacing w:after="0" w:line="20" w:lineRule="exact"/>
        <w:rPr>
          <w:sz w:val="20"/>
          <w:szCs w:val="20"/>
          <w:color w:val="auto"/>
        </w:rPr>
      </w:pPr>
    </w:p>
    <w:p>
      <w:pPr>
        <w:ind w:left="160" w:right="179"/>
        <w:spacing w:after="0" w:line="277" w:lineRule="auto"/>
        <w:rPr>
          <w:sz w:val="20"/>
          <w:szCs w:val="20"/>
          <w:color w:val="auto"/>
        </w:rPr>
      </w:pPr>
      <w:r>
        <w:rPr>
          <w:rFonts w:ascii="Arial" w:cs="Arial" w:eastAsia="Arial" w:hAnsi="Arial"/>
          <w:sz w:val="19"/>
          <w:szCs w:val="19"/>
          <w:color w:val="auto"/>
        </w:rPr>
        <w:t>be $370,000. The Executive’s base salary shall be re-determined annually by the Board or the Compensation Committee of the Board and shall be subject to increase but not decrease while Executive is serving in the Senior Vice President, Technical Operations role. The annual base salary in effect at any given time is referred to herein as “Base Salary.” The Base Salary shall be payable in a manner that is consistent with the Company’s usual payroll practices for senior executives.</w:t>
      </w:r>
    </w:p>
    <w:p>
      <w:pPr>
        <w:spacing w:after="0" w:line="153" w:lineRule="exact"/>
        <w:rPr>
          <w:sz w:val="20"/>
          <w:szCs w:val="20"/>
          <w:color w:val="auto"/>
        </w:rPr>
      </w:pPr>
    </w:p>
    <w:p>
      <w:pPr>
        <w:ind w:left="160" w:right="219" w:firstLine="1287"/>
        <w:spacing w:after="0" w:line="274" w:lineRule="auto"/>
        <w:tabs>
          <w:tab w:leader="none" w:pos="215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In connection with the commencement of the Executive’s employment, the Executive shall be granted an option to purchase 70,000 shares of the Company’s common stock (the “Option”). The date of the grant and the exercise price shall be determined by using the closing price on the first business day of the month after the Effective Date. The Option award shall be subject to the terms and conditions of the Company’s then-current stock option plan and form of stock option agreement. The Option shall vest as follows: 25% of the shares shall vest and become exercisable on the first anniversary of the Effective Date; thereafter, the remaining 75% of the shares shall vest and become exercisable in 36 equal monthly installments following the first anniversary of the Effective Date. Vesting shall be contingent upon Executive’s continued full-time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3" w:name="page74"/>
    <w:bookmarkEnd w:id="73"/>
    <w:p>
      <w:pPr>
        <w:ind w:left="160" w:right="159" w:firstLine="1287"/>
        <w:spacing w:after="0" w:line="275" w:lineRule="auto"/>
        <w:tabs>
          <w:tab w:leader="none" w:pos="2155"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Incentive Compensation</w:t>
      </w:r>
      <w:r>
        <w:rPr>
          <w:rFonts w:ascii="Arial" w:cs="Arial" w:eastAsia="Arial" w:hAnsi="Arial"/>
          <w:sz w:val="19"/>
          <w:szCs w:val="19"/>
          <w:color w:val="auto"/>
        </w:rPr>
        <w:t>. During the Term, the Executive shall be eligible to receive cash incentive compensation as determined by the Board or the Compensation Committee of the Board from time to time. Executive’s target annual incentive compensation shall be 35% of his Base Salary (the “Target Incentive Compensation”). The Board shall weigh its bonus determination as follows: 50% on Company performance and 50% on Executive’s individual performance. To earn incentive compensation, the Executive must be employed by the Company on the day such incentive compensation is paid. For the year 2017, Executive shall not be eligible to receive a pro-rated bonus based upon the period of time Executive is employed at the Company during the 2017 calendar year.</w:t>
      </w:r>
    </w:p>
    <w:p>
      <w:pPr>
        <w:spacing w:after="0" w:line="158" w:lineRule="exact"/>
        <w:rPr>
          <w:rFonts w:ascii="Arial" w:cs="Arial" w:eastAsia="Arial" w:hAnsi="Arial"/>
          <w:sz w:val="19"/>
          <w:szCs w:val="19"/>
          <w:color w:val="auto"/>
        </w:rPr>
      </w:pPr>
    </w:p>
    <w:p>
      <w:pPr>
        <w:ind w:left="160" w:right="339" w:firstLine="1287"/>
        <w:spacing w:after="0" w:line="276" w:lineRule="auto"/>
        <w:tabs>
          <w:tab w:leader="none" w:pos="2154"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Executive shall be entitled to receive prompt reimbursement for all reasonable expenses incurred by the Executive during the Term in performing</w:t>
      </w:r>
    </w:p>
    <w:p>
      <w:pPr>
        <w:spacing w:after="0" w:line="1" w:lineRule="exact"/>
        <w:rPr>
          <w:rFonts w:ascii="Arial" w:cs="Arial" w:eastAsia="Arial" w:hAnsi="Arial"/>
          <w:sz w:val="19"/>
          <w:szCs w:val="19"/>
          <w:color w:val="auto"/>
        </w:rPr>
      </w:pPr>
    </w:p>
    <w:p>
      <w:pPr>
        <w:ind w:left="160" w:right="279"/>
        <w:spacing w:after="0" w:line="237" w:lineRule="auto"/>
        <w:rPr>
          <w:rFonts w:ascii="Arial" w:cs="Arial" w:eastAsia="Arial" w:hAnsi="Arial"/>
          <w:sz w:val="19"/>
          <w:szCs w:val="19"/>
          <w:color w:val="auto"/>
        </w:rPr>
      </w:pPr>
      <w:r>
        <w:rPr>
          <w:rFonts w:ascii="Arial" w:cs="Arial" w:eastAsia="Arial" w:hAnsi="Arial"/>
          <w:sz w:val="22"/>
          <w:szCs w:val="22"/>
          <w:color w:val="auto"/>
        </w:rPr>
        <w:t>services hereunder, in accordance with the policies and procedures then in effect and established by the Company for its senior executive officers.</w:t>
      </w:r>
    </w:p>
    <w:p>
      <w:pPr>
        <w:spacing w:after="0" w:line="184" w:lineRule="exact"/>
        <w:rPr>
          <w:rFonts w:ascii="Arial" w:cs="Arial" w:eastAsia="Arial" w:hAnsi="Arial"/>
          <w:sz w:val="19"/>
          <w:szCs w:val="19"/>
          <w:color w:val="auto"/>
        </w:rPr>
      </w:pPr>
    </w:p>
    <w:p>
      <w:pPr>
        <w:ind w:left="160" w:right="179" w:firstLine="1287"/>
        <w:spacing w:after="0"/>
        <w:tabs>
          <w:tab w:leader="none" w:pos="214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During the Term, the Executive shall be eligible to participate in or receive benefits under the Company’s employee benefit plans in effect from time to time, subject to the terms of such plans.</w:t>
      </w:r>
    </w:p>
    <w:p>
      <w:pPr>
        <w:spacing w:after="0" w:line="186" w:lineRule="exact"/>
        <w:rPr>
          <w:rFonts w:ascii="Arial" w:cs="Arial" w:eastAsia="Arial" w:hAnsi="Arial"/>
          <w:sz w:val="22"/>
          <w:szCs w:val="22"/>
          <w:color w:val="auto"/>
        </w:rPr>
      </w:pPr>
    </w:p>
    <w:p>
      <w:pPr>
        <w:ind w:left="160" w:right="499" w:firstLine="1287"/>
        <w:spacing w:after="0" w:line="251" w:lineRule="auto"/>
        <w:tabs>
          <w:tab w:leader="none" w:pos="217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Vacations</w:t>
      </w:r>
      <w:r>
        <w:rPr>
          <w:rFonts w:ascii="Arial" w:cs="Arial" w:eastAsia="Arial" w:hAnsi="Arial"/>
          <w:sz w:val="22"/>
          <w:szCs w:val="22"/>
          <w:color w:val="auto"/>
        </w:rPr>
        <w:t>. During the Term, the Executive shall be entitled to accrue paid vacation in accordance with the Company’s applicable policy.</w:t>
      </w:r>
    </w:p>
    <w:p>
      <w:pPr>
        <w:spacing w:after="0" w:line="173" w:lineRule="exact"/>
        <w:rPr>
          <w:rFonts w:ascii="Arial" w:cs="Arial" w:eastAsia="Arial" w:hAnsi="Arial"/>
          <w:sz w:val="22"/>
          <w:szCs w:val="22"/>
          <w:color w:val="auto"/>
        </w:rPr>
      </w:pPr>
    </w:p>
    <w:p>
      <w:pPr>
        <w:ind w:left="160" w:right="779" w:firstLine="639"/>
        <w:spacing w:after="0" w:line="328" w:lineRule="auto"/>
        <w:tabs>
          <w:tab w:leader="none" w:pos="1483"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During the Term, the Executive’s employment hereunder may be terminated without any breach of this Agreement under the following circumstances:</w:t>
      </w:r>
    </w:p>
    <w:p>
      <w:pPr>
        <w:spacing w:after="0" w:line="105" w:lineRule="exact"/>
        <w:rPr>
          <w:rFonts w:ascii="Arial" w:cs="Arial" w:eastAsia="Arial" w:hAnsi="Arial"/>
          <w:sz w:val="19"/>
          <w:szCs w:val="19"/>
          <w:color w:val="auto"/>
        </w:rPr>
      </w:pPr>
    </w:p>
    <w:p>
      <w:pPr>
        <w:ind w:left="2140" w:hanging="693"/>
        <w:spacing w:after="0"/>
        <w:tabs>
          <w:tab w:leader="none" w:pos="2140"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The Executive’s employment hereunder shall terminate upon his</w:t>
      </w:r>
    </w:p>
    <w:p>
      <w:pPr>
        <w:spacing w:after="0" w:line="19" w:lineRule="exact"/>
        <w:rPr>
          <w:rFonts w:ascii="Arial" w:cs="Arial" w:eastAsia="Arial" w:hAnsi="Arial"/>
          <w:sz w:val="21"/>
          <w:szCs w:val="21"/>
          <w:color w:val="auto"/>
        </w:rPr>
      </w:pPr>
    </w:p>
    <w:p>
      <w:pPr>
        <w:ind w:left="160"/>
        <w:spacing w:after="0"/>
        <w:rPr>
          <w:rFonts w:ascii="Arial" w:cs="Arial" w:eastAsia="Arial" w:hAnsi="Arial"/>
          <w:sz w:val="21"/>
          <w:szCs w:val="21"/>
          <w:color w:val="auto"/>
        </w:rPr>
      </w:pPr>
      <w:r>
        <w:rPr>
          <w:rFonts w:ascii="Arial" w:cs="Arial" w:eastAsia="Arial" w:hAnsi="Arial"/>
          <w:sz w:val="22"/>
          <w:szCs w:val="22"/>
          <w:color w:val="auto"/>
        </w:rPr>
        <w:t>death.</w:t>
      </w:r>
    </w:p>
    <w:p>
      <w:pPr>
        <w:spacing w:after="0" w:line="188" w:lineRule="exact"/>
        <w:rPr>
          <w:rFonts w:ascii="Arial" w:cs="Arial" w:eastAsia="Arial" w:hAnsi="Arial"/>
          <w:sz w:val="21"/>
          <w:szCs w:val="21"/>
          <w:color w:val="auto"/>
        </w:rPr>
      </w:pPr>
    </w:p>
    <w:p>
      <w:pPr>
        <w:ind w:left="160" w:right="219" w:firstLine="1287"/>
        <w:spacing w:after="0" w:line="271" w:lineRule="auto"/>
        <w:tabs>
          <w:tab w:leader="none" w:pos="2154"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§260l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Americans with Disabilities Act, 42 U.S.C. §12101 </w:t>
      </w:r>
      <w:r>
        <w:rPr>
          <w:rFonts w:ascii="Arial" w:cs="Arial" w:eastAsia="Arial" w:hAnsi="Arial"/>
          <w:sz w:val="19"/>
          <w:szCs w:val="19"/>
          <w:i w:val="1"/>
          <w:iCs w:val="1"/>
          <w:color w:val="auto"/>
        </w:rPr>
        <w:t>et seq.</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74" w:name="page75"/>
    <w:bookmarkEnd w:id="74"/>
    <w:p>
      <w:pPr>
        <w:ind w:left="160" w:right="159" w:firstLine="1287"/>
        <w:spacing w:after="0" w:line="270" w:lineRule="auto"/>
        <w:tabs>
          <w:tab w:leader="none" w:pos="2155"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30 days following written notice of such non-performance from the CEO; (iv) a material breach by the Executive of any of the provisions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160" w:right="379" w:firstLine="1287"/>
        <w:spacing w:after="0" w:line="282" w:lineRule="auto"/>
        <w:tabs>
          <w:tab w:leader="none" w:pos="2154"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47" w:lineRule="exact"/>
        <w:rPr>
          <w:rFonts w:ascii="Arial" w:cs="Arial" w:eastAsia="Arial" w:hAnsi="Arial"/>
          <w:sz w:val="19"/>
          <w:szCs w:val="19"/>
          <w:color w:val="auto"/>
        </w:rPr>
      </w:pPr>
    </w:p>
    <w:p>
      <w:pPr>
        <w:ind w:left="2140" w:hanging="693"/>
        <w:spacing w:after="0"/>
        <w:tabs>
          <w:tab w:leader="none" w:pos="214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Termination by the Executive</w:t>
      </w:r>
      <w:r>
        <w:rPr>
          <w:rFonts w:ascii="Arial" w:cs="Arial" w:eastAsia="Arial" w:hAnsi="Arial"/>
          <w:sz w:val="22"/>
          <w:szCs w:val="22"/>
          <w:color w:val="auto"/>
        </w:rPr>
        <w:t>. The Executive may terminate his</w:t>
      </w:r>
    </w:p>
    <w:p>
      <w:pPr>
        <w:spacing w:after="0" w:line="8" w:lineRule="exact"/>
        <w:rPr>
          <w:sz w:val="20"/>
          <w:szCs w:val="20"/>
          <w:color w:val="auto"/>
        </w:rPr>
      </w:pPr>
    </w:p>
    <w:p>
      <w:pPr>
        <w:ind w:left="160" w:right="179"/>
        <w:spacing w:after="0" w:line="269" w:lineRule="auto"/>
        <w:rPr>
          <w:sz w:val="20"/>
          <w:szCs w:val="20"/>
          <w:color w:val="auto"/>
        </w:rPr>
      </w:pPr>
      <w:r>
        <w:rPr>
          <w:rFonts w:ascii="Arial" w:cs="Arial" w:eastAsia="Arial" w:hAnsi="Arial"/>
          <w:sz w:val="19"/>
          <w:szCs w:val="19"/>
          <w:color w:val="auto"/>
        </w:rPr>
        <w:t>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 to remedy the condition; (iv) notwithstanding such efforts, the Good Reason condition continues to exist; and (v) the Executive terminates his employment within 60 days after the end of the Cure Period .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75" w:name="page76"/>
    <w:bookmarkEnd w:id="75"/>
    <w:p>
      <w:pPr>
        <w:ind w:left="160" w:right="359"/>
        <w:spacing w:after="0" w:line="251" w:lineRule="auto"/>
        <w:rPr>
          <w:sz w:val="20"/>
          <w:szCs w:val="20"/>
          <w:color w:val="auto"/>
        </w:rPr>
      </w:pPr>
      <w:r>
        <w:rPr>
          <w:rFonts w:ascii="Arial" w:cs="Arial" w:eastAsia="Arial" w:hAnsi="Arial"/>
          <w:sz w:val="22"/>
          <w:szCs w:val="22"/>
          <w:color w:val="auto"/>
        </w:rPr>
        <w:t>Company cures the Good Reason condition during the Cure Period, Good Reason shall be deemed not to have occurred.</w:t>
      </w:r>
    </w:p>
    <w:p>
      <w:pPr>
        <w:spacing w:after="0" w:line="173" w:lineRule="exact"/>
        <w:rPr>
          <w:sz w:val="20"/>
          <w:szCs w:val="20"/>
          <w:color w:val="auto"/>
        </w:rPr>
      </w:pPr>
    </w:p>
    <w:p>
      <w:pPr>
        <w:ind w:left="160" w:right="299" w:firstLine="1287"/>
        <w:spacing w:after="0" w:line="249" w:lineRule="auto"/>
        <w:tabs>
          <w:tab w:leader="none" w:pos="2172" w:val="left"/>
        </w:tabs>
        <w:numPr>
          <w:ilvl w:val="2"/>
          <w:numId w:val="50"/>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8" w:lineRule="exact"/>
        <w:rPr>
          <w:rFonts w:ascii="Arial" w:cs="Arial" w:eastAsia="Arial" w:hAnsi="Arial"/>
          <w:sz w:val="21"/>
          <w:szCs w:val="21"/>
          <w:color w:val="auto"/>
        </w:rPr>
      </w:pPr>
    </w:p>
    <w:p>
      <w:pPr>
        <w:ind w:left="160" w:right="199" w:firstLine="1287"/>
        <w:spacing w:after="0" w:line="270" w:lineRule="auto"/>
        <w:tabs>
          <w:tab w:leader="none" w:pos="2154" w:val="left"/>
        </w:tabs>
        <w:numPr>
          <w:ilvl w:val="2"/>
          <w:numId w:val="50"/>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w:t>
      </w:r>
    </w:p>
    <w:p>
      <w:pPr>
        <w:spacing w:after="0" w:line="4" w:lineRule="exact"/>
        <w:rPr>
          <w:rFonts w:ascii="Arial" w:cs="Arial" w:eastAsia="Arial" w:hAnsi="Arial"/>
          <w:sz w:val="19"/>
          <w:szCs w:val="19"/>
          <w:color w:val="auto"/>
        </w:rPr>
      </w:pPr>
    </w:p>
    <w:p>
      <w:pPr>
        <w:ind w:left="160" w:right="159" w:hanging="9"/>
        <w:spacing w:after="0" w:line="244" w:lineRule="auto"/>
        <w:tabs>
          <w:tab w:leader="none" w:pos="526" w:val="left"/>
        </w:tabs>
        <w:numPr>
          <w:ilvl w:val="0"/>
          <w:numId w:val="51"/>
        </w:numPr>
        <w:rPr>
          <w:rFonts w:ascii="Arial" w:cs="Arial" w:eastAsia="Arial" w:hAnsi="Arial"/>
          <w:sz w:val="21"/>
          <w:szCs w:val="21"/>
          <w:color w:val="auto"/>
        </w:rPr>
      </w:pPr>
      <w:r>
        <w:rPr>
          <w:rFonts w:ascii="Arial" w:cs="Arial" w:eastAsia="Arial" w:hAnsi="Arial"/>
          <w:sz w:val="21"/>
          <w:szCs w:val="21"/>
          <w:color w:val="auto"/>
        </w:rPr>
        <w:t>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1" w:lineRule="exact"/>
        <w:rPr>
          <w:rFonts w:ascii="Arial" w:cs="Arial" w:eastAsia="Arial" w:hAnsi="Arial"/>
          <w:sz w:val="21"/>
          <w:szCs w:val="21"/>
          <w:color w:val="auto"/>
        </w:rPr>
      </w:pPr>
    </w:p>
    <w:p>
      <w:pPr>
        <w:ind w:left="1440" w:hanging="641"/>
        <w:spacing w:after="0"/>
        <w:tabs>
          <w:tab w:leader="none" w:pos="1440"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179" w:firstLine="1287"/>
        <w:spacing w:after="0" w:line="274" w:lineRule="auto"/>
        <w:tabs>
          <w:tab w:leader="none" w:pos="2142" w:val="left"/>
        </w:tabs>
        <w:numPr>
          <w:ilvl w:val="2"/>
          <w:numId w:val="51"/>
        </w:numPr>
        <w:rPr>
          <w:rFonts w:ascii="Arial" w:cs="Arial" w:eastAsia="Arial" w:hAnsi="Arial"/>
          <w:sz w:val="19"/>
          <w:szCs w:val="19"/>
          <w:color w:val="auto"/>
        </w:rPr>
      </w:pPr>
      <w:r>
        <w:rPr>
          <w:rFonts w:ascii="Arial" w:cs="Arial" w:eastAsia="Arial" w:hAnsi="Arial"/>
          <w:sz w:val="19"/>
          <w:szCs w:val="19"/>
          <w:u w:val="single" w:color="auto"/>
          <w:color w:val="auto"/>
        </w:rPr>
        <w:t>Termination Generally</w:t>
      </w:r>
      <w:r>
        <w:rPr>
          <w:rFonts w:ascii="Arial" w:cs="Arial" w:eastAsia="Arial" w:hAnsi="Arial"/>
          <w:sz w:val="19"/>
          <w:szCs w:val="19"/>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2(d)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58" w:lineRule="exact"/>
        <w:rPr>
          <w:rFonts w:ascii="Arial" w:cs="Arial" w:eastAsia="Arial" w:hAnsi="Arial"/>
          <w:sz w:val="19"/>
          <w:szCs w:val="19"/>
          <w:color w:val="auto"/>
        </w:rPr>
      </w:pPr>
    </w:p>
    <w:p>
      <w:pPr>
        <w:ind w:left="160" w:right="259" w:firstLine="1287"/>
        <w:spacing w:after="0" w:line="274" w:lineRule="auto"/>
        <w:tabs>
          <w:tab w:leader="none" w:pos="2154" w:val="left"/>
        </w:tabs>
        <w:numPr>
          <w:ilvl w:val="2"/>
          <w:numId w:val="51"/>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the Executive with Good Reason</w:t>
      </w:r>
      <w:r>
        <w:rPr>
          <w:rFonts w:ascii="Arial" w:cs="Arial" w:eastAsia="Arial" w:hAnsi="Arial"/>
          <w:sz w:val="19"/>
          <w:szCs w:val="19"/>
          <w:color w:val="auto"/>
        </w:rPr>
        <w:t>. During the Term, if the Executive’s employment is terminated by the Company without Cause as provided in Section 3(d), or the Executive terminates his employment for Good Reason as provided in Section 3(e), then the Company shall pay the Executive his Accrued Benefit. In addition, subject to the Executive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all within 60 days after the Date of Termination: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76" w:name="page77"/>
    <w:bookmarkEnd w:id="76"/>
    <w:p>
      <w:pPr>
        <w:ind w:left="2820" w:hanging="725"/>
        <w:spacing w:after="0"/>
        <w:tabs>
          <w:tab w:leader="none" w:pos="2820" w:val="left"/>
        </w:tabs>
        <w:numPr>
          <w:ilvl w:val="0"/>
          <w:numId w:val="52"/>
        </w:numPr>
        <w:rPr>
          <w:rFonts w:ascii="Arial" w:cs="Arial" w:eastAsia="Arial" w:hAnsi="Arial"/>
          <w:sz w:val="21"/>
          <w:szCs w:val="21"/>
          <w:color w:val="424242"/>
        </w:rPr>
      </w:pPr>
      <w:r>
        <w:rPr>
          <w:rFonts w:ascii="Arial" w:cs="Arial" w:eastAsia="Arial" w:hAnsi="Arial"/>
          <w:sz w:val="21"/>
          <w:szCs w:val="21"/>
          <w:color w:val="auto"/>
        </w:rPr>
        <w:t>the Company shall pay the Executive an amount equal to one (1)</w:t>
      </w:r>
    </w:p>
    <w:p>
      <w:pPr>
        <w:spacing w:after="0" w:line="19" w:lineRule="exact"/>
        <w:rPr>
          <w:rFonts w:ascii="Arial" w:cs="Arial" w:eastAsia="Arial" w:hAnsi="Arial"/>
          <w:sz w:val="21"/>
          <w:szCs w:val="21"/>
          <w:color w:val="424242"/>
        </w:rPr>
      </w:pPr>
    </w:p>
    <w:p>
      <w:pPr>
        <w:ind w:left="800"/>
        <w:spacing w:after="0"/>
        <w:rPr>
          <w:rFonts w:ascii="Arial" w:cs="Arial" w:eastAsia="Arial" w:hAnsi="Arial"/>
          <w:sz w:val="21"/>
          <w:szCs w:val="21"/>
          <w:color w:val="424242"/>
        </w:rPr>
      </w:pPr>
      <w:r>
        <w:rPr>
          <w:rFonts w:ascii="Arial" w:cs="Arial" w:eastAsia="Arial" w:hAnsi="Arial"/>
          <w:sz w:val="22"/>
          <w:szCs w:val="22"/>
          <w:color w:val="auto"/>
        </w:rPr>
        <w:t>times the Executive’s Base Salary (the “Severance Amount”); and</w:t>
      </w:r>
    </w:p>
    <w:p>
      <w:pPr>
        <w:spacing w:after="0" w:line="188" w:lineRule="exact"/>
        <w:rPr>
          <w:rFonts w:ascii="Arial" w:cs="Arial" w:eastAsia="Arial" w:hAnsi="Arial"/>
          <w:sz w:val="21"/>
          <w:szCs w:val="21"/>
          <w:color w:val="424242"/>
        </w:rPr>
      </w:pPr>
    </w:p>
    <w:p>
      <w:pPr>
        <w:ind w:left="800" w:right="139" w:firstLine="1295"/>
        <w:spacing w:after="0" w:line="279" w:lineRule="auto"/>
        <w:tabs>
          <w:tab w:leader="none" w:pos="2847" w:val="left"/>
        </w:tabs>
        <w:numPr>
          <w:ilvl w:val="0"/>
          <w:numId w:val="52"/>
        </w:numPr>
        <w:rPr>
          <w:rFonts w:ascii="Arial" w:cs="Arial" w:eastAsia="Arial" w:hAnsi="Arial"/>
          <w:sz w:val="19"/>
          <w:szCs w:val="19"/>
          <w:color w:val="424242"/>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151" w:lineRule="exact"/>
        <w:rPr>
          <w:sz w:val="20"/>
          <w:szCs w:val="20"/>
          <w:color w:val="auto"/>
        </w:rPr>
      </w:pPr>
    </w:p>
    <w:p>
      <w:pPr>
        <w:ind w:left="160" w:right="139"/>
        <w:spacing w:after="0" w:line="275" w:lineRule="auto"/>
        <w:rPr>
          <w:sz w:val="20"/>
          <w:szCs w:val="20"/>
          <w:color w:val="auto"/>
        </w:rPr>
      </w:pPr>
      <w:r>
        <w:rPr>
          <w:rFonts w:ascii="Arial" w:cs="Arial" w:eastAsia="Arial" w:hAnsi="Arial"/>
          <w:sz w:val="19"/>
          <w:szCs w:val="19"/>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l.409A-2(b)(2).</w:t>
      </w:r>
    </w:p>
    <w:p>
      <w:pPr>
        <w:spacing w:after="0" w:line="158" w:lineRule="exact"/>
        <w:rPr>
          <w:sz w:val="20"/>
          <w:szCs w:val="20"/>
          <w:color w:val="auto"/>
        </w:rPr>
      </w:pPr>
    </w:p>
    <w:p>
      <w:pPr>
        <w:ind w:left="160" w:right="199"/>
        <w:spacing w:after="0" w:line="247" w:lineRule="auto"/>
        <w:rPr>
          <w:sz w:val="20"/>
          <w:szCs w:val="20"/>
          <w:color w:val="auto"/>
        </w:rPr>
      </w:pPr>
      <w:r>
        <w:rPr>
          <w:rFonts w:ascii="Arial" w:cs="Arial" w:eastAsia="Arial" w:hAnsi="Arial"/>
          <w:sz w:val="21"/>
          <w:szCs w:val="21"/>
          <w:color w:val="auto"/>
        </w:rPr>
        <w:t>The receipt of any severance payments or benefits pursuant to Section 4 will be subject to Executive not violating the Restrictive Covenant Agreement (as defined below), the terms of which are hereby incorporated by reference. In the event Executive breaches the Restrictive Covenant Agreement, in addition to all other legal and equitable remedies, the Company shall have the right to terminate or suspend all continuing payments and benefits to which Executive may otherwise be entitled pursuant to Section 4 without affecting the Executive’s release or Executive’s obligations under the Separation Agreement and Release</w:t>
      </w:r>
    </w:p>
    <w:p>
      <w:pPr>
        <w:spacing w:after="0" w:line="178" w:lineRule="exact"/>
        <w:rPr>
          <w:sz w:val="20"/>
          <w:szCs w:val="20"/>
          <w:color w:val="auto"/>
        </w:rPr>
      </w:pPr>
    </w:p>
    <w:p>
      <w:pPr>
        <w:ind w:left="160" w:right="139" w:firstLine="639"/>
        <w:spacing w:after="0" w:line="270" w:lineRule="auto"/>
        <w:tabs>
          <w:tab w:leader="none" w:pos="1483"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Sale Event Payment</w:t>
      </w:r>
      <w:r>
        <w:rPr>
          <w:rFonts w:ascii="Arial" w:cs="Arial" w:eastAsia="Arial" w:hAnsi="Arial"/>
          <w:sz w:val="19"/>
          <w:szCs w:val="19"/>
          <w:color w:val="auto"/>
        </w:rPr>
        <w:t>. These provisions are intended to assure and encourage in advance the Executive’s continued attention and dedication to his assigned duties and his objectivity during the pendency and after the occurrence of any Sale Event (as defined below). These provisions shall apply in lieu of, and expressly supersede, the provisions of Section 4(b) regarding severance pay and benefits upon a termination of employment, if the Date of Termination occurs within twelve</w:t>
      </w:r>
    </w:p>
    <w:p>
      <w:pPr>
        <w:spacing w:after="0" w:line="4" w:lineRule="exact"/>
        <w:rPr>
          <w:rFonts w:ascii="Arial" w:cs="Arial" w:eastAsia="Arial" w:hAnsi="Arial"/>
          <w:sz w:val="19"/>
          <w:szCs w:val="19"/>
          <w:color w:val="auto"/>
        </w:rPr>
      </w:pPr>
    </w:p>
    <w:p>
      <w:pPr>
        <w:ind w:left="160" w:right="199" w:hanging="9"/>
        <w:spacing w:after="0" w:line="234" w:lineRule="auto"/>
        <w:tabs>
          <w:tab w:leader="none" w:pos="574" w:val="left"/>
        </w:tabs>
        <w:numPr>
          <w:ilvl w:val="0"/>
          <w:numId w:val="54"/>
        </w:numPr>
        <w:rPr>
          <w:rFonts w:ascii="Arial" w:cs="Arial" w:eastAsia="Arial" w:hAnsi="Arial"/>
          <w:sz w:val="22"/>
          <w:szCs w:val="22"/>
          <w:color w:val="auto"/>
        </w:rPr>
      </w:pPr>
      <w:r>
        <w:rPr>
          <w:rFonts w:ascii="Arial" w:cs="Arial" w:eastAsia="Arial" w:hAnsi="Arial"/>
          <w:sz w:val="22"/>
          <w:szCs w:val="22"/>
          <w:color w:val="auto"/>
        </w:rPr>
        <w:t>months after the occurrence of the first event constituting a Sale Event. These provisions shall terminate and be of no further force or effect beginning twelve (12) months after the occurrence of a Sale Event.</w:t>
      </w:r>
    </w:p>
    <w:p>
      <w:pPr>
        <w:spacing w:after="0" w:line="187" w:lineRule="exact"/>
        <w:rPr>
          <w:rFonts w:ascii="Arial" w:cs="Arial" w:eastAsia="Arial" w:hAnsi="Arial"/>
          <w:sz w:val="22"/>
          <w:szCs w:val="22"/>
          <w:color w:val="auto"/>
        </w:rPr>
      </w:pPr>
    </w:p>
    <w:p>
      <w:pPr>
        <w:ind w:left="160" w:right="199" w:firstLine="1287"/>
        <w:spacing w:after="0" w:line="282" w:lineRule="auto"/>
        <w:tabs>
          <w:tab w:leader="none" w:pos="2142" w:val="left"/>
        </w:tabs>
        <w:numPr>
          <w:ilvl w:val="2"/>
          <w:numId w:val="54"/>
        </w:numPr>
        <w:rPr>
          <w:rFonts w:ascii="Arial" w:cs="Arial" w:eastAsia="Arial" w:hAnsi="Arial"/>
          <w:sz w:val="19"/>
          <w:szCs w:val="19"/>
          <w:color w:val="auto"/>
        </w:rPr>
      </w:pPr>
      <w:r>
        <w:rPr>
          <w:rFonts w:ascii="Arial" w:cs="Arial" w:eastAsia="Arial" w:hAnsi="Arial"/>
          <w:sz w:val="19"/>
          <w:szCs w:val="19"/>
          <w:u w:val="single" w:color="auto"/>
          <w:color w:val="auto"/>
        </w:rPr>
        <w:t>Sale Event</w:t>
      </w:r>
      <w:r>
        <w:rPr>
          <w:rFonts w:ascii="Arial" w:cs="Arial" w:eastAsia="Arial" w:hAnsi="Arial"/>
          <w:sz w:val="19"/>
          <w:szCs w:val="19"/>
          <w:color w:val="auto"/>
        </w:rPr>
        <w:t>. During the Term, if within twelve (12) months after a Sale Event, the Executive’s employment is terminated by the Company without Cause as provided in Section 3(d) or the Executive terminates his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47" w:lineRule="exact"/>
        <w:rPr>
          <w:rFonts w:ascii="Arial" w:cs="Arial" w:eastAsia="Arial" w:hAnsi="Arial"/>
          <w:sz w:val="19"/>
          <w:szCs w:val="19"/>
          <w:color w:val="auto"/>
        </w:rPr>
      </w:pPr>
    </w:p>
    <w:p>
      <w:pPr>
        <w:ind w:left="800" w:right="559" w:firstLine="1295"/>
        <w:spacing w:after="0" w:line="328" w:lineRule="auto"/>
        <w:tabs>
          <w:tab w:leader="none" w:pos="2814" w:val="left"/>
        </w:tabs>
        <w:numPr>
          <w:ilvl w:val="3"/>
          <w:numId w:val="54"/>
        </w:numPr>
        <w:rPr>
          <w:rFonts w:ascii="Arial" w:cs="Arial" w:eastAsia="Arial" w:hAnsi="Arial"/>
          <w:sz w:val="19"/>
          <w:szCs w:val="19"/>
          <w:color w:val="424242"/>
        </w:rPr>
      </w:pPr>
      <w:r>
        <w:rPr>
          <w:rFonts w:ascii="Arial" w:cs="Arial" w:eastAsia="Arial" w:hAnsi="Arial"/>
          <w:sz w:val="19"/>
          <w:szCs w:val="19"/>
          <w:color w:val="auto"/>
        </w:rPr>
        <w:t>the Company shall pay the Executive a lump sum in cash in an amount equal to the sum of (A) one (1) times the Executive’s current Base Salary (or the</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77" w:name="page78"/>
    <w:bookmarkEnd w:id="77"/>
    <w:p>
      <w:pPr>
        <w:ind w:left="800"/>
        <w:spacing w:after="0"/>
        <w:rPr>
          <w:sz w:val="20"/>
          <w:szCs w:val="20"/>
          <w:color w:val="auto"/>
        </w:rPr>
      </w:pPr>
      <w:r>
        <w:rPr>
          <w:rFonts w:ascii="Arial" w:cs="Arial" w:eastAsia="Arial" w:hAnsi="Arial"/>
          <w:sz w:val="19"/>
          <w:szCs w:val="19"/>
          <w:color w:val="auto"/>
        </w:rPr>
        <w:t>Executive’s Base Salary in effect immediately prior to the Sale Event, if higher) plus (B) one</w:t>
      </w:r>
    </w:p>
    <w:p>
      <w:pPr>
        <w:spacing w:after="0" w:line="43" w:lineRule="exact"/>
        <w:rPr>
          <w:sz w:val="20"/>
          <w:szCs w:val="20"/>
          <w:color w:val="auto"/>
        </w:rPr>
      </w:pPr>
    </w:p>
    <w:p>
      <w:pPr>
        <w:ind w:left="1100" w:hanging="301"/>
        <w:spacing w:after="0"/>
        <w:tabs>
          <w:tab w:leader="none" w:pos="11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times the Executive’s Target Incentive Compensation; and</w:t>
      </w:r>
    </w:p>
    <w:p>
      <w:pPr>
        <w:spacing w:after="0" w:line="188" w:lineRule="exact"/>
        <w:rPr>
          <w:rFonts w:ascii="Arial" w:cs="Arial" w:eastAsia="Arial" w:hAnsi="Arial"/>
          <w:sz w:val="22"/>
          <w:szCs w:val="22"/>
          <w:color w:val="auto"/>
        </w:rPr>
      </w:pPr>
    </w:p>
    <w:p>
      <w:pPr>
        <w:ind w:left="800" w:right="139" w:firstLine="1295"/>
        <w:spacing w:after="0" w:line="234" w:lineRule="auto"/>
        <w:tabs>
          <w:tab w:leader="none" w:pos="2847" w:val="left"/>
        </w:tabs>
        <w:numPr>
          <w:ilvl w:val="1"/>
          <w:numId w:val="55"/>
        </w:numPr>
        <w:rPr>
          <w:rFonts w:ascii="Arial" w:cs="Arial" w:eastAsia="Arial" w:hAnsi="Arial"/>
          <w:sz w:val="22"/>
          <w:szCs w:val="22"/>
          <w:color w:val="424242"/>
        </w:rPr>
      </w:pPr>
      <w:r>
        <w:rPr>
          <w:rFonts w:ascii="Arial" w:cs="Arial" w:eastAsia="Arial" w:hAnsi="Arial"/>
          <w:sz w:val="22"/>
          <w:szCs w:val="22"/>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91" w:lineRule="exact"/>
        <w:rPr>
          <w:rFonts w:ascii="Arial" w:cs="Arial" w:eastAsia="Arial" w:hAnsi="Arial"/>
          <w:sz w:val="22"/>
          <w:szCs w:val="22"/>
          <w:color w:val="424242"/>
        </w:rPr>
      </w:pPr>
    </w:p>
    <w:p>
      <w:pPr>
        <w:ind w:left="800" w:right="319" w:firstLine="1295"/>
        <w:spacing w:after="0" w:line="246" w:lineRule="auto"/>
        <w:tabs>
          <w:tab w:leader="none" w:pos="2866" w:val="left"/>
        </w:tabs>
        <w:numPr>
          <w:ilvl w:val="1"/>
          <w:numId w:val="55"/>
        </w:numPr>
        <w:rPr>
          <w:rFonts w:ascii="Arial" w:cs="Arial" w:eastAsia="Arial" w:hAnsi="Arial"/>
          <w:sz w:val="21"/>
          <w:szCs w:val="21"/>
          <w:color w:val="424242"/>
        </w:rPr>
      </w:pPr>
      <w:r>
        <w:rPr>
          <w:rFonts w:ascii="Arial" w:cs="Arial" w:eastAsia="Arial" w:hAnsi="Arial"/>
          <w:sz w:val="21"/>
          <w:szCs w:val="21"/>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81" w:lineRule="exact"/>
        <w:rPr>
          <w:sz w:val="20"/>
          <w:szCs w:val="20"/>
          <w:color w:val="auto"/>
        </w:rPr>
      </w:pPr>
    </w:p>
    <w:p>
      <w:pPr>
        <w:ind w:left="240" w:right="239"/>
        <w:spacing w:after="0" w:line="287" w:lineRule="auto"/>
        <w:rPr>
          <w:sz w:val="20"/>
          <w:szCs w:val="20"/>
          <w:color w:val="auto"/>
        </w:rPr>
      </w:pPr>
      <w:r>
        <w:rPr>
          <w:rFonts w:ascii="Arial" w:cs="Arial" w:eastAsia="Arial" w:hAnsi="Arial"/>
          <w:sz w:val="19"/>
          <w:szCs w:val="19"/>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43" w:lineRule="exact"/>
        <w:rPr>
          <w:sz w:val="20"/>
          <w:szCs w:val="20"/>
          <w:color w:val="auto"/>
        </w:rPr>
      </w:pPr>
    </w:p>
    <w:p>
      <w:pPr>
        <w:ind w:left="2140" w:hanging="693"/>
        <w:spacing w:after="0"/>
        <w:tabs>
          <w:tab w:leader="none" w:pos="2140"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00" w:right="199" w:firstLine="1295"/>
        <w:spacing w:after="0" w:line="268" w:lineRule="auto"/>
        <w:tabs>
          <w:tab w:leader="none" w:pos="2814" w:val="left"/>
        </w:tabs>
        <w:numPr>
          <w:ilvl w:val="2"/>
          <w:numId w:val="56"/>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w:t>
      </w:r>
    </w:p>
    <w:p>
      <w:pPr>
        <w:spacing w:after="0" w:line="4" w:lineRule="exact"/>
        <w:rPr>
          <w:rFonts w:ascii="Arial" w:cs="Arial" w:eastAsia="Arial" w:hAnsi="Arial"/>
          <w:sz w:val="19"/>
          <w:szCs w:val="19"/>
          <w:color w:val="auto"/>
        </w:rPr>
      </w:pPr>
    </w:p>
    <w:p>
      <w:pPr>
        <w:jc w:val="both"/>
        <w:ind w:left="800" w:right="559" w:hanging="1"/>
        <w:spacing w:after="0" w:line="246" w:lineRule="auto"/>
        <w:tabs>
          <w:tab w:leader="none" w:pos="1106" w:val="left"/>
        </w:tabs>
        <w:numPr>
          <w:ilvl w:val="0"/>
          <w:numId w:val="57"/>
        </w:numPr>
        <w:rPr>
          <w:rFonts w:ascii="Arial" w:cs="Arial" w:eastAsia="Arial" w:hAnsi="Arial"/>
          <w:sz w:val="21"/>
          <w:szCs w:val="21"/>
          <w:color w:val="auto"/>
        </w:rPr>
      </w:pPr>
      <w:r>
        <w:rPr>
          <w:rFonts w:ascii="Arial" w:cs="Arial" w:eastAsia="Arial" w:hAnsi="Arial"/>
          <w:sz w:val="21"/>
          <w:szCs w:val="21"/>
          <w:color w:val="auto"/>
        </w:rPr>
        <w:t>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78" w:name="page79"/>
    <w:bookmarkEnd w:id="78"/>
    <w:p>
      <w:pPr>
        <w:ind w:left="800" w:right="459"/>
        <w:spacing w:after="0" w:line="328" w:lineRule="auto"/>
        <w:rPr>
          <w:sz w:val="20"/>
          <w:szCs w:val="20"/>
          <w:color w:val="auto"/>
        </w:rPr>
      </w:pPr>
      <w:r>
        <w:rPr>
          <w:rFonts w:ascii="Arial" w:cs="Arial" w:eastAsia="Arial" w:hAnsi="Arial"/>
          <w:sz w:val="19"/>
          <w:szCs w:val="19"/>
          <w:color w:val="auto"/>
        </w:rPr>
        <w:t>under Treas. Reg. §1.280G-1, Q&amp;A-24(b) or (c) shall be reduced before any amounts that are subject to calculation under Treas. Reg. §1.280G-1, Q&amp;A-24(b) or (c).</w:t>
      </w:r>
    </w:p>
    <w:p>
      <w:pPr>
        <w:spacing w:after="0" w:line="105" w:lineRule="exact"/>
        <w:rPr>
          <w:sz w:val="20"/>
          <w:szCs w:val="20"/>
          <w:color w:val="auto"/>
        </w:rPr>
      </w:pPr>
    </w:p>
    <w:p>
      <w:pPr>
        <w:ind w:left="800" w:right="139" w:firstLine="1295"/>
        <w:spacing w:after="0" w:line="274" w:lineRule="auto"/>
        <w:tabs>
          <w:tab w:leader="none" w:pos="2847" w:val="left"/>
        </w:tabs>
        <w:numPr>
          <w:ilvl w:val="1"/>
          <w:numId w:val="58"/>
        </w:numPr>
        <w:rPr>
          <w:rFonts w:ascii="Arial" w:cs="Arial" w:eastAsia="Arial" w:hAnsi="Arial"/>
          <w:sz w:val="19"/>
          <w:szCs w:val="19"/>
          <w:color w:val="auto"/>
        </w:rPr>
      </w:pPr>
      <w:r>
        <w:rPr>
          <w:rFonts w:ascii="Arial" w:cs="Arial" w:eastAsia="Arial" w:hAnsi="Arial"/>
          <w:sz w:val="19"/>
          <w:szCs w:val="19"/>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8" w:lineRule="exact"/>
        <w:rPr>
          <w:rFonts w:ascii="Arial" w:cs="Arial" w:eastAsia="Arial" w:hAnsi="Arial"/>
          <w:sz w:val="19"/>
          <w:szCs w:val="19"/>
          <w:color w:val="auto"/>
        </w:rPr>
      </w:pPr>
    </w:p>
    <w:p>
      <w:pPr>
        <w:ind w:left="800" w:right="219" w:firstLine="1295"/>
        <w:spacing w:after="0" w:line="247" w:lineRule="auto"/>
        <w:tabs>
          <w:tab w:leader="none" w:pos="2866" w:val="left"/>
        </w:tabs>
        <w:numPr>
          <w:ilvl w:val="1"/>
          <w:numId w:val="58"/>
        </w:numPr>
        <w:rPr>
          <w:rFonts w:ascii="Arial" w:cs="Arial" w:eastAsia="Arial" w:hAnsi="Arial"/>
          <w:sz w:val="21"/>
          <w:szCs w:val="21"/>
          <w:color w:val="auto"/>
        </w:rPr>
      </w:pPr>
      <w:r>
        <w:rPr>
          <w:rFonts w:ascii="Arial" w:cs="Arial" w:eastAsia="Arial" w:hAnsi="Arial"/>
          <w:sz w:val="21"/>
          <w:szCs w:val="21"/>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78" w:lineRule="exact"/>
        <w:rPr>
          <w:rFonts w:ascii="Arial" w:cs="Arial" w:eastAsia="Arial" w:hAnsi="Arial"/>
          <w:sz w:val="21"/>
          <w:szCs w:val="21"/>
          <w:color w:val="auto"/>
        </w:rPr>
      </w:pPr>
    </w:p>
    <w:p>
      <w:pPr>
        <w:ind w:left="160" w:right="159" w:firstLine="1287"/>
        <w:spacing w:after="0" w:line="272" w:lineRule="auto"/>
        <w:tabs>
          <w:tab w:leader="none" w:pos="2155"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Sale Event Definition</w:t>
      </w:r>
      <w:r>
        <w:rPr>
          <w:rFonts w:ascii="Arial" w:cs="Arial" w:eastAsia="Arial" w:hAnsi="Arial"/>
          <w:sz w:val="19"/>
          <w:szCs w:val="19"/>
          <w:color w:val="auto"/>
        </w:rPr>
        <w:t>. For purposes of this Section 5, “Sale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200" w:lineRule="exact"/>
        <w:rPr>
          <w:sz w:val="20"/>
          <w:szCs w:val="20"/>
          <w:color w:val="auto"/>
        </w:rPr>
      </w:pPr>
    </w:p>
    <w:p>
      <w:pPr>
        <w:spacing w:after="0" w:line="209" w:lineRule="exact"/>
        <w:rPr>
          <w:sz w:val="20"/>
          <w:szCs w:val="20"/>
          <w:color w:val="auto"/>
        </w:rPr>
      </w:pPr>
    </w:p>
    <w:p>
      <w:pPr>
        <w:ind w:left="160" w:right="159"/>
        <w:spacing w:after="0" w:line="273" w:lineRule="auto"/>
        <w:rPr>
          <w:sz w:val="20"/>
          <w:szCs w:val="20"/>
          <w:color w:val="auto"/>
        </w:rPr>
      </w:pPr>
      <w:r>
        <w:rPr>
          <w:rFonts w:ascii="Arial" w:cs="Arial" w:eastAsia="Arial" w:hAnsi="Arial"/>
          <w:sz w:val="19"/>
          <w:szCs w:val="19"/>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79" w:name="page80"/>
    <w:bookmarkEnd w:id="79"/>
    <w:p>
      <w:pPr>
        <w:ind w:left="1440" w:hanging="641"/>
        <w:spacing w:after="0"/>
        <w:tabs>
          <w:tab w:leader="none" w:pos="144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219" w:firstLine="1287"/>
        <w:spacing w:after="0" w:line="270" w:lineRule="auto"/>
        <w:tabs>
          <w:tab w:leader="none" w:pos="2142" w:val="left"/>
        </w:tabs>
        <w:numPr>
          <w:ilvl w:val="1"/>
          <w:numId w:val="60"/>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w:t>
      </w:r>
    </w:p>
    <w:p>
      <w:pPr>
        <w:spacing w:after="0" w:line="1" w:lineRule="exact"/>
        <w:rPr>
          <w:rFonts w:ascii="Arial" w:cs="Arial" w:eastAsia="Arial" w:hAnsi="Arial"/>
          <w:sz w:val="19"/>
          <w:szCs w:val="19"/>
          <w:color w:val="auto"/>
        </w:rPr>
      </w:pPr>
    </w:p>
    <w:p>
      <w:pPr>
        <w:ind w:left="160"/>
        <w:spacing w:after="0"/>
        <w:rPr>
          <w:rFonts w:ascii="Arial" w:cs="Arial" w:eastAsia="Arial" w:hAnsi="Arial"/>
          <w:sz w:val="19"/>
          <w:szCs w:val="19"/>
          <w:color w:val="auto"/>
        </w:rPr>
      </w:pPr>
      <w:r>
        <w:rPr>
          <w:rFonts w:ascii="Arial" w:cs="Arial" w:eastAsia="Arial" w:hAnsi="Arial"/>
          <w:sz w:val="19"/>
          <w:szCs w:val="19"/>
          <w:color w:val="auto"/>
        </w:rPr>
        <w:t>imposed pursuant to Section 409A(a) of the Code as a result of the application of Section 409A(a)</w:t>
      </w:r>
    </w:p>
    <w:p>
      <w:pPr>
        <w:spacing w:after="0" w:line="24" w:lineRule="exact"/>
        <w:rPr>
          <w:rFonts w:ascii="Arial" w:cs="Arial" w:eastAsia="Arial" w:hAnsi="Arial"/>
          <w:sz w:val="19"/>
          <w:szCs w:val="19"/>
          <w:color w:val="auto"/>
        </w:rPr>
      </w:pPr>
    </w:p>
    <w:p>
      <w:pPr>
        <w:ind w:left="160" w:right="199"/>
        <w:spacing w:after="0" w:line="267" w:lineRule="auto"/>
        <w:rPr>
          <w:rFonts w:ascii="Arial" w:cs="Arial" w:eastAsia="Arial" w:hAnsi="Arial"/>
          <w:sz w:val="19"/>
          <w:szCs w:val="19"/>
          <w:color w:val="auto"/>
        </w:rPr>
      </w:pPr>
      <w:r>
        <w:rPr>
          <w:rFonts w:ascii="Arial" w:cs="Arial" w:eastAsia="Arial" w:hAnsi="Arial"/>
          <w:sz w:val="19"/>
          <w:szCs w:val="19"/>
          <w:color w:val="auto"/>
        </w:rPr>
        <w:t>(2)(B)(i) of the Code, such payment shall not be payable and such benefit shall not be provided until the date that is the earlier of (A) six months and one day after the Executive’s separation</w:t>
      </w:r>
    </w:p>
    <w:p>
      <w:pPr>
        <w:ind w:left="160" w:right="239"/>
        <w:spacing w:after="0" w:line="233" w:lineRule="auto"/>
        <w:rPr>
          <w:rFonts w:ascii="Arial" w:cs="Arial" w:eastAsia="Arial" w:hAnsi="Arial"/>
          <w:sz w:val="19"/>
          <w:szCs w:val="19"/>
          <w:color w:val="auto"/>
        </w:rPr>
      </w:pPr>
      <w:r>
        <w:rPr>
          <w:rFonts w:ascii="Arial" w:cs="Arial" w:eastAsia="Arial" w:hAnsi="Arial"/>
          <w:sz w:val="22"/>
          <w:szCs w:val="22"/>
          <w:color w:val="auto"/>
        </w:rPr>
        <w:t>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5" w:lineRule="exact"/>
        <w:rPr>
          <w:rFonts w:ascii="Arial" w:cs="Arial" w:eastAsia="Arial" w:hAnsi="Arial"/>
          <w:sz w:val="19"/>
          <w:szCs w:val="19"/>
          <w:color w:val="auto"/>
        </w:rPr>
      </w:pPr>
    </w:p>
    <w:p>
      <w:pPr>
        <w:ind w:left="160" w:right="259" w:firstLine="1287"/>
        <w:spacing w:after="0" w:line="274" w:lineRule="auto"/>
        <w:tabs>
          <w:tab w:leader="none" w:pos="2154" w:val="left"/>
        </w:tabs>
        <w:numPr>
          <w:ilvl w:val="1"/>
          <w:numId w:val="60"/>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8" w:lineRule="exact"/>
        <w:rPr>
          <w:rFonts w:ascii="Arial" w:cs="Arial" w:eastAsia="Arial" w:hAnsi="Arial"/>
          <w:sz w:val="19"/>
          <w:szCs w:val="19"/>
          <w:color w:val="auto"/>
        </w:rPr>
      </w:pPr>
    </w:p>
    <w:p>
      <w:pPr>
        <w:ind w:left="160" w:right="479" w:firstLine="1287"/>
        <w:spacing w:after="0" w:line="279" w:lineRule="auto"/>
        <w:tabs>
          <w:tab w:leader="none" w:pos="2155" w:val="left"/>
        </w:tabs>
        <w:numPr>
          <w:ilvl w:val="1"/>
          <w:numId w:val="60"/>
        </w:numPr>
        <w:rPr>
          <w:rFonts w:ascii="Arial" w:cs="Arial" w:eastAsia="Arial" w:hAnsi="Arial"/>
          <w:sz w:val="19"/>
          <w:szCs w:val="19"/>
          <w:color w:val="auto"/>
        </w:rPr>
      </w:pPr>
      <w:r>
        <w:rPr>
          <w:rFonts w:ascii="Arial" w:cs="Arial" w:eastAsia="Arial" w:hAnsi="Arial"/>
          <w:sz w:val="19"/>
          <w:szCs w:val="19"/>
          <w:color w:val="auto"/>
        </w:rPr>
        <w:t>To the extent that any payment or benefit described in this Agreement constitutes “non-qualified deferred compensation” under Section 409A of the Code, and to the extent that such payment or benefit is payable upon the Executive’s termination of employment , then such payments or benefits shall be payable only upon the Executive’s “separation from service.” The determination of whether and when a separation from service has occurred shall be made in accordance with the presumptions set forth in Treasury Regulation Section 1.409A-l(h).</w:t>
      </w:r>
    </w:p>
    <w:p>
      <w:pPr>
        <w:spacing w:after="0" w:line="150" w:lineRule="exact"/>
        <w:rPr>
          <w:rFonts w:ascii="Arial" w:cs="Arial" w:eastAsia="Arial" w:hAnsi="Arial"/>
          <w:sz w:val="19"/>
          <w:szCs w:val="19"/>
          <w:color w:val="auto"/>
        </w:rPr>
      </w:pPr>
    </w:p>
    <w:p>
      <w:pPr>
        <w:ind w:left="160" w:right="199" w:firstLine="1287"/>
        <w:spacing w:after="0" w:line="274" w:lineRule="auto"/>
        <w:tabs>
          <w:tab w:leader="none" w:pos="2154"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0" w:name="page81"/>
    <w:bookmarkEnd w:id="80"/>
    <w:p>
      <w:pPr>
        <w:jc w:val="both"/>
        <w:ind w:left="160" w:right="159" w:firstLine="1287"/>
        <w:spacing w:after="0" w:line="238" w:lineRule="auto"/>
        <w:tabs>
          <w:tab w:leader="none" w:pos="2142"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5" w:lineRule="exact"/>
        <w:rPr>
          <w:rFonts w:ascii="Arial" w:cs="Arial" w:eastAsia="Arial" w:hAnsi="Arial"/>
          <w:sz w:val="22"/>
          <w:szCs w:val="22"/>
          <w:color w:val="auto"/>
        </w:rPr>
      </w:pPr>
    </w:p>
    <w:p>
      <w:pPr>
        <w:ind w:left="160" w:right="199" w:firstLine="639"/>
        <w:spacing w:after="0" w:line="252" w:lineRule="auto"/>
        <w:tabs>
          <w:tab w:leader="none" w:pos="1483"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The Executive agrees to the terms of the Non-Solicitation, Confidentiality and Assignment Agreement, dated as of the Effective Date, by and between the Company and the Executive (the “Restrictive Covenant Agreement”), the terms of which are hereby incorporated by reference as material terms of this Agreement.</w:t>
      </w:r>
    </w:p>
    <w:p>
      <w:pPr>
        <w:spacing w:after="0" w:line="174" w:lineRule="exact"/>
        <w:rPr>
          <w:rFonts w:ascii="Arial" w:cs="Arial" w:eastAsia="Arial" w:hAnsi="Arial"/>
          <w:sz w:val="21"/>
          <w:szCs w:val="21"/>
          <w:color w:val="auto"/>
        </w:rPr>
      </w:pPr>
    </w:p>
    <w:p>
      <w:pPr>
        <w:ind w:left="160" w:right="139" w:firstLine="639"/>
        <w:spacing w:after="0" w:line="271" w:lineRule="auto"/>
        <w:tabs>
          <w:tab w:leader="none" w:pos="1483"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Arbitration of Disputes</w:t>
      </w:r>
      <w:r>
        <w:rPr>
          <w:rFonts w:ascii="Arial" w:cs="Arial" w:eastAsia="Arial" w:hAnsi="Arial"/>
          <w:sz w:val="19"/>
          <w:szCs w:val="19"/>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58" w:lineRule="exact"/>
        <w:rPr>
          <w:rFonts w:ascii="Arial" w:cs="Arial" w:eastAsia="Arial" w:hAnsi="Arial"/>
          <w:sz w:val="19"/>
          <w:szCs w:val="19"/>
          <w:color w:val="auto"/>
        </w:rPr>
      </w:pPr>
    </w:p>
    <w:p>
      <w:pPr>
        <w:jc w:val="both"/>
        <w:ind w:left="160" w:right="139" w:firstLine="639"/>
        <w:spacing w:after="0" w:line="247" w:lineRule="auto"/>
        <w:tabs>
          <w:tab w:leader="none" w:pos="1510"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Consent to Jurisdiction</w:t>
      </w:r>
      <w:r>
        <w:rPr>
          <w:rFonts w:ascii="Arial" w:cs="Arial" w:eastAsia="Arial" w:hAnsi="Arial"/>
          <w:sz w:val="21"/>
          <w:szCs w:val="21"/>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78" w:lineRule="exact"/>
        <w:rPr>
          <w:rFonts w:ascii="Arial" w:cs="Arial" w:eastAsia="Arial" w:hAnsi="Arial"/>
          <w:sz w:val="21"/>
          <w:szCs w:val="21"/>
          <w:color w:val="auto"/>
        </w:rPr>
      </w:pPr>
    </w:p>
    <w:p>
      <w:pPr>
        <w:jc w:val="both"/>
        <w:ind w:left="160" w:right="139" w:firstLine="639"/>
        <w:spacing w:after="0" w:line="252" w:lineRule="auto"/>
        <w:tabs>
          <w:tab w:leader="none" w:pos="1524"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the subject matter hereof and supersedes all other prior agreements between the parties concerning such subject matter; provided that the Restrictive Covenant Agreement is expressly preserved and incorporated by reference herein.</w:t>
      </w:r>
    </w:p>
    <w:p>
      <w:pPr>
        <w:spacing w:after="0" w:line="174" w:lineRule="exact"/>
        <w:rPr>
          <w:rFonts w:ascii="Arial" w:cs="Arial" w:eastAsia="Arial" w:hAnsi="Arial"/>
          <w:sz w:val="21"/>
          <w:szCs w:val="21"/>
          <w:color w:val="auto"/>
        </w:rPr>
      </w:pPr>
    </w:p>
    <w:p>
      <w:pPr>
        <w:ind w:left="160" w:right="339" w:firstLine="639"/>
        <w:spacing w:after="0"/>
        <w:tabs>
          <w:tab w:leader="none" w:pos="1475"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to the Executive under this Agreement shall be net of any tax or other amounts required to be withheld by the Company under applicable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1" w:name="page82"/>
    <w:bookmarkEnd w:id="81"/>
    <w:p>
      <w:pPr>
        <w:ind w:left="160" w:right="219" w:firstLine="639"/>
        <w:spacing w:after="0" w:line="234" w:lineRule="auto"/>
        <w:tabs>
          <w:tab w:leader="none" w:pos="1483"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Successor to the Executive</w:t>
      </w:r>
      <w:r>
        <w:rPr>
          <w:rFonts w:ascii="Arial" w:cs="Arial" w:eastAsia="Arial" w:hAnsi="Arial"/>
          <w:sz w:val="22"/>
          <w:szCs w:val="22"/>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his under this Agreement, the Company shall continue such payments to the Executive’s beneficiary designated in writing to the Company prior to his death (or to his estate, if the Executive fails to make such designation).</w:t>
      </w:r>
    </w:p>
    <w:p>
      <w:pPr>
        <w:spacing w:after="0" w:line="191" w:lineRule="exact"/>
        <w:rPr>
          <w:rFonts w:ascii="Arial" w:cs="Arial" w:eastAsia="Arial" w:hAnsi="Arial"/>
          <w:sz w:val="22"/>
          <w:szCs w:val="22"/>
          <w:color w:val="auto"/>
        </w:rPr>
      </w:pPr>
    </w:p>
    <w:p>
      <w:pPr>
        <w:ind w:left="160" w:right="379" w:firstLine="639"/>
        <w:spacing w:after="0" w:line="279" w:lineRule="auto"/>
        <w:tabs>
          <w:tab w:leader="none" w:pos="1483"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0" w:lineRule="exact"/>
        <w:rPr>
          <w:rFonts w:ascii="Arial" w:cs="Arial" w:eastAsia="Arial" w:hAnsi="Arial"/>
          <w:sz w:val="19"/>
          <w:szCs w:val="19"/>
          <w:color w:val="auto"/>
        </w:rPr>
      </w:pPr>
    </w:p>
    <w:p>
      <w:pPr>
        <w:ind w:left="160" w:right="679" w:firstLine="639"/>
        <w:spacing w:after="0"/>
        <w:tabs>
          <w:tab w:leader="none" w:pos="1483"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86" w:lineRule="exact"/>
        <w:rPr>
          <w:rFonts w:ascii="Arial" w:cs="Arial" w:eastAsia="Arial" w:hAnsi="Arial"/>
          <w:sz w:val="22"/>
          <w:szCs w:val="22"/>
          <w:color w:val="auto"/>
        </w:rPr>
      </w:pPr>
    </w:p>
    <w:p>
      <w:pPr>
        <w:ind w:left="160" w:right="299" w:firstLine="639"/>
        <w:spacing w:after="0" w:line="236" w:lineRule="auto"/>
        <w:tabs>
          <w:tab w:leader="none" w:pos="1483"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7" w:lineRule="exact"/>
        <w:rPr>
          <w:rFonts w:ascii="Arial" w:cs="Arial" w:eastAsia="Arial" w:hAnsi="Arial"/>
          <w:sz w:val="22"/>
          <w:szCs w:val="22"/>
          <w:color w:val="auto"/>
        </w:rPr>
      </w:pPr>
    </w:p>
    <w:p>
      <w:pPr>
        <w:ind w:left="160" w:right="319" w:firstLine="639"/>
        <w:spacing w:after="0" w:line="282" w:lineRule="auto"/>
        <w:tabs>
          <w:tab w:leader="none" w:pos="1483"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47" w:lineRule="exact"/>
        <w:rPr>
          <w:rFonts w:ascii="Arial" w:cs="Arial" w:eastAsia="Arial" w:hAnsi="Arial"/>
          <w:sz w:val="19"/>
          <w:szCs w:val="19"/>
          <w:color w:val="auto"/>
        </w:rPr>
      </w:pPr>
    </w:p>
    <w:p>
      <w:pPr>
        <w:jc w:val="both"/>
        <w:ind w:left="160" w:right="859" w:firstLine="639"/>
        <w:spacing w:after="0" w:line="328" w:lineRule="auto"/>
        <w:tabs>
          <w:tab w:leader="none" w:pos="1483"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may be amended or modified only by a written instrument signed by the Executive and by a duly authorized representative of the Company.</w:t>
      </w:r>
    </w:p>
    <w:p>
      <w:pPr>
        <w:spacing w:after="0" w:line="105" w:lineRule="exact"/>
        <w:rPr>
          <w:rFonts w:ascii="Arial" w:cs="Arial" w:eastAsia="Arial" w:hAnsi="Arial"/>
          <w:sz w:val="19"/>
          <w:szCs w:val="19"/>
          <w:color w:val="auto"/>
        </w:rPr>
      </w:pPr>
    </w:p>
    <w:p>
      <w:pPr>
        <w:ind w:left="160" w:right="259" w:firstLine="639"/>
        <w:spacing w:after="0" w:line="282" w:lineRule="auto"/>
        <w:tabs>
          <w:tab w:leader="none" w:pos="1483"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47" w:lineRule="exact"/>
        <w:rPr>
          <w:rFonts w:ascii="Arial" w:cs="Arial" w:eastAsia="Arial" w:hAnsi="Arial"/>
          <w:sz w:val="19"/>
          <w:szCs w:val="19"/>
          <w:color w:val="auto"/>
        </w:rPr>
      </w:pPr>
    </w:p>
    <w:p>
      <w:pPr>
        <w:ind w:left="160" w:right="159" w:firstLine="639"/>
        <w:spacing w:after="0"/>
        <w:tabs>
          <w:tab w:leader="none" w:pos="1483"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2" w:name="page83"/>
    <w:bookmarkEnd w:id="82"/>
    <w:p>
      <w:pPr>
        <w:ind w:left="160" w:right="159" w:firstLine="639"/>
        <w:spacing w:after="0" w:line="279" w:lineRule="auto"/>
        <w:tabs>
          <w:tab w:leader="none" w:pos="1483"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Successor to Company</w:t>
      </w:r>
      <w:r>
        <w:rPr>
          <w:rFonts w:ascii="Arial" w:cs="Arial" w:eastAsia="Arial" w:hAnsi="Arial"/>
          <w:sz w:val="19"/>
          <w:szCs w:val="19"/>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3" w:name="page84"/>
    <w:bookmarkEnd w:id="83"/>
    <w:p>
      <w:pPr>
        <w:ind w:left="160" w:right="439" w:firstLine="648"/>
        <w:spacing w:after="0" w:line="251" w:lineRule="auto"/>
        <w:rPr>
          <w:sz w:val="20"/>
          <w:szCs w:val="20"/>
          <w:color w:val="auto"/>
        </w:rPr>
      </w:pPr>
      <w:r>
        <w:rPr>
          <w:rFonts w:ascii="Arial" w:cs="Arial" w:eastAsia="Arial" w:hAnsi="Arial"/>
          <w:sz w:val="22"/>
          <w:szCs w:val="22"/>
          <w:color w:val="auto"/>
        </w:rPr>
        <w:t>IN WITNESS WHEREOF, the parties have executed this Agreement effective on the date and year first above written.</w:t>
      </w:r>
    </w:p>
    <w:p>
      <w:pPr>
        <w:spacing w:after="0" w:line="181"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BLUEPRINT MEDICINES CORPORATION</w:t>
      </w:r>
    </w:p>
    <w:p>
      <w:pPr>
        <w:spacing w:after="0" w:line="229" w:lineRule="exact"/>
        <w:rPr>
          <w:sz w:val="20"/>
          <w:szCs w:val="20"/>
          <w:color w:val="auto"/>
        </w:rPr>
      </w:pPr>
    </w:p>
    <w:tbl>
      <w:tblPr>
        <w:tblLayout w:type="fixed"/>
        <w:tblInd w:w="426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3840" w:type="dxa"/>
            <w:vAlign w:val="bottom"/>
          </w:tcPr>
          <w:p>
            <w:pPr>
              <w:spacing w:after="0"/>
              <w:rPr>
                <w:sz w:val="20"/>
                <w:szCs w:val="20"/>
                <w:color w:val="auto"/>
              </w:rPr>
            </w:pPr>
            <w:r>
              <w:rPr>
                <w:rFonts w:ascii="Arial" w:cs="Arial" w:eastAsia="Arial" w:hAnsi="Arial"/>
                <w:sz w:val="22"/>
                <w:szCs w:val="22"/>
                <w:color w:val="auto"/>
              </w:rPr>
              <w:t>/s/ Jeffrey Albers</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60" w:type="dxa"/>
            <w:vAlign w:val="bottom"/>
            <w:vMerge w:val="continue"/>
          </w:tcPr>
          <w:p>
            <w:pPr>
              <w:spacing w:after="0"/>
              <w:rPr>
                <w:sz w:val="18"/>
                <w:szCs w:val="18"/>
                <w:color w:val="auto"/>
              </w:rPr>
            </w:pPr>
          </w:p>
        </w:tc>
        <w:tc>
          <w:tcPr>
            <w:tcW w:w="3840" w:type="dxa"/>
            <w:vAlign w:val="bottom"/>
          </w:tcPr>
          <w:p>
            <w:pPr>
              <w:spacing w:after="0" w:line="216" w:lineRule="exact"/>
              <w:rPr>
                <w:sz w:val="20"/>
                <w:szCs w:val="20"/>
                <w:color w:val="auto"/>
              </w:rPr>
            </w:pPr>
            <w:r>
              <w:rPr>
                <w:rFonts w:ascii="Arial" w:cs="Arial" w:eastAsia="Arial" w:hAnsi="Arial"/>
                <w:sz w:val="22"/>
                <w:szCs w:val="22"/>
                <w:color w:val="auto"/>
              </w:rPr>
              <w:t>Jeffrey Albers</w:t>
            </w:r>
          </w:p>
        </w:tc>
        <w:tc>
          <w:tcPr>
            <w:tcW w:w="0" w:type="dxa"/>
            <w:vAlign w:val="bottom"/>
          </w:tcPr>
          <w:p>
            <w:pPr>
              <w:spacing w:after="0"/>
              <w:rPr>
                <w:sz w:val="1"/>
                <w:szCs w:val="1"/>
                <w:color w:val="auto"/>
              </w:rPr>
            </w:pP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3840" w:type="dxa"/>
            <w:vAlign w:val="bottom"/>
          </w:tcPr>
          <w:p>
            <w:pPr>
              <w:spacing w:after="0"/>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 Chris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7620</wp:posOffset>
            </wp:positionV>
            <wp:extent cx="29330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 w:lineRule="exact"/>
        <w:rPr>
          <w:sz w:val="20"/>
          <w:szCs w:val="20"/>
          <w:color w:val="auto"/>
        </w:rPr>
      </w:pPr>
    </w:p>
    <w:p>
      <w:pPr>
        <w:ind w:left="4260"/>
        <w:spacing w:after="0"/>
        <w:tabs>
          <w:tab w:leader="none" w:pos="50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Chris Murray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4" w:name="page85"/>
    <w:bookmarkEnd w:id="84"/>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419" w:firstLine="639"/>
        <w:spacing w:after="0" w:line="224" w:lineRule="auto"/>
        <w:tabs>
          <w:tab w:leader="none" w:pos="14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8"/>
          <w:szCs w:val="18"/>
          <w:color w:val="auto"/>
        </w:rPr>
      </w:pPr>
    </w:p>
    <w:p>
      <w:pPr>
        <w:ind w:left="800" w:right="259" w:firstLine="647"/>
        <w:spacing w:after="0" w:line="219" w:lineRule="auto"/>
        <w:tabs>
          <w:tab w:leader="none" w:pos="209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8"/>
          <w:szCs w:val="18"/>
          <w:color w:val="auto"/>
        </w:rPr>
      </w:pPr>
    </w:p>
    <w:p>
      <w:pPr>
        <w:ind w:left="2100" w:hanging="653"/>
        <w:spacing w:after="0"/>
        <w:tabs>
          <w:tab w:leader="none" w:pos="21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w:t>
      </w:r>
    </w:p>
    <w:p>
      <w:pPr>
        <w:ind w:left="800"/>
        <w:spacing w:after="0"/>
        <w:rPr>
          <w:rFonts w:ascii="Arial" w:cs="Arial" w:eastAsia="Arial" w:hAnsi="Arial"/>
          <w:sz w:val="17"/>
          <w:szCs w:val="17"/>
          <w:color w:val="auto"/>
        </w:rPr>
      </w:pPr>
      <w:r>
        <w:rPr>
          <w:rFonts w:ascii="Arial" w:cs="Arial" w:eastAsia="Arial" w:hAnsi="Arial"/>
          <w:sz w:val="18"/>
          <w:szCs w:val="18"/>
          <w:color w:val="auto"/>
        </w:rPr>
        <w:t>49313);</w:t>
      </w:r>
    </w:p>
    <w:p>
      <w:pPr>
        <w:spacing w:after="0" w:line="168" w:lineRule="exact"/>
        <w:rPr>
          <w:rFonts w:ascii="Arial" w:cs="Arial" w:eastAsia="Arial" w:hAnsi="Arial"/>
          <w:sz w:val="17"/>
          <w:szCs w:val="17"/>
          <w:color w:val="auto"/>
        </w:rPr>
      </w:pPr>
    </w:p>
    <w:p>
      <w:pPr>
        <w:ind w:left="800" w:right="259" w:firstLine="647"/>
        <w:spacing w:after="0" w:line="224" w:lineRule="auto"/>
        <w:tabs>
          <w:tab w:leader="none" w:pos="2125"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Date: October 31, 2017</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073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Jeffrey W. Albers</w:t>
      </w:r>
    </w:p>
    <w:p>
      <w:pPr>
        <w:ind w:left="4760"/>
        <w:spacing w:after="0" w:line="204" w:lineRule="auto"/>
        <w:rPr>
          <w:sz w:val="20"/>
          <w:szCs w:val="20"/>
          <w:color w:val="auto"/>
        </w:rPr>
      </w:pPr>
      <w:r>
        <w:rPr>
          <w:rFonts w:ascii="Arial" w:cs="Arial" w:eastAsia="Arial" w:hAnsi="Arial"/>
          <w:sz w:val="18"/>
          <w:szCs w:val="18"/>
          <w:color w:val="auto"/>
        </w:rPr>
        <w:t>President and Chief Executive Officer</w:t>
      </w: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5" w:name="page86"/>
    <w:bookmarkEnd w:id="85"/>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419" w:firstLine="639"/>
        <w:spacing w:after="0" w:line="224" w:lineRule="auto"/>
        <w:tabs>
          <w:tab w:leader="none" w:pos="147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8"/>
          <w:szCs w:val="18"/>
          <w:color w:val="auto"/>
        </w:rPr>
      </w:pPr>
    </w:p>
    <w:p>
      <w:pPr>
        <w:ind w:left="800" w:right="259" w:firstLine="647"/>
        <w:spacing w:after="0" w:line="219" w:lineRule="auto"/>
        <w:tabs>
          <w:tab w:leader="none" w:pos="20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8"/>
          <w:szCs w:val="18"/>
          <w:color w:val="auto"/>
        </w:rPr>
      </w:pPr>
    </w:p>
    <w:p>
      <w:pPr>
        <w:ind w:left="2100" w:hanging="653"/>
        <w:spacing w:after="0"/>
        <w:tabs>
          <w:tab w:leader="none" w:pos="21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w:t>
      </w:r>
    </w:p>
    <w:p>
      <w:pPr>
        <w:ind w:left="800"/>
        <w:spacing w:after="0"/>
        <w:rPr>
          <w:rFonts w:ascii="Arial" w:cs="Arial" w:eastAsia="Arial" w:hAnsi="Arial"/>
          <w:sz w:val="17"/>
          <w:szCs w:val="17"/>
          <w:color w:val="auto"/>
        </w:rPr>
      </w:pPr>
      <w:r>
        <w:rPr>
          <w:rFonts w:ascii="Arial" w:cs="Arial" w:eastAsia="Arial" w:hAnsi="Arial"/>
          <w:sz w:val="18"/>
          <w:szCs w:val="18"/>
          <w:color w:val="auto"/>
        </w:rPr>
        <w:t>49313);</w:t>
      </w:r>
    </w:p>
    <w:p>
      <w:pPr>
        <w:spacing w:after="0" w:line="168" w:lineRule="exact"/>
        <w:rPr>
          <w:rFonts w:ascii="Arial" w:cs="Arial" w:eastAsia="Arial" w:hAnsi="Arial"/>
          <w:sz w:val="17"/>
          <w:szCs w:val="17"/>
          <w:color w:val="auto"/>
        </w:rPr>
      </w:pPr>
    </w:p>
    <w:p>
      <w:pPr>
        <w:ind w:left="800" w:right="259" w:firstLine="647"/>
        <w:spacing w:after="0" w:line="224" w:lineRule="auto"/>
        <w:tabs>
          <w:tab w:leader="none" w:pos="2125"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60" w:val="left"/>
        </w:tabs>
        <w:rPr>
          <w:sz w:val="20"/>
          <w:szCs w:val="20"/>
          <w:color w:val="auto"/>
        </w:rPr>
      </w:pPr>
      <w:r>
        <w:rPr>
          <w:rFonts w:ascii="Arial" w:cs="Arial" w:eastAsia="Arial" w:hAnsi="Arial"/>
          <w:sz w:val="18"/>
          <w:szCs w:val="18"/>
          <w:color w:val="auto"/>
        </w:rPr>
        <w:t>Date: October 31, 2017</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-635</wp:posOffset>
            </wp:positionV>
            <wp:extent cx="26155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Michael Landsittel</w:t>
      </w:r>
    </w:p>
    <w:p>
      <w:pPr>
        <w:ind w:left="4760"/>
        <w:spacing w:after="0" w:line="204" w:lineRule="auto"/>
        <w:rPr>
          <w:sz w:val="20"/>
          <w:szCs w:val="20"/>
          <w:color w:val="auto"/>
        </w:rPr>
      </w:pPr>
      <w:r>
        <w:rPr>
          <w:rFonts w:ascii="Arial" w:cs="Arial" w:eastAsia="Arial" w:hAnsi="Arial"/>
          <w:sz w:val="18"/>
          <w:szCs w:val="18"/>
          <w:color w:val="auto"/>
        </w:rPr>
        <w:t>Vice President of Finance</w:t>
      </w:r>
    </w:p>
    <w:p>
      <w:pP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6" w:name="page87"/>
    <w:bookmarkEnd w:id="86"/>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jc w:val="both"/>
        <w:ind w:left="160" w:right="219" w:firstLine="648"/>
        <w:spacing w:after="0" w:line="219" w:lineRule="auto"/>
        <w:rPr>
          <w:sz w:val="20"/>
          <w:szCs w:val="20"/>
          <w:color w:val="auto"/>
        </w:rPr>
      </w:pPr>
      <w:r>
        <w:rPr>
          <w:rFonts w:ascii="Arial" w:cs="Arial" w:eastAsia="Arial" w:hAnsi="Arial"/>
          <w:sz w:val="18"/>
          <w:szCs w:val="18"/>
          <w:color w:val="auto"/>
        </w:rPr>
        <w:t>In connection with the Quarterly Report on Form 10-Q of Blueprint Medicines Corporation (the “Company”) for the period ended September 30, 2017 as filed with the Securities and Exchange Commission on the date hereof (the “Report”), each of the undersigned officers of the Company hereby certifies, pursuant to 18 U.S.C. Section 1350, that to his knowledge:</w:t>
      </w:r>
    </w:p>
    <w:p>
      <w:pPr>
        <w:spacing w:after="0" w:line="163" w:lineRule="exact"/>
        <w:rPr>
          <w:sz w:val="20"/>
          <w:szCs w:val="20"/>
          <w:color w:val="auto"/>
        </w:rPr>
      </w:pPr>
    </w:p>
    <w:p>
      <w:pPr>
        <w:ind w:left="1440" w:right="299" w:hanging="560"/>
        <w:spacing w:after="0" w:line="235" w:lineRule="auto"/>
        <w:tabs>
          <w:tab w:leader="none" w:pos="14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440" w:right="219" w:hanging="560"/>
        <w:spacing w:after="0" w:line="235" w:lineRule="auto"/>
        <w:tabs>
          <w:tab w:leader="none" w:pos="14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8"/>
          <w:szCs w:val="18"/>
          <w:color w:val="auto"/>
        </w:rPr>
        <w:t>Date: October 31, 2017</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-635</wp:posOffset>
            </wp:positionV>
            <wp:extent cx="25469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Jeffrey W. Albers</w:t>
      </w:r>
    </w:p>
    <w:p>
      <w:pPr>
        <w:ind w:left="4860"/>
        <w:spacing w:after="0" w:line="204" w:lineRule="auto"/>
        <w:rPr>
          <w:sz w:val="20"/>
          <w:szCs w:val="20"/>
          <w:color w:val="auto"/>
        </w:rPr>
      </w:pPr>
      <w:r>
        <w:rPr>
          <w:rFonts w:ascii="Arial" w:cs="Arial" w:eastAsia="Arial" w:hAnsi="Arial"/>
          <w:sz w:val="18"/>
          <w:szCs w:val="18"/>
          <w:color w:val="auto"/>
        </w:rPr>
        <w:t>President and Chief Executive Officer</w:t>
      </w:r>
    </w:p>
    <w:p>
      <w:pPr>
        <w:ind w:left="4860"/>
        <w:spacing w:after="0"/>
        <w:rPr>
          <w:sz w:val="20"/>
          <w:szCs w:val="20"/>
          <w:color w:val="auto"/>
        </w:rPr>
      </w:pPr>
      <w:r>
        <w:rPr>
          <w:rFonts w:ascii="Arial" w:cs="Arial" w:eastAsia="Arial" w:hAnsi="Arial"/>
          <w:sz w:val="18"/>
          <w:szCs w:val="18"/>
          <w:i w:val="1"/>
          <w:iCs w:val="1"/>
          <w:color w:val="auto"/>
        </w:rPr>
        <w:t>(Principal Executive Officer)</w:t>
      </w:r>
    </w:p>
    <w:p>
      <w:pPr>
        <w:spacing w:after="0" w:line="140" w:lineRule="exact"/>
        <w:rPr>
          <w:sz w:val="20"/>
          <w:szCs w:val="20"/>
          <w:color w:val="auto"/>
        </w:rPr>
      </w:pPr>
    </w:p>
    <w:p>
      <w:pPr>
        <w:ind w:left="160"/>
        <w:spacing w:after="0"/>
        <w:tabs>
          <w:tab w:leader="none" w:pos="4560" w:val="left"/>
        </w:tabs>
        <w:rPr>
          <w:sz w:val="20"/>
          <w:szCs w:val="20"/>
          <w:color w:val="auto"/>
        </w:rPr>
      </w:pPr>
      <w:r>
        <w:rPr>
          <w:rFonts w:ascii="Arial" w:cs="Arial" w:eastAsia="Arial" w:hAnsi="Arial"/>
          <w:sz w:val="18"/>
          <w:szCs w:val="18"/>
          <w:color w:val="auto"/>
        </w:rPr>
        <w:t>Date: October 31, 2017</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-635</wp:posOffset>
            </wp:positionV>
            <wp:extent cx="25558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Michael Landsittel</w:t>
      </w:r>
    </w:p>
    <w:p>
      <w:pPr>
        <w:ind w:left="4860"/>
        <w:spacing w:after="0" w:line="204" w:lineRule="auto"/>
        <w:rPr>
          <w:sz w:val="20"/>
          <w:szCs w:val="20"/>
          <w:color w:val="auto"/>
        </w:rPr>
      </w:pPr>
      <w:r>
        <w:rPr>
          <w:rFonts w:ascii="Arial" w:cs="Arial" w:eastAsia="Arial" w:hAnsi="Arial"/>
          <w:sz w:val="18"/>
          <w:szCs w:val="18"/>
          <w:color w:val="auto"/>
        </w:rPr>
        <w:t>Vice President of Finance</w:t>
      </w:r>
    </w:p>
    <w:p>
      <w:pPr>
        <w:ind w:left="48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
      <w:numFmt w:val="bullet"/>
      <w:start w:val="1"/>
    </w:lvl>
  </w:abstractNum>
  <w:abstractNum w:abstractNumId="1">
    <w:nsid w:val="419AC241"/>
    <w:multiLevelType w:val="hybridMultilevel"/>
    <w:lvl w:ilvl="0">
      <w:lvlJc w:val="left"/>
      <w:lvlText w:val=" "/>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3"/>
    </w:lvl>
  </w:abstractNum>
  <w:abstractNum w:abstractNumId="4">
    <w:nsid w:val="5072367"/>
    <w:multiLevelType w:val="hybridMultilevel"/>
    <w:lvl w:ilvl="0">
      <w:lvlJc w:val="left"/>
      <w:lvlText w:val="%1."/>
      <w:numFmt w:val="decimal"/>
      <w:start w:val="4"/>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lowerRoman"/>
      <w:start w:val="3"/>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1)"/>
      <w:numFmt w:val="lowerRoman"/>
      <w:start w:val="2"/>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1."/>
      <w:numFmt w:val="decimal"/>
      <w:start w:val="1"/>
    </w:lvl>
    <w:lvl w:ilvl="1">
      <w:lvlJc w:val="left"/>
      <w:lvlText w:val="(%2)"/>
      <w:numFmt w:val="lowerLetter"/>
      <w:start w:val="1"/>
    </w:lvl>
  </w:abstractNum>
  <w:abstractNum w:abstractNumId="45">
    <w:nsid w:val="39386575"/>
    <w:multiLevelType w:val="hybridMultilevel"/>
    <w:lvl w:ilvl="0">
      <w:lvlJc w:val="left"/>
      <w:lvlText w:val="(%1)"/>
      <w:numFmt w:val="lowerLetter"/>
      <w:start w:val="2"/>
    </w:lvl>
  </w:abstractNum>
  <w:abstractNum w:abstractNumId="46">
    <w:nsid w:val="1CF10FD8"/>
    <w:multiLevelType w:val="hybridMultilevel"/>
    <w:lvl w:ilvl="0">
      <w:lvlJc w:val="left"/>
      <w:lvlText w:val="%1"/>
      <w:numFmt w:val="decimal"/>
      <w:start w:val="1"/>
    </w:lvl>
    <w:lvl w:ilvl="1">
      <w:lvlJc w:val="left"/>
      <w:lvlText w:val="(%2)"/>
      <w:numFmt w:val="lowerLetter"/>
      <w:start w:val="3"/>
    </w:lvl>
  </w:abstractNum>
  <w:abstractNum w:abstractNumId="47">
    <w:nsid w:val="180115BE"/>
    <w:multiLevelType w:val="hybridMultilevel"/>
    <w:lvl w:ilvl="0">
      <w:lvlJc w:val="left"/>
      <w:lvlText w:val="%1."/>
      <w:numFmt w:val="decimal"/>
      <w:start w:val="3"/>
    </w:lvl>
    <w:lvl w:ilvl="1">
      <w:lvlJc w:val="left"/>
      <w:lvlText w:val="(%2)"/>
      <w:numFmt w:val="lowerLetter"/>
      <w:start w:val="1"/>
    </w:lvl>
  </w:abstractNum>
  <w:abstractNum w:abstractNumId="48">
    <w:nsid w:val="235BA861"/>
    <w:multiLevelType w:val="hybridMultilevel"/>
    <w:lvl w:ilvl="0">
      <w:lvlJc w:val="left"/>
      <w:lvlText w:val="(%1)"/>
      <w:numFmt w:val="lowerLetter"/>
      <w:start w:val="3"/>
    </w:lvl>
  </w:abstractNum>
  <w:abstractNum w:abstractNumId="49">
    <w:nsid w:val="47398C8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6"/>
    </w:lvl>
  </w:abstractNum>
  <w:abstractNum w:abstractNumId="50">
    <w:nsid w:val="354FE9F9"/>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abstractNum>
  <w:abstractNum w:abstractNumId="51">
    <w:nsid w:val="15B5AF5C"/>
    <w:multiLevelType w:val="hybridMultilevel"/>
    <w:lvl w:ilvl="0">
      <w:lvlJc w:val="left"/>
      <w:lvlText w:val="(%1)"/>
      <w:numFmt w:val="lowerRoman"/>
      <w:start w:val="1"/>
    </w:lvl>
  </w:abstractNum>
  <w:abstractNum w:abstractNumId="52">
    <w:nsid w:val="741226BB"/>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53">
    <w:nsid w:val="D34B6A8"/>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54">
    <w:nsid w:val="10233C99"/>
    <w:multiLevelType w:val="hybridMultilevel"/>
    <w:lvl w:ilvl="0">
      <w:lvlJc w:val="left"/>
      <w:lvlText w:val="(%1)"/>
      <w:numFmt w:val="decimal"/>
      <w:start w:val="1"/>
    </w:lvl>
    <w:lvl w:ilvl="1">
      <w:lvlJc w:val="left"/>
      <w:lvlText w:val="(%2)"/>
      <w:numFmt w:val="lowerRoman"/>
      <w:start w:val="2"/>
    </w:lvl>
  </w:abstractNum>
  <w:abstractNum w:abstractNumId="55">
    <w:nsid w:val="3F6AB60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56">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7">
    <w:nsid w:val="7E0C57B1"/>
    <w:multiLevelType w:val="hybridMultilevel"/>
    <w:lvl w:ilvl="0">
      <w:lvlJc w:val="left"/>
      <w:lvlText w:val="%1"/>
      <w:numFmt w:val="lowerLetter"/>
      <w:start w:val="1"/>
    </w:lvl>
    <w:lvl w:ilvl="1">
      <w:lvlJc w:val="left"/>
      <w:lvlText w:val="(%2)"/>
      <w:numFmt w:val="lowerRoman"/>
      <w:start w:val="2"/>
    </w:lvl>
  </w:abstractNum>
  <w:abstractNum w:abstractNumId="58">
    <w:nsid w:val="77AE35EB"/>
    <w:multiLevelType w:val="hybridMultilevel"/>
    <w:lvl w:ilvl="0">
      <w:lvlJc w:val="left"/>
      <w:lvlText w:val="(%1)"/>
      <w:numFmt w:val="lowerLetter"/>
      <w:start w:val="3"/>
    </w:lvl>
    <w:lvl w:ilvl="1">
      <w:lvlJc w:val="left"/>
      <w:lvlText w:val="%2"/>
      <w:numFmt w:val="lowerRoman"/>
      <w:start w:val="1"/>
    </w:lvl>
  </w:abstractNum>
  <w:abstractNum w:abstractNumId="59">
    <w:nsid w:val="579BE4F1"/>
    <w:multiLevelType w:val="hybridMultilevel"/>
    <w:lvl w:ilvl="0">
      <w:lvlJc w:val="left"/>
      <w:lvlText w:val="%1."/>
      <w:numFmt w:val="decimal"/>
      <w:start w:val="6"/>
    </w:lvl>
    <w:lvl w:ilvl="1">
      <w:lvlJc w:val="left"/>
      <w:lvlText w:val="(%2)"/>
      <w:numFmt w:val="lowerLetter"/>
      <w:start w:val="1"/>
    </w:lvl>
  </w:abstractNum>
  <w:abstractNum w:abstractNumId="60">
    <w:nsid w:val="310C50B3"/>
    <w:multiLevelType w:val="hybridMultilevel"/>
    <w:lvl w:ilvl="0">
      <w:lvlJc w:val="left"/>
      <w:lvlText w:val="%1"/>
      <w:numFmt w:val="decimal"/>
      <w:start w:val="1"/>
    </w:lvl>
    <w:lvl w:ilvl="1">
      <w:lvlJc w:val="left"/>
      <w:lvlText w:val="(%2)"/>
      <w:numFmt w:val="lowerLetter"/>
      <w:start w:val="5"/>
    </w:lvl>
  </w:abstractNum>
  <w:abstractNum w:abstractNumId="61">
    <w:nsid w:val="5FF87E05"/>
    <w:multiLevelType w:val="hybridMultilevel"/>
    <w:lvl w:ilvl="0">
      <w:lvlJc w:val="left"/>
      <w:lvlText w:val="%1."/>
      <w:numFmt w:val="decimal"/>
      <w:start w:val="7"/>
    </w:lvl>
    <w:lvl w:ilvl="1">
      <w:lvlJc w:val="left"/>
      <w:lvlText w:val="%2"/>
      <w:numFmt w:val="lowerLetter"/>
      <w:start w:val="1"/>
    </w:lvl>
  </w:abstractNum>
  <w:abstractNum w:abstractNumId="62">
    <w:nsid w:val="2F305DEF"/>
    <w:multiLevelType w:val="hybridMultilevel"/>
    <w:lvl w:ilvl="0">
      <w:lvlJc w:val="left"/>
      <w:lvlText w:val="%1."/>
      <w:numFmt w:val="decimal"/>
      <w:start w:val="12"/>
    </w:lvl>
  </w:abstractNum>
  <w:abstractNum w:abstractNumId="63">
    <w:nsid w:val="25A70BF7"/>
    <w:multiLevelType w:val="hybridMultilevel"/>
    <w:lvl w:ilvl="0">
      <w:lvlJc w:val="left"/>
      <w:lvlText w:val="%1."/>
      <w:numFmt w:val="decimal"/>
      <w:start w:val="20"/>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2019-12-29T03:47:51Z</dcterms:created>
  <dcterms:modified xsi:type="dcterms:W3CDTF">2019-12-29T03:47:51Z</dcterms:modified>
</cp:coreProperties>
</file>