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753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ectPr>
          <w:pgSz w:w="11900" w:h="16838" w:orient="portrait"/>
          <w:cols w:equalWidth="0" w:num="1">
            <w:col w:w="11420"/>
          </w:cols>
          <w:pgMar w:left="240" w:top="226" w:right="239" w:bottom="702"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Durso-Bumpus Debra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20" w:type="dxa"/>
            <w:vAlign w:val="bottom"/>
            <w:tcBorders>
              <w:top w:val="single" w:sz="8" w:color="0000EE"/>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02/10/2020</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BLUEPRINT MEDICINES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CORPORATION</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45 SIDNEY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Blueprint Medicines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BPMC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2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08"/>
        </w:trPr>
        <w:tc>
          <w:tcPr>
            <w:tcW w:w="420" w:type="dxa"/>
            <w:vAlign w:val="bottom"/>
            <w:vMerge w:val="continue"/>
          </w:tcPr>
          <w:p>
            <w:pPr>
              <w:spacing w:after="0"/>
              <w:rPr>
                <w:sz w:val="9"/>
                <w:szCs w:val="9"/>
                <w:color w:val="auto"/>
              </w:rPr>
            </w:pPr>
          </w:p>
        </w:tc>
        <w:tc>
          <w:tcPr>
            <w:tcW w:w="1420" w:type="dxa"/>
            <w:vAlign w:val="bottom"/>
          </w:tcPr>
          <w:p>
            <w:pPr>
              <w:ind w:left="120"/>
              <w:spacing w:after="0" w:line="108" w:lineRule="exact"/>
              <w:rPr>
                <w:sz w:val="20"/>
                <w:szCs w:val="20"/>
                <w:color w:val="auto"/>
              </w:rPr>
            </w:pPr>
            <w:r>
              <w:rPr>
                <w:rFonts w:ascii="Arial" w:cs="Arial" w:eastAsia="Arial" w:hAnsi="Arial"/>
                <w:sz w:val="12"/>
                <w:szCs w:val="12"/>
                <w:color w:val="auto"/>
              </w:rPr>
              <w:t>below)</w:t>
            </w:r>
          </w:p>
        </w:tc>
        <w:tc>
          <w:tcPr>
            <w:tcW w:w="1480" w:type="dxa"/>
            <w:vAlign w:val="bottom"/>
          </w:tcPr>
          <w:p>
            <w:pPr>
              <w:ind w:left="320"/>
              <w:spacing w:after="0" w:line="108" w:lineRule="exact"/>
              <w:rPr>
                <w:sz w:val="20"/>
                <w:szCs w:val="20"/>
                <w:color w:val="auto"/>
              </w:rPr>
            </w:pPr>
            <w:r>
              <w:rPr>
                <w:rFonts w:ascii="Arial" w:cs="Arial" w:eastAsia="Arial" w:hAnsi="Arial"/>
                <w:sz w:val="12"/>
                <w:szCs w:val="12"/>
                <w:color w:val="auto"/>
              </w:rPr>
              <w:t>below)</w:t>
            </w:r>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880" w:type="dxa"/>
            <w:vAlign w:val="bottom"/>
          </w:tcPr>
          <w:p>
            <w:pPr>
              <w:ind w:left="80"/>
              <w:spacing w:after="0" w:line="101" w:lineRule="exact"/>
              <w:rPr>
                <w:sz w:val="20"/>
                <w:szCs w:val="20"/>
                <w:color w:val="auto"/>
              </w:rPr>
            </w:pPr>
            <w:r>
              <w:rPr>
                <w:rFonts w:ascii="Arial" w:cs="Arial" w:eastAsia="Arial" w:hAnsi="Arial"/>
                <w:sz w:val="11"/>
                <w:szCs w:val="11"/>
                <w:color w:val="auto"/>
              </w:rPr>
              <w:t>Applicable Line)</w:t>
            </w: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900" w:type="dxa"/>
        <w:tblCellMar>
          <w:top w:w="0" w:type="dxa"/>
          <w:left w:w="0" w:type="dxa"/>
          <w:bottom w:w="0" w:type="dxa"/>
          <w:right w:w="0" w:type="dxa"/>
        </w:tblCellMar>
      </w:tblPr>
      <w:tr>
        <w:trPr>
          <w:trHeight w:val="222"/>
        </w:trPr>
        <w:tc>
          <w:tcPr>
            <w:tcW w:w="2060" w:type="dxa"/>
            <w:vAlign w:val="bottom"/>
          </w:tcPr>
          <w:p>
            <w:pPr>
              <w:spacing w:after="0"/>
              <w:rPr>
                <w:sz w:val="20"/>
                <w:szCs w:val="20"/>
                <w:color w:val="auto"/>
              </w:rPr>
            </w:pPr>
            <w:r>
              <w:rPr>
                <w:rFonts w:ascii="Arial" w:cs="Arial" w:eastAsia="Arial" w:hAnsi="Arial"/>
                <w:sz w:val="18"/>
                <w:szCs w:val="18"/>
                <w:color w:val="0000FF"/>
              </w:rPr>
              <w:t>Chief People Officer</w:t>
            </w:r>
          </w:p>
        </w:tc>
        <w:tc>
          <w:tcPr>
            <w:tcW w:w="3080" w:type="dxa"/>
            <w:vAlign w:val="bottom"/>
            <w:vMerge w:val="restart"/>
          </w:tcPr>
          <w:p>
            <w:pPr>
              <w:ind w:left="6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60" w:type="dxa"/>
            <w:vAlign w:val="bottom"/>
          </w:tcPr>
          <w:p>
            <w:pPr>
              <w:spacing w:after="0"/>
              <w:rPr>
                <w:sz w:val="17"/>
                <w:szCs w:val="17"/>
                <w:color w:val="auto"/>
              </w:rPr>
            </w:pPr>
          </w:p>
        </w:tc>
        <w:tc>
          <w:tcPr>
            <w:tcW w:w="3080" w:type="dxa"/>
            <w:vAlign w:val="bottom"/>
          </w:tcPr>
          <w:p>
            <w:pPr>
              <w:ind w:left="92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3080" w:type="dxa"/>
            <w:vAlign w:val="bottom"/>
          </w:tcPr>
          <w:p>
            <w:pPr>
              <w:ind w:left="92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266" w:lineRule="exact"/>
        <w:rPr>
          <w:sz w:val="24"/>
          <w:szCs w:val="24"/>
          <w:color w:val="auto"/>
        </w:rPr>
      </w:pPr>
    </w:p>
    <w:p>
      <w:pPr>
        <w:sectPr>
          <w:pgSz w:w="11900" w:h="16838" w:orient="portrait"/>
          <w:cols w:equalWidth="0" w:num="2">
            <w:col w:w="4720" w:space="480"/>
            <w:col w:w="6220"/>
          </w:cols>
          <w:pgMar w:left="240" w:top="226" w:right="239" w:bottom="702"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04/27/2025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0"/>
              <w:spacing w:after="0"/>
              <w:rPr>
                <w:sz w:val="20"/>
                <w:szCs w:val="20"/>
                <w:color w:val="auto"/>
              </w:rPr>
            </w:pPr>
            <w:r>
              <w:rPr>
                <w:rFonts w:ascii="Arial" w:cs="Arial" w:eastAsia="Arial" w:hAnsi="Arial"/>
                <w:sz w:val="18"/>
                <w:szCs w:val="18"/>
                <w:color w:val="0000FF"/>
                <w:w w:val="87"/>
              </w:rPr>
              <w:t>13,471</w:t>
            </w:r>
          </w:p>
        </w:tc>
        <w:tc>
          <w:tcPr>
            <w:tcW w:w="880" w:type="dxa"/>
            <w:vAlign w:val="bottom"/>
          </w:tcPr>
          <w:p>
            <w:pPr>
              <w:jc w:val="center"/>
              <w:spacing w:after="0"/>
              <w:rPr>
                <w:sz w:val="20"/>
                <w:szCs w:val="20"/>
                <w:color w:val="auto"/>
              </w:rPr>
            </w:pPr>
            <w:r>
              <w:rPr>
                <w:rFonts w:ascii="Arial" w:cs="Arial" w:eastAsia="Arial" w:hAnsi="Arial"/>
                <w:sz w:val="18"/>
                <w:szCs w:val="18"/>
                <w:color w:val="0000FF"/>
                <w:w w:val="89"/>
              </w:rPr>
              <w:t>18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04/27/2025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0"/>
              <w:spacing w:after="0"/>
              <w:rPr>
                <w:sz w:val="20"/>
                <w:szCs w:val="20"/>
                <w:color w:val="auto"/>
              </w:rPr>
            </w:pPr>
            <w:r>
              <w:rPr>
                <w:rFonts w:ascii="Arial" w:cs="Arial" w:eastAsia="Arial" w:hAnsi="Arial"/>
                <w:sz w:val="18"/>
                <w:szCs w:val="18"/>
                <w:color w:val="0000FF"/>
                <w:w w:val="87"/>
              </w:rPr>
              <w:t>11,466</w:t>
            </w:r>
          </w:p>
        </w:tc>
        <w:tc>
          <w:tcPr>
            <w:tcW w:w="880" w:type="dxa"/>
            <w:vAlign w:val="bottom"/>
          </w:tcPr>
          <w:p>
            <w:pPr>
              <w:jc w:val="center"/>
              <w:spacing w:after="0"/>
              <w:rPr>
                <w:sz w:val="20"/>
                <w:szCs w:val="20"/>
                <w:color w:val="auto"/>
              </w:rPr>
            </w:pPr>
            <w:r>
              <w:rPr>
                <w:rFonts w:ascii="Arial" w:cs="Arial" w:eastAsia="Arial" w:hAnsi="Arial"/>
                <w:sz w:val="18"/>
                <w:szCs w:val="18"/>
                <w:color w:val="0000FF"/>
                <w:w w:val="89"/>
              </w:rPr>
              <w:t>18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02/03/2026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0"/>
              <w:spacing w:after="0"/>
              <w:rPr>
                <w:sz w:val="20"/>
                <w:szCs w:val="20"/>
                <w:color w:val="auto"/>
              </w:rPr>
            </w:pPr>
            <w:r>
              <w:rPr>
                <w:rFonts w:ascii="Arial" w:cs="Arial" w:eastAsia="Arial" w:hAnsi="Arial"/>
                <w:sz w:val="18"/>
                <w:szCs w:val="18"/>
                <w:color w:val="0000FF"/>
                <w:w w:val="88"/>
              </w:rPr>
              <w:t>4,446</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15.01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02/03/2026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0"/>
              <w:spacing w:after="0"/>
              <w:rPr>
                <w:sz w:val="20"/>
                <w:szCs w:val="20"/>
                <w:color w:val="auto"/>
              </w:rPr>
            </w:pPr>
            <w:r>
              <w:rPr>
                <w:rFonts w:ascii="Arial" w:cs="Arial" w:eastAsia="Arial" w:hAnsi="Arial"/>
                <w:sz w:val="18"/>
                <w:szCs w:val="18"/>
                <w:color w:val="0000FF"/>
                <w:w w:val="87"/>
              </w:rPr>
              <w:t>15,921</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15.01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02/16/2027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0"/>
              <w:spacing w:after="0"/>
              <w:rPr>
                <w:sz w:val="20"/>
                <w:szCs w:val="20"/>
                <w:color w:val="auto"/>
              </w:rPr>
            </w:pPr>
            <w:r>
              <w:rPr>
                <w:rFonts w:ascii="Arial" w:cs="Arial" w:eastAsia="Arial" w:hAnsi="Arial"/>
                <w:sz w:val="18"/>
                <w:szCs w:val="18"/>
                <w:color w:val="0000FF"/>
                <w:w w:val="87"/>
              </w:rPr>
              <w:t>32,500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36.05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02/16/2028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0"/>
              <w:spacing w:after="0"/>
              <w:rPr>
                <w:sz w:val="20"/>
                <w:szCs w:val="20"/>
                <w:color w:val="auto"/>
              </w:rPr>
            </w:pPr>
            <w:r>
              <w:rPr>
                <w:rFonts w:ascii="Arial" w:cs="Arial" w:eastAsia="Arial" w:hAnsi="Arial"/>
                <w:sz w:val="18"/>
                <w:szCs w:val="18"/>
                <w:color w:val="0000FF"/>
                <w:w w:val="87"/>
              </w:rPr>
              <w:t>30,500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81.44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03/01/2029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0"/>
              <w:spacing w:after="0"/>
              <w:rPr>
                <w:sz w:val="20"/>
                <w:szCs w:val="20"/>
                <w:color w:val="auto"/>
              </w:rPr>
            </w:pPr>
            <w:r>
              <w:rPr>
                <w:rFonts w:ascii="Arial" w:cs="Arial" w:eastAsia="Arial" w:hAnsi="Arial"/>
                <w:sz w:val="18"/>
                <w:szCs w:val="18"/>
                <w:color w:val="0000FF"/>
                <w:w w:val="87"/>
              </w:rPr>
              <w:t>21,125</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86.6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Restricted Stock Unit</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(7)</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0"/>
              <w:spacing w:after="0"/>
              <w:rPr>
                <w:sz w:val="20"/>
                <w:szCs w:val="20"/>
                <w:color w:val="auto"/>
              </w:rPr>
            </w:pPr>
            <w:r>
              <w:rPr>
                <w:rFonts w:ascii="Arial" w:cs="Arial" w:eastAsia="Arial" w:hAnsi="Arial"/>
                <w:sz w:val="18"/>
                <w:szCs w:val="18"/>
                <w:color w:val="0000FF"/>
                <w:w w:val="88"/>
              </w:rPr>
              <w:t>5,687</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was granted an option to purchase 19,468 shares of the Issuer's common stock on April 27, 2015. 5,997 shares underlying the option were previously exercised and sold by the Reporting Person. This option is fully vested as of the date hereof.</w:t>
      </w:r>
    </w:p>
    <w:p>
      <w:pPr>
        <w:spacing w:after="0" w:line="30" w:lineRule="exact"/>
        <w:rPr>
          <w:rFonts w:ascii="Arial" w:cs="Arial" w:eastAsia="Arial" w:hAnsi="Arial"/>
          <w:sz w:val="14"/>
          <w:szCs w:val="14"/>
          <w:color w:val="008000"/>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was granted an option to purchase 14,168 shares of the Issuer's common stock on April 27, 2015. 2,702 shares underlying the option were previously exercised and sold by the Reporting Person. This option is fully vested as of the date hereof.</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is fully vested as of the date hereof.</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option vested with respect to 1/48th of the shares underlying the option on March 16, 2017 and vests as to an additional 1/48th of the shares underlying the option each month thereafter.</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option vested with respect to 1/48th of the shares underlying the option on March 16, 2018 and vests as to an additional 1/48th of the shares underlying the option each month thereafter.</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vests with respect to 1/48th of the shares underlying the option on April 1, 2019 and as to an additional 1/48th of the shares underlying the option each month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restricted stock units vest in four equal annual installments on March 1, 2020, 2021, 2022 and 2023.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Issuer's common stock.</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Limited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Christopher Frankenfield,</w:t>
            </w:r>
          </w:p>
        </w:tc>
        <w:tc>
          <w:tcPr>
            <w:tcW w:w="12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02/18/2020</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702"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undersigned hereby constitutes and appoints each of Tracey McCain, Christopher Frankenfield, Xing Yan, Ariel Hurley and Michael Landsittel, and each of them individually, and with full power of substitution, the undersigned’s true and lawful attorney-in-fact to:</w:t>
      </w:r>
    </w:p>
    <w:p>
      <w:pPr>
        <w:spacing w:after="0" w:line="170" w:lineRule="exact"/>
        <w:rPr>
          <w:sz w:val="20"/>
          <w:szCs w:val="20"/>
          <w:color w:val="auto"/>
        </w:rPr>
      </w:pPr>
    </w:p>
    <w:p>
      <w:pPr>
        <w:ind w:right="80" w:firstLine="656"/>
        <w:spacing w:after="0" w:line="302" w:lineRule="auto"/>
        <w:tabs>
          <w:tab w:leader="none" w:pos="1353"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54" w:lineRule="exact"/>
        <w:rPr>
          <w:rFonts w:ascii="Arial" w:cs="Arial" w:eastAsia="Arial" w:hAnsi="Arial"/>
          <w:sz w:val="16"/>
          <w:szCs w:val="16"/>
          <w:color w:val="auto"/>
        </w:rPr>
      </w:pPr>
    </w:p>
    <w:p>
      <w:pPr>
        <w:ind w:right="60" w:firstLine="656"/>
        <w:spacing w:after="0" w:line="286" w:lineRule="auto"/>
        <w:tabs>
          <w:tab w:leader="none" w:pos="1353" w:val="left"/>
        </w:tabs>
        <w:numPr>
          <w:ilvl w:val="0"/>
          <w:numId w:val="3"/>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5" w:lineRule="exact"/>
        <w:rPr>
          <w:rFonts w:ascii="Arial" w:cs="Arial" w:eastAsia="Arial" w:hAnsi="Arial"/>
          <w:sz w:val="17"/>
          <w:szCs w:val="17"/>
          <w:color w:val="auto"/>
        </w:rPr>
      </w:pPr>
    </w:p>
    <w:p>
      <w:pPr>
        <w:ind w:right="180" w:firstLine="656"/>
        <w:spacing w:after="0" w:line="259" w:lineRule="auto"/>
        <w:tabs>
          <w:tab w:leader="none" w:pos="135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80" w:firstLine="1005"/>
        <w:spacing w:after="0" w:line="257" w:lineRule="auto"/>
        <w:rPr>
          <w:sz w:val="20"/>
          <w:szCs w:val="20"/>
          <w:color w:val="auto"/>
        </w:rPr>
      </w:pPr>
      <w:r>
        <w:rPr>
          <w:rFonts w:ascii="Arial" w:cs="Arial" w:eastAsia="Arial" w:hAnsi="Arial"/>
          <w:sz w:val="18"/>
          <w:szCs w:val="18"/>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88" w:lineRule="exact"/>
        <w:rPr>
          <w:sz w:val="20"/>
          <w:szCs w:val="20"/>
          <w:color w:val="auto"/>
        </w:rPr>
      </w:pPr>
    </w:p>
    <w:p>
      <w:pPr>
        <w:ind w:firstLine="1005"/>
        <w:spacing w:after="0" w:line="291" w:lineRule="auto"/>
        <w:rPr>
          <w:sz w:val="20"/>
          <w:szCs w:val="20"/>
          <w:color w:val="auto"/>
        </w:rPr>
      </w:pPr>
      <w:r>
        <w:rPr>
          <w:rFonts w:ascii="Arial" w:cs="Arial" w:eastAsia="Arial" w:hAnsi="Arial"/>
          <w:sz w:val="16"/>
          <w:szCs w:val="16"/>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w:t>
      </w:r>
    </w:p>
    <w:p>
      <w:pPr>
        <w:ind w:right="120"/>
        <w:spacing w:after="0" w:line="261" w:lineRule="auto"/>
        <w:rPr>
          <w:sz w:val="20"/>
          <w:szCs w:val="20"/>
          <w:color w:val="auto"/>
        </w:rPr>
      </w:pPr>
      <w:r>
        <w:rPr>
          <w:rFonts w:ascii="Arial" w:cs="Arial" w:eastAsia="Arial" w:hAnsi="Arial"/>
          <w:sz w:val="18"/>
          <w:szCs w:val="18"/>
          <w:color w:val="auto"/>
        </w:rPr>
        <w:t>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84" w:lineRule="exact"/>
        <w:rPr>
          <w:sz w:val="20"/>
          <w:szCs w:val="20"/>
          <w:color w:val="auto"/>
        </w:rPr>
      </w:pPr>
    </w:p>
    <w:p>
      <w:pPr>
        <w:ind w:right="160" w:firstLine="1005"/>
        <w:spacing w:after="0" w:line="312" w:lineRule="auto"/>
        <w:rPr>
          <w:sz w:val="20"/>
          <w:szCs w:val="20"/>
          <w:color w:val="auto"/>
        </w:rPr>
      </w:pPr>
      <w:r>
        <w:rPr>
          <w:rFonts w:ascii="Arial" w:cs="Arial" w:eastAsia="Arial" w:hAnsi="Arial"/>
          <w:sz w:val="16"/>
          <w:szCs w:val="16"/>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 WITNESS WHEREOF, the undersigned has caused this Power of Attorney to be executed as of February 10, 2020.</w:t>
      </w:r>
    </w:p>
    <w:p>
      <w:pPr>
        <w:spacing w:after="0" w:line="200" w:lineRule="exact"/>
        <w:rPr>
          <w:sz w:val="20"/>
          <w:szCs w:val="20"/>
          <w:color w:val="auto"/>
        </w:rPr>
      </w:pPr>
    </w:p>
    <w:p>
      <w:pPr>
        <w:spacing w:after="0" w:line="24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Debra Durso-Bumpus</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Debra Durso-Bumpus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-130810</wp:posOffset>
            </wp:positionV>
            <wp:extent cx="265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802970" TargetMode="External"/><Relationship Id="rId12"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2020-02-18T15:57:32Z</dcterms:created>
  <dcterms:modified xsi:type="dcterms:W3CDTF">2020-02-18T15:57:32Z</dcterms:modified>
</cp:coreProperties>
</file>