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1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12/07/2021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97"/>
        <w:spacing w:after="0"/>
        <w:rPr>
          <w:sz w:val="20"/>
          <w:szCs w:val="20"/>
          <w:color w:val="auto"/>
        </w:rPr>
      </w:pPr>
      <w:r>
        <w:rPr>
          <w:rFonts w:ascii="Arial" w:cs="Arial" w:eastAsia="Arial" w:hAnsi="Arial"/>
          <w:sz w:val="17"/>
          <w:szCs w:val="17"/>
          <w:color w:val="0000FF"/>
        </w:rPr>
        <w:t>EVP and Chief Legal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12/07/2021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5,000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28.36</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38,441</w:t>
            </w:r>
            <w:r>
              <w:rPr>
                <w:rFonts w:ascii="Arial" w:cs="Arial" w:eastAsia="Arial" w:hAnsi="Arial"/>
                <w:sz w:val="21"/>
                <w:szCs w:val="21"/>
                <w:color w:val="008000"/>
                <w:w w:val="86"/>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12/07/2021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4,328</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97.46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34,113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12/07/2021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572</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96.38</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33,541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Arial" w:cs="Arial" w:eastAsia="Arial" w:hAnsi="Arial"/>
                <w:sz w:val="17"/>
                <w:szCs w:val="17"/>
                <w:color w:val="0000FF"/>
                <w:w w:val="89"/>
              </w:rPr>
              <w:t>12/07/2021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91"/>
              </w:rPr>
              <w:t>100</w:t>
            </w:r>
          </w:p>
        </w:tc>
        <w:tc>
          <w:tcPr>
            <w:tcW w:w="680" w:type="dxa"/>
            <w:vAlign w:val="bottom"/>
            <w:tcBorders>
              <w:bottom w:val="single" w:sz="8" w:color="2C2C2C"/>
            </w:tcBorders>
          </w:tcPr>
          <w:p>
            <w:pPr>
              <w:jc w:val="right"/>
              <w:ind w:right="154"/>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95.54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33,441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28.36</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12/07/2021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5,000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10/03/2026</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rPr>
                <w:sz w:val="20"/>
                <w:szCs w:val="20"/>
                <w:color w:val="auto"/>
              </w:rPr>
            </w:pPr>
            <w:r>
              <w:rPr>
                <w:rFonts w:ascii="Arial" w:cs="Arial" w:eastAsia="Arial" w:hAnsi="Arial"/>
                <w:sz w:val="13"/>
                <w:szCs w:val="13"/>
                <w:color w:val="0000FF"/>
                <w:w w:val="90"/>
              </w:rPr>
              <w:t>55,000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22, 2021 pursuant to Rule 10b5-1 under the Securities Exchange Act of 1934,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167 shares that were previously acquired under the Issuer's employee stock purchase plan.</w:t>
      </w:r>
    </w:p>
    <w:p>
      <w:pPr>
        <w:spacing w:after="0" w:line="45" w:lineRule="exact"/>
        <w:rPr>
          <w:rFonts w:ascii="Arial" w:cs="Arial" w:eastAsia="Arial" w:hAnsi="Arial"/>
          <w:sz w:val="13"/>
          <w:szCs w:val="13"/>
          <w:color w:val="008000"/>
        </w:rPr>
      </w:pP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$96.97 to $97.91 per share.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$95.87 to $96.73 per share.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October 3, 2016 and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12/09/2021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2021-12-09T15:04:59Z</dcterms:created>
  <dcterms:modified xsi:type="dcterms:W3CDTF">2021-12-09T15:04:59Z</dcterms:modified>
</cp:coreProperties>
</file>