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358140</wp:posOffset>
            </wp:positionV>
            <wp:extent cx="1655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4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141605</wp:posOffset>
            </wp:positionV>
            <wp:extent cx="1655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92" w:lineRule="exact"/>
        <w:rPr>
          <w:sz w:val="24"/>
          <w:szCs w:val="24"/>
          <w:color w:val="auto"/>
        </w:rPr>
      </w:pPr>
    </w:p>
    <w:tbl>
      <w:tblPr>
        <w:tblLayout w:type="fixed"/>
        <w:tblInd w:w="9" w:type="dxa"/>
        <w:tblCellMar>
          <w:top w:w="0" w:type="dxa"/>
          <w:left w:w="0" w:type="dxa"/>
          <w:bottom w:w="0" w:type="dxa"/>
          <w:right w:w="0" w:type="dxa"/>
        </w:tblCellMar>
      </w:tblPr>
      <w:tr>
        <w:trPr>
          <w:trHeight w:val="421"/>
        </w:trPr>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gridSpan w:val="2"/>
          </w:tcPr>
          <w:p>
            <w:pPr>
              <w:jc w:val="center"/>
              <w:ind w:right="960"/>
              <w:spacing w:after="0"/>
              <w:rPr>
                <w:sz w:val="20"/>
                <w:szCs w:val="20"/>
                <w:color w:val="auto"/>
              </w:rPr>
            </w:pPr>
            <w:r>
              <w:rPr>
                <w:rFonts w:ascii="Arial" w:cs="Arial" w:eastAsia="Arial" w:hAnsi="Arial"/>
                <w:sz w:val="32"/>
                <w:szCs w:val="32"/>
                <w:b w:val="1"/>
                <w:bCs w:val="1"/>
                <w:color w:val="auto"/>
                <w:w w:val="99"/>
              </w:rPr>
              <w:t>SCHEDULE 14A</w:t>
            </w:r>
          </w:p>
        </w:tc>
      </w:tr>
      <w:tr>
        <w:trPr>
          <w:trHeight w:val="295"/>
        </w:trPr>
        <w:tc>
          <w:tcPr>
            <w:tcW w:w="2440" w:type="dxa"/>
            <w:vAlign w:val="bottom"/>
          </w:tcPr>
          <w:p>
            <w:pPr>
              <w:spacing w:after="0"/>
              <w:rPr>
                <w:sz w:val="24"/>
                <w:szCs w:val="24"/>
                <w:color w:val="auto"/>
              </w:rPr>
            </w:pPr>
          </w:p>
        </w:tc>
        <w:tc>
          <w:tcPr>
            <w:tcW w:w="5000" w:type="dxa"/>
            <w:vAlign w:val="bottom"/>
            <w:gridSpan w:val="3"/>
          </w:tcPr>
          <w:p>
            <w:pPr>
              <w:jc w:val="center"/>
              <w:ind w:left="398"/>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440" w:type="dxa"/>
            <w:vAlign w:val="bottom"/>
          </w:tcPr>
          <w:p>
            <w:pPr>
              <w:spacing w:after="0"/>
              <w:rPr>
                <w:sz w:val="21"/>
                <w:szCs w:val="21"/>
                <w:color w:val="auto"/>
              </w:rPr>
            </w:pPr>
          </w:p>
        </w:tc>
        <w:tc>
          <w:tcPr>
            <w:tcW w:w="5000" w:type="dxa"/>
            <w:vAlign w:val="bottom"/>
            <w:gridSpan w:val="3"/>
          </w:tcPr>
          <w:p>
            <w:pPr>
              <w:jc w:val="center"/>
              <w:ind w:left="538"/>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gridSpan w:val="2"/>
          </w:tcPr>
          <w:p>
            <w:pPr>
              <w:jc w:val="center"/>
              <w:ind w:right="820"/>
              <w:spacing w:after="0"/>
              <w:rPr>
                <w:sz w:val="20"/>
                <w:szCs w:val="20"/>
                <w:color w:val="auto"/>
              </w:rPr>
            </w:pPr>
            <w:r>
              <w:rPr>
                <w:rFonts w:ascii="Arial" w:cs="Arial" w:eastAsia="Arial" w:hAnsi="Arial"/>
                <w:sz w:val="22"/>
                <w:szCs w:val="22"/>
                <w:b w:val="1"/>
                <w:bCs w:val="1"/>
                <w:color w:val="auto"/>
                <w:w w:val="96"/>
              </w:rPr>
              <w:t>(Amendment No.  )</w:t>
            </w:r>
          </w:p>
        </w:tc>
      </w:tr>
      <w:tr>
        <w:trPr>
          <w:trHeight w:val="193"/>
        </w:trPr>
        <w:tc>
          <w:tcPr>
            <w:tcW w:w="2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r>
        <w:trPr>
          <w:trHeight w:val="432"/>
        </w:trPr>
        <w:tc>
          <w:tcPr>
            <w:tcW w:w="244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000" w:type="dxa"/>
            <w:vAlign w:val="bottom"/>
            <w:gridSpan w:val="3"/>
          </w:tcPr>
          <w:p>
            <w:pPr>
              <w:ind w:left="7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91"/>
        </w:trPr>
        <w:tc>
          <w:tcPr>
            <w:tcW w:w="244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80" w:lineRule="exact"/>
        <w:rPr>
          <w:sz w:val="24"/>
          <w:szCs w:val="24"/>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529" w:hanging="529"/>
        <w:spacing w:after="0"/>
        <w:tabs>
          <w:tab w:leader="none" w:pos="52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29" w:hanging="529"/>
        <w:spacing w:after="0"/>
        <w:tabs>
          <w:tab w:leader="none" w:pos="52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29" w:hanging="529"/>
        <w:spacing w:after="0"/>
        <w:tabs>
          <w:tab w:leader="none" w:pos="52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0" w:lineRule="exact"/>
        <w:rPr>
          <w:sz w:val="24"/>
          <w:szCs w:val="24"/>
          <w:color w:val="auto"/>
        </w:rPr>
      </w:pPr>
    </w:p>
    <w:p>
      <w:pPr>
        <w:jc w:val="center"/>
        <w:ind w:right="-48"/>
        <w:spacing w:after="0"/>
        <w:rPr>
          <w:sz w:val="20"/>
          <w:szCs w:val="20"/>
          <w:color w:val="auto"/>
        </w:rPr>
      </w:pPr>
      <w:r>
        <w:rPr>
          <w:rFonts w:ascii="Arial" w:cs="Arial" w:eastAsia="Arial" w:hAnsi="Arial"/>
          <w:sz w:val="40"/>
          <w:szCs w:val="40"/>
          <w:b w:val="1"/>
          <w:bCs w:val="1"/>
          <w:color w:val="auto"/>
        </w:rPr>
        <w:t>BLUEPRINT MEDICINES CORPORATION</w:t>
      </w:r>
    </w:p>
    <w:p>
      <w:pPr>
        <w:spacing w:after="0" w:line="35" w:lineRule="exact"/>
        <w:rPr>
          <w:sz w:val="24"/>
          <w:szCs w:val="24"/>
          <w:color w:val="auto"/>
        </w:rPr>
      </w:pPr>
    </w:p>
    <w:p>
      <w:pPr>
        <w:ind w:left="2649"/>
        <w:spacing w:after="0"/>
        <w:rPr>
          <w:sz w:val="20"/>
          <w:szCs w:val="20"/>
          <w:color w:val="auto"/>
        </w:rPr>
      </w:pPr>
      <w:r>
        <w:rPr>
          <w:rFonts w:ascii="Arial" w:cs="Arial" w:eastAsia="Arial" w:hAnsi="Arial"/>
          <w:sz w:val="18"/>
          <w:szCs w:val="18"/>
          <w:b w:val="1"/>
          <w:bCs w:val="1"/>
          <w:color w:val="auto"/>
        </w:rPr>
        <w:t>(Name of Registrant as Specified in Its certificate of incorporation)</w:t>
      </w:r>
    </w:p>
    <w:p>
      <w:pPr>
        <w:spacing w:after="0" w:line="84" w:lineRule="exact"/>
        <w:rPr>
          <w:sz w:val="24"/>
          <w:szCs w:val="24"/>
          <w:color w:val="auto"/>
        </w:rPr>
      </w:pPr>
    </w:p>
    <w:p>
      <w:pPr>
        <w:ind w:left="236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8" w:lineRule="exact"/>
        <w:rPr>
          <w:sz w:val="24"/>
          <w:szCs w:val="24"/>
          <w:color w:val="auto"/>
        </w:rPr>
      </w:pPr>
    </w:p>
    <w:p>
      <w:pPr>
        <w:ind w:left="9"/>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29" w:hanging="529"/>
        <w:spacing w:after="0"/>
        <w:tabs>
          <w:tab w:leader="none" w:pos="529"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29" w:hanging="529"/>
        <w:spacing w:after="0"/>
        <w:tabs>
          <w:tab w:leader="none" w:pos="529"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09" w:right="300" w:hanging="482"/>
        <w:spacing w:after="0" w:line="277" w:lineRule="auto"/>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29" w:hanging="529"/>
        <w:spacing w:after="0"/>
        <w:tabs>
          <w:tab w:leader="none" w:pos="529"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29" w:hanging="529"/>
        <w:spacing w:after="0" w:line="321" w:lineRule="auto"/>
        <w:tabs>
          <w:tab w:leader="none" w:pos="529"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0" w:lineRule="exact"/>
        <w:rPr>
          <w:rFonts w:ascii="MS PGothic" w:cs="MS PGothic" w:eastAsia="MS PGothic" w:hAnsi="MS PGothic"/>
          <w:sz w:val="16"/>
          <w:szCs w:val="16"/>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623570</wp:posOffset>
            </wp:positionH>
            <wp:positionV relativeFrom="paragraph">
              <wp:posOffset>152400</wp:posOffset>
            </wp:positionV>
            <wp:extent cx="5977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-267335</wp:posOffset>
            </wp:positionV>
            <wp:extent cx="5977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-687705</wp:posOffset>
            </wp:positionV>
            <wp:extent cx="5977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-1108075</wp:posOffset>
            </wp:positionV>
            <wp:extent cx="597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-2077085</wp:posOffset>
            </wp:positionV>
            <wp:extent cx="5960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-2497455</wp:posOffset>
            </wp:positionV>
            <wp:extent cx="5960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-2917190</wp:posOffset>
            </wp:positionV>
            <wp:extent cx="5960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-3474720</wp:posOffset>
            </wp:positionV>
            <wp:extent cx="5960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-3895090</wp:posOffset>
            </wp:positionV>
            <wp:extent cx="5960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537845</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233" w:right="779" w:bottom="545"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358140</wp:posOffset>
            </wp:positionV>
            <wp:extent cx="170688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8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 Sidney Street,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(617) 374-7580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2016 ANNUAL MEETING OF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21,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3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You are cordially invited to attend the 2016 annual meeting of stockholders of Blueprint Medicines Corporation to be held on Tuesday, June 21, 2016 at 3:00 p.m., Eastern Daylight Time, at the offices of Goodwin Procter LLP, 53 State Street, Boston, Massachusetts 02109. At the annual meeting, stockholders will consider and vote on the following matters:</w:t>
      </w:r>
    </w:p>
    <w:p>
      <w:pPr>
        <w:spacing w:after="0" w:line="52" w:lineRule="exact"/>
        <w:rPr>
          <w:sz w:val="20"/>
          <w:szCs w:val="20"/>
          <w:color w:val="auto"/>
        </w:rPr>
      </w:pPr>
    </w:p>
    <w:p>
      <w:pPr>
        <w:jc w:val="right"/>
        <w:ind w:left="980"/>
        <w:spacing w:after="0" w:line="342" w:lineRule="auto"/>
        <w:rPr>
          <w:sz w:val="20"/>
          <w:szCs w:val="20"/>
          <w:color w:val="auto"/>
        </w:rPr>
      </w:pPr>
      <w:r>
        <w:rPr>
          <w:rFonts w:ascii="Arial" w:cs="Arial" w:eastAsia="Arial" w:hAnsi="Arial"/>
          <w:sz w:val="16"/>
          <w:szCs w:val="16"/>
          <w:color w:val="auto"/>
        </w:rPr>
        <w:t>1.The election of three Class I directors nominated by our board of directors, each to serve for a three-year term expiring at the 2019 annual meeting of stockholders or until his successor has been duly elected and qualified;</w:t>
      </w:r>
    </w:p>
    <w:p>
      <w:pPr>
        <w:spacing w:after="0" w:line="29" w:lineRule="exact"/>
        <w:rPr>
          <w:sz w:val="20"/>
          <w:szCs w:val="20"/>
          <w:color w:val="auto"/>
        </w:rPr>
      </w:pPr>
    </w:p>
    <w:p>
      <w:pPr>
        <w:ind w:left="1120" w:right="240" w:hanging="134"/>
        <w:spacing w:after="0" w:line="277" w:lineRule="auto"/>
        <w:rPr>
          <w:sz w:val="20"/>
          <w:szCs w:val="20"/>
          <w:color w:val="auto"/>
        </w:rPr>
      </w:pPr>
      <w:r>
        <w:rPr>
          <w:rFonts w:ascii="Arial" w:cs="Arial" w:eastAsia="Arial" w:hAnsi="Arial"/>
          <w:sz w:val="18"/>
          <w:szCs w:val="18"/>
          <w:color w:val="auto"/>
        </w:rPr>
        <w:t>2.The ratification of the appointment of Ernst &amp; Young LLP as our independent registered public accounting firm for the fiscal year ending December 31, 2016; and</w:t>
      </w:r>
    </w:p>
    <w:p>
      <w:pPr>
        <w:spacing w:after="0" w:line="76" w:lineRule="exact"/>
        <w:rPr>
          <w:sz w:val="20"/>
          <w:szCs w:val="20"/>
          <w:color w:val="auto"/>
        </w:rPr>
      </w:pPr>
    </w:p>
    <w:p>
      <w:pPr>
        <w:ind w:left="1120" w:right="120" w:hanging="134"/>
        <w:spacing w:after="0" w:line="277" w:lineRule="auto"/>
        <w:rPr>
          <w:sz w:val="20"/>
          <w:szCs w:val="20"/>
          <w:color w:val="auto"/>
        </w:rPr>
      </w:pPr>
      <w:r>
        <w:rPr>
          <w:rFonts w:ascii="Arial" w:cs="Arial" w:eastAsia="Arial" w:hAnsi="Arial"/>
          <w:sz w:val="18"/>
          <w:szCs w:val="18"/>
          <w:color w:val="auto"/>
        </w:rPr>
        <w:t>3.The transaction of any other business that may properly come before the annual meeting or any adjournment or postponement thereof.</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items of business are more fully described in the proxy statement accompanying this notice.</w:t>
      </w:r>
    </w:p>
    <w:p>
      <w:pPr>
        <w:spacing w:after="0" w:line="14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Stockholders of record at the close of business on April 25, 2016 will be entitled to notice of and to vote at the annual meeting or any adjournment or postponement thereof.</w:t>
      </w:r>
    </w:p>
    <w:p>
      <w:pPr>
        <w:spacing w:after="0" w:line="76"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spacing w:after="0" w:line="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encourage all stockholders to attend the annual meeting in person. However, whether or not you plan to attend the annual meeting in person, we encourage you to read this proxy statement and submit your proxy or voting instructions as soon as possible. Please review the instructions on each of your voting options described in the proxy statement.</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ongoing support and continued interest in Blueprint Medicines Corporation.</w:t>
      </w:r>
    </w:p>
    <w:p>
      <w:pPr>
        <w:spacing w:after="0" w:line="13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152400</wp:posOffset>
            </wp:positionV>
            <wp:extent cx="189547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W. Albers</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11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w:t>
      </w:r>
      <w:r>
        <w:rPr>
          <w:rFonts w:ascii="Arial" w:cs="Arial" w:eastAsia="Arial" w:hAnsi="Arial"/>
          <w:sz w:val="18"/>
          <w:szCs w:val="18"/>
          <w:color w:val="auto"/>
        </w:rPr>
        <w:t>This proxy statement and our 2015</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report to stockholders, which consists of our Annual Report on Form 10-K for the fiscal year ended December 31, 2015, are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These documents are also available to any stockholder who wishes to receive a paper copy by calling 1-800-579-1639, by emailing sendmaterial@proxyvote.com or by submitting a request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INFORMATION CONCERNING SOLICITATION AND VOTING</w:t>
        </w:r>
      </w:hyperlink>
    </w:p>
    <w:p>
      <w:pPr>
        <w:spacing w:after="0" w:line="117" w:lineRule="exact"/>
        <w:rPr>
          <w:sz w:val="20"/>
          <w:szCs w:val="20"/>
          <w:color w:val="auto"/>
        </w:rPr>
      </w:pPr>
    </w:p>
    <w:p>
      <w:pPr>
        <w:ind w:right="1920"/>
        <w:spacing w:after="0" w:line="37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IMPORTANT INFORMATION ABOUT THE ANNUAL MEETING AND VOTING</w:t>
        </w:r>
      </w:hyperlink>
      <w:r>
        <w:rPr>
          <w:rFonts w:ascii="Arial" w:cs="Arial" w:eastAsia="Arial" w:hAnsi="Arial"/>
          <w:sz w:val="18"/>
          <w:szCs w:val="18"/>
          <w:u w:val="single" w:color="auto"/>
          <w:color w:val="0000EE"/>
        </w:rPr>
        <w:t xml:space="preserve"> </w:t>
      </w:r>
      <w:hyperlink w:anchor="page11">
        <w:r>
          <w:rPr>
            <w:rFonts w:ascii="Arial" w:cs="Arial" w:eastAsia="Arial" w:hAnsi="Arial"/>
            <w:sz w:val="18"/>
            <w:szCs w:val="18"/>
            <w:u w:val="single" w:color="auto"/>
            <w:color w:val="0000EE"/>
          </w:rPr>
          <w:t>BOARD OF DIRECTORS AND CORPORATE GOVERNANCE</w:t>
        </w:r>
      </w:hyperlink>
    </w:p>
    <w:p>
      <w:pPr>
        <w:spacing w:after="0" w:line="1" w:lineRule="exact"/>
        <w:rPr>
          <w:sz w:val="20"/>
          <w:szCs w:val="20"/>
          <w:color w:val="auto"/>
        </w:rPr>
      </w:pPr>
    </w:p>
    <w:p>
      <w:pPr>
        <w:ind w:left="2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Election of Directors</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Class I Director Nominees</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Class II Directors</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Class III Directors</w:t>
        </w:r>
      </w:hyperlink>
    </w:p>
    <w:p>
      <w:pPr>
        <w:spacing w:after="0" w:line="117" w:lineRule="exact"/>
        <w:rPr>
          <w:sz w:val="20"/>
          <w:szCs w:val="20"/>
          <w:color w:val="auto"/>
        </w:rPr>
      </w:pPr>
    </w:p>
    <w:p>
      <w:pPr>
        <w:ind w:left="2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Governance Matters</w:t>
        </w:r>
      </w:hyperlink>
    </w:p>
    <w:p>
      <w:pPr>
        <w:spacing w:after="0" w:line="117" w:lineRule="exact"/>
        <w:rPr>
          <w:sz w:val="20"/>
          <w:szCs w:val="20"/>
          <w:color w:val="auto"/>
        </w:rPr>
      </w:pPr>
    </w:p>
    <w:p>
      <w:pPr>
        <w:ind w:left="400" w:right="2200"/>
        <w:spacing w:after="0" w:line="375"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Code of Business Conduct and Ethics and Corporate Governance Guidelines</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Board Leadership Structure and Risk Oversight</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Board Determination of Independence</w:t>
        </w:r>
      </w:hyperlink>
    </w:p>
    <w:p>
      <w:pPr>
        <w:spacing w:after="0" w:line="2" w:lineRule="exact"/>
        <w:rPr>
          <w:rFonts w:ascii="Arial" w:cs="Arial" w:eastAsia="Arial" w:hAnsi="Arial"/>
          <w:sz w:val="18"/>
          <w:szCs w:val="18"/>
          <w:u w:val="single" w:color="auto"/>
          <w:color w:val="0000EE"/>
        </w:rPr>
      </w:pPr>
    </w:p>
    <w:p>
      <w:pPr>
        <w:ind w:left="4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of Director Meetings and Attendance</w:t>
        </w:r>
      </w:hyperlink>
    </w:p>
    <w:p>
      <w:pPr>
        <w:spacing w:after="0" w:line="117" w:lineRule="exact"/>
        <w:rPr>
          <w:rFonts w:ascii="Arial" w:cs="Arial" w:eastAsia="Arial" w:hAnsi="Arial"/>
          <w:sz w:val="18"/>
          <w:szCs w:val="18"/>
          <w:u w:val="single" w:color="auto"/>
          <w:color w:val="0000EE"/>
        </w:rPr>
      </w:pPr>
    </w:p>
    <w:p>
      <w:pPr>
        <w:ind w:left="4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Communicating with the Independent Directors</w:t>
        </w:r>
      </w:hyperlink>
    </w:p>
    <w:p>
      <w:pPr>
        <w:spacing w:after="0" w:line="117" w:lineRule="exact"/>
        <w:rPr>
          <w:rFonts w:ascii="Arial" w:cs="Arial" w:eastAsia="Arial" w:hAnsi="Arial"/>
          <w:sz w:val="18"/>
          <w:szCs w:val="18"/>
          <w:u w:val="single" w:color="auto"/>
          <w:color w:val="0000EE"/>
        </w:rPr>
      </w:pPr>
    </w:p>
    <w:p>
      <w:pPr>
        <w:ind w:left="4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Committees of the Board of Directors</w:t>
        </w:r>
      </w:hyperlink>
    </w:p>
    <w:p>
      <w:pPr>
        <w:spacing w:after="0" w:line="117" w:lineRule="exact"/>
        <w:rPr>
          <w:rFonts w:ascii="Arial" w:cs="Arial" w:eastAsia="Arial" w:hAnsi="Arial"/>
          <w:sz w:val="18"/>
          <w:szCs w:val="18"/>
          <w:u w:val="single" w:color="auto"/>
          <w:color w:val="0000EE"/>
        </w:rPr>
      </w:pPr>
    </w:p>
    <w:p>
      <w:pPr>
        <w:ind w:left="4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Director Nomination Process</w:t>
        </w:r>
      </w:hyperlink>
    </w:p>
    <w:p>
      <w:pPr>
        <w:spacing w:after="0" w:line="117" w:lineRule="exact"/>
        <w:rPr>
          <w:rFonts w:ascii="Arial" w:cs="Arial" w:eastAsia="Arial" w:hAnsi="Arial"/>
          <w:sz w:val="18"/>
          <w:szCs w:val="18"/>
          <w:u w:val="single" w:color="auto"/>
          <w:color w:val="0000EE"/>
        </w:rPr>
      </w:pPr>
    </w:p>
    <w:p>
      <w:pPr>
        <w:ind w:left="400" w:right="3260"/>
        <w:spacing w:after="0" w:line="375"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Compensation Committee Interlocks and Insider Participation</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Policies and Procedures for Related Person Transactions</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Related Person Transactions</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COMPENSATION</w:t>
        </w:r>
      </w:hyperlink>
    </w:p>
    <w:p>
      <w:pPr>
        <w:spacing w:after="0" w:line="117" w:lineRule="exact"/>
        <w:rPr>
          <w:rFonts w:ascii="Arial" w:cs="Arial" w:eastAsia="Arial" w:hAnsi="Arial"/>
          <w:sz w:val="18"/>
          <w:szCs w:val="18"/>
          <w:u w:val="single" w:color="auto"/>
          <w:color w:val="0000EE"/>
        </w:rPr>
      </w:pPr>
    </w:p>
    <w:p>
      <w:pPr>
        <w:ind w:left="2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Officers</w:t>
        </w:r>
      </w:hyperlink>
    </w:p>
    <w:p>
      <w:pPr>
        <w:spacing w:after="0" w:line="117" w:lineRule="exact"/>
        <w:rPr>
          <w:rFonts w:ascii="Arial" w:cs="Arial" w:eastAsia="Arial" w:hAnsi="Arial"/>
          <w:sz w:val="18"/>
          <w:szCs w:val="18"/>
          <w:u w:val="single" w:color="auto"/>
          <w:color w:val="0000EE"/>
        </w:rPr>
      </w:pPr>
    </w:p>
    <w:p>
      <w:pPr>
        <w:ind w:left="2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Compensation</w:t>
        </w:r>
      </w:hyperlink>
    </w:p>
    <w:p>
      <w:pPr>
        <w:spacing w:after="0" w:line="117" w:lineRule="exact"/>
        <w:rPr>
          <w:rFonts w:ascii="Arial" w:cs="Arial" w:eastAsia="Arial" w:hAnsi="Arial"/>
          <w:sz w:val="18"/>
          <w:szCs w:val="18"/>
          <w:u w:val="single" w:color="auto"/>
          <w:color w:val="0000EE"/>
        </w:rPr>
      </w:pPr>
    </w:p>
    <w:p>
      <w:pPr>
        <w:ind w:left="4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Summary Compensation Table</w:t>
        </w:r>
      </w:hyperlink>
    </w:p>
    <w:p>
      <w:pPr>
        <w:spacing w:after="0" w:line="117" w:lineRule="exact"/>
        <w:rPr>
          <w:rFonts w:ascii="Arial" w:cs="Arial" w:eastAsia="Arial" w:hAnsi="Arial"/>
          <w:sz w:val="18"/>
          <w:szCs w:val="18"/>
          <w:u w:val="single" w:color="auto"/>
          <w:color w:val="0000EE"/>
        </w:rPr>
      </w:pPr>
    </w:p>
    <w:p>
      <w:pPr>
        <w:ind w:left="400" w:right="3240"/>
        <w:spacing w:after="0" w:line="375"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Narrative Disclosure to Summary Compensation Table</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Outstanding Equity Awards at December 31, 2015</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Employment Agreements with Our Named Executive Officers</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Other Agreements</w:t>
        </w:r>
      </w:hyperlink>
    </w:p>
    <w:p>
      <w:pPr>
        <w:spacing w:after="0" w:line="3" w:lineRule="exact"/>
        <w:rPr>
          <w:rFonts w:ascii="Arial" w:cs="Arial" w:eastAsia="Arial" w:hAnsi="Arial"/>
          <w:sz w:val="18"/>
          <w:szCs w:val="18"/>
          <w:u w:val="single" w:color="auto"/>
          <w:color w:val="0000EE"/>
        </w:rPr>
      </w:pPr>
    </w:p>
    <w:p>
      <w:pPr>
        <w:ind w:left="4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Limitation of Liability and Indemnification</w:t>
        </w:r>
      </w:hyperlink>
    </w:p>
    <w:p>
      <w:pPr>
        <w:spacing w:after="0" w:line="117"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DIRECTOR COMPENSATION</w:t>
        </w:r>
      </w:hyperlink>
    </w:p>
    <w:p>
      <w:pPr>
        <w:spacing w:after="0" w:line="117" w:lineRule="exact"/>
        <w:rPr>
          <w:rFonts w:ascii="Arial" w:cs="Arial" w:eastAsia="Arial" w:hAnsi="Arial"/>
          <w:sz w:val="18"/>
          <w:szCs w:val="18"/>
          <w:u w:val="single" w:color="auto"/>
          <w:color w:val="0000EE"/>
        </w:rPr>
      </w:pPr>
    </w:p>
    <w:p>
      <w:pPr>
        <w:ind w:right="1140"/>
        <w:spacing w:after="0" w:line="375"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SECURITIES AUTHORIZED FOR ISSUANCE UNDER EQUITY COMPENSATION PLANS</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REPORT OF THE AUDIT COMMITTEE OF THE BOARD OF DIRECTORS</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MATTERS TO BE VOTED ON</w:t>
        </w:r>
      </w:hyperlink>
    </w:p>
    <w:p>
      <w:pPr>
        <w:spacing w:after="0" w:line="2" w:lineRule="exact"/>
        <w:rPr>
          <w:rFonts w:ascii="Arial" w:cs="Arial" w:eastAsia="Arial" w:hAnsi="Arial"/>
          <w:sz w:val="18"/>
          <w:szCs w:val="18"/>
          <w:u w:val="single" w:color="auto"/>
          <w:color w:val="0000EE"/>
        </w:rPr>
      </w:pPr>
    </w:p>
    <w:p>
      <w:pPr>
        <w:ind w:left="2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Proposal 1: Election of Directors</w:t>
        </w:r>
      </w:hyperlink>
    </w:p>
    <w:p>
      <w:pPr>
        <w:spacing w:after="0" w:line="117" w:lineRule="exact"/>
        <w:rPr>
          <w:rFonts w:ascii="Arial" w:cs="Arial" w:eastAsia="Arial" w:hAnsi="Arial"/>
          <w:sz w:val="18"/>
          <w:szCs w:val="18"/>
          <w:u w:val="single" w:color="auto"/>
          <w:color w:val="0000EE"/>
        </w:rPr>
      </w:pPr>
    </w:p>
    <w:p>
      <w:pPr>
        <w:ind w:left="400" w:right="960" w:hanging="129"/>
        <w:spacing w:after="0" w:line="37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Proposal 2: Ratification of the Appointment of Independent Registered Public Accounting Firm</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Audit Fees and Services</w:t>
        </w:r>
      </w:hyperlink>
    </w:p>
    <w:p>
      <w:pPr>
        <w:spacing w:after="0" w:line="1" w:lineRule="exact"/>
        <w:rPr>
          <w:sz w:val="20"/>
          <w:szCs w:val="20"/>
          <w:color w:val="auto"/>
        </w:rPr>
      </w:pPr>
    </w:p>
    <w:p>
      <w:pPr>
        <w:ind w:left="4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Pre-Approval Policies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10</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11</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11</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11</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13</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14</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14</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15</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16</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16</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17</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17</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17</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20</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21</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22</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22</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24</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26</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27</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29</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29</w:t>
      </w:r>
    </w:p>
    <w:p>
      <w:pPr>
        <w:spacing w:after="0" w:line="140"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2">
            <w:col w:w="8120" w:space="720"/>
            <w:col w:w="199"/>
          </w:cols>
          <w:pgMar w:left="1420" w:top="125"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STOCK OWNERSHIP AND REPORTING</w:t>
        </w:r>
      </w:hyperlink>
    </w:p>
    <w:p>
      <w:pPr>
        <w:spacing w:after="0" w:line="117" w:lineRule="exact"/>
        <w:rPr>
          <w:sz w:val="20"/>
          <w:szCs w:val="20"/>
          <w:color w:val="auto"/>
        </w:rPr>
      </w:pPr>
    </w:p>
    <w:p>
      <w:pPr>
        <w:ind w:left="260" w:right="2980"/>
        <w:spacing w:after="0" w:line="422" w:lineRule="auto"/>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Security Ownership of Certain Beneficial Owners and Management</w:t>
        </w:r>
      </w:hyperlink>
      <w:r>
        <w:rPr>
          <w:rFonts w:ascii="Arial" w:cs="Arial" w:eastAsia="Arial" w:hAnsi="Arial"/>
          <w:sz w:val="16"/>
          <w:szCs w:val="16"/>
          <w:u w:val="single" w:color="auto"/>
          <w:color w:val="0000EE"/>
        </w:rPr>
        <w:t xml:space="preserve"> </w:t>
      </w:r>
      <w:hyperlink w:anchor="page38">
        <w:r>
          <w:rPr>
            <w:rFonts w:ascii="Arial" w:cs="Arial" w:eastAsia="Arial" w:hAnsi="Arial"/>
            <w:sz w:val="16"/>
            <w:szCs w:val="16"/>
            <w:u w:val="single" w:color="auto"/>
            <w:color w:val="0000EE"/>
          </w:rPr>
          <w:t>Section 16(a) Beneficial Ownership Reporting Compliance</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OTHER MATTERS</w:t>
        </w:r>
      </w:hyperlink>
    </w:p>
    <w:p>
      <w:pPr>
        <w:spacing w:after="0" w:line="117" w:lineRule="exact"/>
        <w:rPr>
          <w:sz w:val="20"/>
          <w:szCs w:val="20"/>
          <w:color w:val="auto"/>
        </w:rPr>
      </w:pPr>
    </w:p>
    <w:p>
      <w:pPr>
        <w:ind w:left="2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Stockholder Proposals for our 2017 Annual Meeting</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Stockholder Proposals Included in Proxy Statement</w:t>
        </w:r>
      </w:hyperlink>
    </w:p>
    <w:p>
      <w:pPr>
        <w:spacing w:after="0" w:line="117" w:lineRule="exact"/>
        <w:rPr>
          <w:sz w:val="20"/>
          <w:szCs w:val="20"/>
          <w:color w:val="auto"/>
        </w:rPr>
      </w:pPr>
    </w:p>
    <w:p>
      <w:pPr>
        <w:ind w:left="4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Stockholder Proposals Not Included in Proxy Statement</w:t>
        </w:r>
      </w:hyperlink>
    </w:p>
    <w:p>
      <w:pPr>
        <w:spacing w:after="0" w:line="117" w:lineRule="exact"/>
        <w:rPr>
          <w:sz w:val="20"/>
          <w:szCs w:val="20"/>
          <w:color w:val="auto"/>
        </w:rPr>
      </w:pPr>
    </w:p>
    <w:p>
      <w:pPr>
        <w:ind w:left="2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Householding of Annual Meeting Materials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2">
            <w:col w:w="8120" w:space="720"/>
            <w:col w:w="199"/>
          </w:cols>
          <w:pgMar w:left="1420" w:top="125" w:right="1440"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358140</wp:posOffset>
            </wp:positionV>
            <wp:extent cx="170688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068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ind w:left="4400" w:hanging="428"/>
        <w:spacing w:after="0"/>
        <w:tabs>
          <w:tab w:leader="none" w:pos="4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374-7580</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3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-273685</wp:posOffset>
            </wp:positionV>
            <wp:extent cx="1431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163195</wp:posOffset>
            </wp:positionV>
            <wp:extent cx="14319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151765</wp:posOffset>
            </wp:positionV>
            <wp:extent cx="1431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3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proxy statement and the enclosed proxy card are being furnished in connection with the solicitation of proxies by the board of directors of Blueprint Medicines Corporation for use at the annual meeting of stockholders to be held on Tuesday, June 21, 2016 at 3:00 p.m., Eastern Daylight Time, at the offices of Goodwin Procter LLP, 53 State Street, Boston, Massachusetts 02109, and at any adjournment thereof.</w:t>
      </w:r>
    </w:p>
    <w:p>
      <w:pPr>
        <w:spacing w:after="0" w:line="9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Unless otherwise stated, all references to “us,” “our,” “Blueprint,” “Blueprint Medicines,” “we,” the “Company” and similar designations refer to Blueprint Medicines Corporation and its consolidated subsidiary, Blueprint Medicines Security Corporation.</w:t>
      </w:r>
    </w:p>
    <w:p>
      <w:pPr>
        <w:spacing w:after="0" w:line="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annual report to stockholders for the fiscal year ended December 31, 2015 available to stockholders for the first time on or about April 28, 2016.</w:t>
      </w:r>
    </w:p>
    <w:p>
      <w:pPr>
        <w:spacing w:after="0" w:line="90"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 xml:space="preserve">A copy of our Annual Report on Form 10-K for the fiscal year ended December 31, 2015, as filed with the Securities and Exchange Commission, or SEC, except for exhibits, will be furnished without charge to any stockholder upon written or oral request to Blueprint Medicines Corporation, 38 Sidney Street, Suite 200, Cambridge, Massachusetts 02139 or by calling 1-800-579-1639, by emailing </w:t>
      </w:r>
      <w:r>
        <w:rPr>
          <w:rFonts w:ascii="Arial" w:cs="Arial" w:eastAsia="Arial" w:hAnsi="Arial"/>
          <w:sz w:val="16"/>
          <w:szCs w:val="16"/>
          <w:b w:val="1"/>
          <w:bCs w:val="1"/>
          <w:i w:val="1"/>
          <w:iCs w:val="1"/>
          <w:color w:val="auto"/>
        </w:rPr>
        <w:t>sendmaterial@proxyvote.com</w:t>
      </w:r>
      <w:r>
        <w:rPr>
          <w:rFonts w:ascii="Arial" w:cs="Arial" w:eastAsia="Arial" w:hAnsi="Arial"/>
          <w:sz w:val="16"/>
          <w:szCs w:val="16"/>
          <w:b w:val="1"/>
          <w:bCs w:val="1"/>
          <w:color w:val="auto"/>
        </w:rPr>
        <w:t xml:space="preserve"> or by submitting a request over the Internet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This proxy statement and our Annual Report on Form 10-K for the fiscal year ended December 31, 2015 are also available on the SEC’s website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and the “Investors —SEC Filings” section of our website, which is located at </w:t>
      </w:r>
      <w:r>
        <w:rPr>
          <w:rFonts w:ascii="Arial" w:cs="Arial" w:eastAsia="Arial" w:hAnsi="Arial"/>
          <w:sz w:val="16"/>
          <w:szCs w:val="16"/>
          <w:b w:val="1"/>
          <w:bCs w:val="1"/>
          <w:i w:val="1"/>
          <w:iCs w:val="1"/>
          <w:color w:val="auto"/>
        </w:rPr>
        <w:t>www.blueprintmedicines.com</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123190</wp:posOffset>
            </wp:positionV>
            <wp:extent cx="1431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3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 which means the market value of our common stock that is held by non-affiliates exceeds $700 million as of the prior June 30</w:t>
      </w:r>
      <w:r>
        <w:rPr>
          <w:rFonts w:ascii="Arial" w:cs="Arial" w:eastAsia="Arial" w:hAnsi="Arial"/>
          <w:sz w:val="7"/>
          <w:szCs w:val="7"/>
          <w:color w:val="auto"/>
        </w:rPr>
        <w:t>th</w:t>
      </w:r>
      <w:r>
        <w:rPr>
          <w:rFonts w:ascii="Arial" w:cs="Arial" w:eastAsia="Arial" w:hAnsi="Arial"/>
          <w:sz w:val="16"/>
          <w:szCs w:val="16"/>
          <w:color w:val="auto"/>
        </w:rPr>
        <w: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In addition, as an emerging growth company, we are not required to conduct votes seeking approval, on an advisory basis, of the compensation of our named executive officers or the frequency with which such votes must be conducted. We have taken advantage of certain reduced reporting obligations in this proxy statement. Accordingly, the information contained herein may be different than the information you receive from other public companies in which you hold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ind w:left="640" w:hanging="637"/>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these proxy materials?</w:t>
      </w:r>
    </w:p>
    <w:p>
      <w:pPr>
        <w:spacing w:after="0" w:line="229" w:lineRule="exact"/>
        <w:rPr>
          <w:rFonts w:ascii="Arial" w:cs="Arial" w:eastAsia="Arial" w:hAnsi="Arial"/>
          <w:sz w:val="18"/>
          <w:szCs w:val="18"/>
          <w:b w:val="1"/>
          <w:bCs w:val="1"/>
          <w:color w:val="auto"/>
        </w:rPr>
      </w:pPr>
    </w:p>
    <w:p>
      <w:pPr>
        <w:ind w:left="660" w:hanging="657"/>
        <w:spacing w:after="0" w:line="273" w:lineRule="auto"/>
        <w:tabs>
          <w:tab w:leader="none" w:pos="637"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board of directors has made these materials available to you on the Internet in connection with the solicitation of proxies for use at our 2016 annual meeting of stockholders to be held at the offices of Goodwin Procter LLP, 53 State Street, Boston, Massachusetts 02109, on Tuesday, June 21, 2016 at 3:00 p.m., Eastern Daylight Time. As a holder of common stock, you are invited to attend the annual meeting and are requested to vote on the items of business described in this proxy statement. This proxy statement includes information that we are required to provide to you under SEC rules and that is designed to assist you in voting your shares.</w:t>
      </w:r>
    </w:p>
    <w:p>
      <w:pPr>
        <w:spacing w:after="0" w:line="174" w:lineRule="exact"/>
        <w:rPr>
          <w:rFonts w:ascii="Arial" w:cs="Arial" w:eastAsia="Arial" w:hAnsi="Arial"/>
          <w:sz w:val="17"/>
          <w:szCs w:val="17"/>
          <w:color w:val="auto"/>
        </w:rPr>
      </w:pPr>
    </w:p>
    <w:p>
      <w:pPr>
        <w:ind w:left="660" w:hanging="657"/>
        <w:spacing w:after="0" w:line="282" w:lineRule="auto"/>
        <w:tabs>
          <w:tab w:leader="none" w:pos="59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165" w:lineRule="exact"/>
        <w:rPr>
          <w:rFonts w:ascii="Arial" w:cs="Arial" w:eastAsia="Arial" w:hAnsi="Arial"/>
          <w:sz w:val="18"/>
          <w:szCs w:val="18"/>
          <w:b w:val="1"/>
          <w:bCs w:val="1"/>
          <w:color w:val="auto"/>
        </w:rPr>
      </w:pPr>
    </w:p>
    <w:p>
      <w:pPr>
        <w:ind w:left="660" w:right="100" w:hanging="657"/>
        <w:spacing w:after="0" w:line="259" w:lineRule="auto"/>
        <w:tabs>
          <w:tab w:leader="none" w:pos="6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spacing w:after="0" w:line="182" w:lineRule="exact"/>
        <w:rPr>
          <w:rFonts w:ascii="Arial" w:cs="Arial" w:eastAsia="Arial" w:hAnsi="Arial"/>
          <w:sz w:val="18"/>
          <w:szCs w:val="18"/>
          <w:color w:val="auto"/>
        </w:rPr>
      </w:pPr>
    </w:p>
    <w:p>
      <w:pPr>
        <w:ind w:left="640" w:hanging="637"/>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229" w:lineRule="exact"/>
        <w:rPr>
          <w:rFonts w:ascii="Arial" w:cs="Arial" w:eastAsia="Arial" w:hAnsi="Arial"/>
          <w:sz w:val="18"/>
          <w:szCs w:val="18"/>
          <w:b w:val="1"/>
          <w:bCs w:val="1"/>
          <w:color w:val="auto"/>
        </w:rPr>
      </w:pPr>
    </w:p>
    <w:p>
      <w:pPr>
        <w:ind w:left="620" w:hanging="61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annual meeting, stockholders will consider and vote on the following matters:</w:t>
      </w:r>
    </w:p>
    <w:p>
      <w:pPr>
        <w:spacing w:after="0" w:line="225" w:lineRule="exact"/>
        <w:rPr>
          <w:sz w:val="20"/>
          <w:szCs w:val="20"/>
          <w:color w:val="auto"/>
        </w:rPr>
      </w:pPr>
    </w:p>
    <w:p>
      <w:pPr>
        <w:jc w:val="both"/>
        <w:ind w:left="1120" w:right="40" w:hanging="134"/>
        <w:spacing w:after="0" w:line="264" w:lineRule="auto"/>
        <w:rPr>
          <w:sz w:val="20"/>
          <w:szCs w:val="20"/>
          <w:color w:val="auto"/>
        </w:rPr>
      </w:pPr>
      <w:r>
        <w:rPr>
          <w:rFonts w:ascii="Arial" w:cs="Arial" w:eastAsia="Arial" w:hAnsi="Arial"/>
          <w:sz w:val="18"/>
          <w:szCs w:val="18"/>
          <w:color w:val="auto"/>
        </w:rPr>
        <w:t>1.The election of three Class I directors nominated by our board of directors, each to serve for a three-year term expiring at the 2019 annual meeting of stockholders or until his successor has been duly elected and qualified (Proposal 1);</w:t>
      </w:r>
    </w:p>
    <w:p>
      <w:pPr>
        <w:spacing w:after="0" w:line="181" w:lineRule="exact"/>
        <w:rPr>
          <w:sz w:val="20"/>
          <w:szCs w:val="20"/>
          <w:color w:val="auto"/>
        </w:rPr>
      </w:pPr>
    </w:p>
    <w:p>
      <w:pPr>
        <w:ind w:left="1120" w:right="260" w:hanging="134"/>
        <w:spacing w:after="0" w:line="277" w:lineRule="auto"/>
        <w:rPr>
          <w:sz w:val="20"/>
          <w:szCs w:val="20"/>
          <w:color w:val="auto"/>
        </w:rPr>
      </w:pPr>
      <w:r>
        <w:rPr>
          <w:rFonts w:ascii="Arial" w:cs="Arial" w:eastAsia="Arial" w:hAnsi="Arial"/>
          <w:sz w:val="18"/>
          <w:szCs w:val="18"/>
          <w:color w:val="auto"/>
        </w:rPr>
        <w:t>2.The ratification of the appointment of Ernst &amp; Young LLP as our independent registered public accounting firm for the fiscal year ending December 31, 2016 (Proposal 2); and</w:t>
      </w:r>
    </w:p>
    <w:p>
      <w:pPr>
        <w:spacing w:after="0" w:line="170" w:lineRule="exact"/>
        <w:rPr>
          <w:sz w:val="20"/>
          <w:szCs w:val="20"/>
          <w:color w:val="auto"/>
        </w:rPr>
      </w:pPr>
    </w:p>
    <w:p>
      <w:pPr>
        <w:ind w:left="1120" w:right="140" w:hanging="134"/>
        <w:spacing w:after="0" w:line="277" w:lineRule="auto"/>
        <w:rPr>
          <w:sz w:val="20"/>
          <w:szCs w:val="20"/>
          <w:color w:val="auto"/>
        </w:rPr>
      </w:pPr>
      <w:r>
        <w:rPr>
          <w:rFonts w:ascii="Arial" w:cs="Arial" w:eastAsia="Arial" w:hAnsi="Arial"/>
          <w:sz w:val="18"/>
          <w:szCs w:val="18"/>
          <w:color w:val="auto"/>
        </w:rPr>
        <w:t>3.The transaction of any other business that may properly come before the annual meeting or any adjournment or postponement thereof.</w:t>
      </w:r>
    </w:p>
    <w:p>
      <w:pPr>
        <w:spacing w:after="0" w:line="166" w:lineRule="exact"/>
        <w:rPr>
          <w:sz w:val="20"/>
          <w:szCs w:val="20"/>
          <w:color w:val="auto"/>
        </w:rPr>
      </w:pPr>
    </w:p>
    <w:p>
      <w:pPr>
        <w:ind w:left="640" w:hanging="637"/>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annual meeting?</w:t>
      </w:r>
    </w:p>
    <w:p>
      <w:pPr>
        <w:spacing w:after="0" w:line="229" w:lineRule="exact"/>
        <w:rPr>
          <w:rFonts w:ascii="Arial" w:cs="Arial" w:eastAsia="Arial" w:hAnsi="Arial"/>
          <w:sz w:val="18"/>
          <w:szCs w:val="18"/>
          <w:b w:val="1"/>
          <w:bCs w:val="1"/>
          <w:color w:val="auto"/>
        </w:rPr>
      </w:pPr>
    </w:p>
    <w:p>
      <w:pPr>
        <w:ind w:left="660" w:right="340" w:hanging="657"/>
        <w:spacing w:after="0" w:line="264" w:lineRule="auto"/>
        <w:tabs>
          <w:tab w:leader="none" w:pos="6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be entitled to vote, you must have been a stockholder of record at the close of business on April 25, 2016, the record date for our annual meeting. As of the record date, there were 27,237,950 shares of our common stock outstanding and entitled to vote at the annual meeting.</w:t>
      </w:r>
    </w:p>
    <w:p>
      <w:pPr>
        <w:spacing w:after="0" w:line="177" w:lineRule="exact"/>
        <w:rPr>
          <w:rFonts w:ascii="Arial" w:cs="Arial" w:eastAsia="Arial" w:hAnsi="Arial"/>
          <w:sz w:val="18"/>
          <w:szCs w:val="18"/>
          <w:color w:val="auto"/>
        </w:rPr>
      </w:pPr>
    </w:p>
    <w:p>
      <w:pPr>
        <w:ind w:left="640" w:hanging="637"/>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29" w:lineRule="exact"/>
        <w:rPr>
          <w:rFonts w:ascii="Arial" w:cs="Arial" w:eastAsia="Arial" w:hAnsi="Arial"/>
          <w:sz w:val="18"/>
          <w:szCs w:val="18"/>
          <w:b w:val="1"/>
          <w:bCs w:val="1"/>
          <w:color w:val="auto"/>
        </w:rPr>
      </w:pPr>
    </w:p>
    <w:p>
      <w:pPr>
        <w:ind w:left="660" w:right="500" w:hanging="657"/>
        <w:spacing w:after="0" w:line="277" w:lineRule="auto"/>
        <w:tabs>
          <w:tab w:leader="none" w:pos="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share of our common stock that you own as of the record date will entitle you to one vote on each matter considered at the annual meeting.</w:t>
      </w:r>
    </w:p>
    <w:p>
      <w:pPr>
        <w:spacing w:after="0" w:line="166" w:lineRule="exact"/>
        <w:rPr>
          <w:rFonts w:ascii="Arial" w:cs="Arial" w:eastAsia="Arial" w:hAnsi="Arial"/>
          <w:sz w:val="18"/>
          <w:szCs w:val="18"/>
          <w:color w:val="auto"/>
        </w:rPr>
      </w:pPr>
    </w:p>
    <w:p>
      <w:pPr>
        <w:ind w:left="640" w:hanging="637"/>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25" w:lineRule="exact"/>
        <w:rPr>
          <w:rFonts w:ascii="Arial" w:cs="Arial" w:eastAsia="Arial" w:hAnsi="Arial"/>
          <w:sz w:val="18"/>
          <w:szCs w:val="18"/>
          <w:b w:val="1"/>
          <w:bCs w:val="1"/>
          <w:color w:val="auto"/>
        </w:rPr>
      </w:pPr>
    </w:p>
    <w:p>
      <w:pPr>
        <w:ind w:left="660" w:right="60" w:hanging="657"/>
        <w:spacing w:after="0" w:line="289" w:lineRule="auto"/>
        <w:tabs>
          <w:tab w:leader="none" w:pos="637"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If you are the “record holder” of your shares, </w:t>
      </w:r>
      <w:r>
        <w:rPr>
          <w:rFonts w:ascii="Arial" w:cs="Arial" w:eastAsia="Arial" w:hAnsi="Arial"/>
          <w:sz w:val="17"/>
          <w:szCs w:val="17"/>
          <w:color w:val="auto"/>
        </w:rPr>
        <w:t>meaning that your shares are registered in your name in the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of our transfer agent, Computershare Trust Company, N.A., and not in the name of a bank, brokerage firm or other nominee, you may vote your shares at the meeting in person or by proxy as follows:</w:t>
      </w:r>
    </w:p>
    <w:p>
      <w:pPr>
        <w:spacing w:after="0" w:line="158" w:lineRule="exact"/>
        <w:rPr>
          <w:sz w:val="20"/>
          <w:szCs w:val="20"/>
          <w:color w:val="auto"/>
        </w:rPr>
      </w:pPr>
    </w:p>
    <w:p>
      <w:pPr>
        <w:ind w:left="1120" w:right="120" w:hanging="134"/>
        <w:spacing w:after="0" w:line="295" w:lineRule="auto"/>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Over the Internet:</w:t>
      </w:r>
      <w:r>
        <w:rPr>
          <w:rFonts w:ascii="Arial" w:cs="Arial" w:eastAsia="Arial" w:hAnsi="Arial"/>
          <w:sz w:val="16"/>
          <w:szCs w:val="16"/>
          <w:color w:val="auto"/>
        </w:rPr>
        <w:t xml:space="preserve"> To vote over the Internet, please go to the following website: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and follow the instructions on that website for 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20, 2015, the day before the annual meeting, for your proxy to be valid and your vote to count.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20" w:right="40" w:hanging="134"/>
        <w:spacing w:after="0" w:line="256" w:lineRule="auto"/>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By Telephone:</w:t>
      </w:r>
      <w:r>
        <w:rPr>
          <w:rFonts w:ascii="Arial" w:cs="Arial" w:eastAsia="Arial" w:hAnsi="Arial"/>
          <w:sz w:val="18"/>
          <w:szCs w:val="18"/>
          <w:color w:val="auto"/>
        </w:rPr>
        <w:t xml:space="preserve"> To vote by telephone, please call 1-800-579-1639, and follow the instructions provided on the proxy 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20, 2015, the day before the annual meeting, for your proxy to be valid and your vote to count.</w:t>
      </w:r>
    </w:p>
    <w:p>
      <w:pPr>
        <w:spacing w:after="0" w:line="188" w:lineRule="exact"/>
        <w:rPr>
          <w:sz w:val="20"/>
          <w:szCs w:val="20"/>
          <w:color w:val="auto"/>
        </w:rPr>
      </w:pPr>
    </w:p>
    <w:p>
      <w:pPr>
        <w:ind w:left="1120" w:right="100" w:hanging="134"/>
        <w:spacing w:after="0" w:line="274" w:lineRule="auto"/>
        <w:rPr>
          <w:sz w:val="20"/>
          <w:szCs w:val="20"/>
          <w:color w:val="auto"/>
        </w:rPr>
      </w:pPr>
      <w:r>
        <w:rPr>
          <w:rFonts w:ascii="Arial" w:cs="Arial" w:eastAsia="Arial" w:hAnsi="Arial"/>
          <w:sz w:val="17"/>
          <w:szCs w:val="17"/>
          <w:color w:val="auto"/>
        </w:rPr>
        <w:t>3.</w:t>
      </w:r>
      <w:r>
        <w:rPr>
          <w:rFonts w:ascii="Arial" w:cs="Arial" w:eastAsia="Arial" w:hAnsi="Arial"/>
          <w:sz w:val="17"/>
          <w:szCs w:val="17"/>
          <w:b w:val="1"/>
          <w:bCs w:val="1"/>
          <w:color w:val="auto"/>
        </w:rPr>
        <w:t>By Mail:</w:t>
      </w:r>
      <w:r>
        <w:rPr>
          <w:rFonts w:ascii="Arial" w:cs="Arial" w:eastAsia="Arial" w:hAnsi="Arial"/>
          <w:sz w:val="17"/>
          <w:szCs w:val="17"/>
          <w:color w:val="auto"/>
        </w:rPr>
        <w:t xml:space="preserve"> To vote by mail, you must mark, sign and date the proxy card and then mail the proxy card in accordance with the instructions on the proxy card. If you vote by mail, you do not need to vote over the Internet or by telephone. Broadridge Financial Solutions, Inc. must receive the proxy card not later than June 20, 2015, the day before the annual meeting, for your proxy to be valid and your vote to count. If you return your proxy card but do not specify how you want your shares voted on any particular matter, they will be voted in accordance with the recommendations of our board of directors.</w:t>
      </w:r>
    </w:p>
    <w:p>
      <w:pPr>
        <w:spacing w:after="0" w:line="174" w:lineRule="exact"/>
        <w:rPr>
          <w:sz w:val="20"/>
          <w:szCs w:val="20"/>
          <w:color w:val="auto"/>
        </w:rPr>
      </w:pPr>
    </w:p>
    <w:p>
      <w:pPr>
        <w:ind w:left="1120" w:right="180" w:hanging="134"/>
        <w:spacing w:after="0" w:line="313" w:lineRule="auto"/>
        <w:rPr>
          <w:sz w:val="20"/>
          <w:szCs w:val="20"/>
          <w:color w:val="auto"/>
        </w:rPr>
      </w:pPr>
      <w:r>
        <w:rPr>
          <w:rFonts w:ascii="Arial" w:cs="Arial" w:eastAsia="Arial" w:hAnsi="Arial"/>
          <w:sz w:val="17"/>
          <w:szCs w:val="17"/>
          <w:color w:val="auto"/>
        </w:rPr>
        <w:t>4.</w:t>
      </w:r>
      <w:r>
        <w:rPr>
          <w:rFonts w:ascii="Arial" w:cs="Arial" w:eastAsia="Arial" w:hAnsi="Arial"/>
          <w:sz w:val="17"/>
          <w:szCs w:val="17"/>
          <w:b w:val="1"/>
          <w:bCs w:val="1"/>
          <w:color w:val="auto"/>
        </w:rPr>
        <w:t>In Person at the Meeting:</w:t>
      </w:r>
      <w:r>
        <w:rPr>
          <w:rFonts w:ascii="Arial" w:cs="Arial" w:eastAsia="Arial" w:hAnsi="Arial"/>
          <w:sz w:val="17"/>
          <w:szCs w:val="17"/>
          <w:color w:val="auto"/>
        </w:rPr>
        <w:t xml:space="preserve"> If you attend the annual meeting, you may deliver your completed proxy card in person or you may vote by completing a ballot, which we will provide to you at the meeting.</w:t>
      </w:r>
    </w:p>
    <w:p>
      <w:pPr>
        <w:spacing w:after="0" w:line="138"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b w:val="1"/>
          <w:bCs w:val="1"/>
          <w:color w:val="auto"/>
        </w:rPr>
        <w:t xml:space="preserve">If your shares are held in “street name,” </w:t>
      </w:r>
      <w:r>
        <w:rPr>
          <w:rFonts w:ascii="Arial" w:cs="Arial" w:eastAsia="Arial" w:hAnsi="Arial"/>
          <w:sz w:val="18"/>
          <w:szCs w:val="18"/>
          <w:color w:val="auto"/>
        </w:rPr>
        <w:t>meaning they are held for your account by an intermediary, such as a</w:t>
      </w:r>
      <w:r>
        <w:rPr>
          <w:rFonts w:ascii="Arial" w:cs="Arial" w:eastAsia="Arial" w:hAnsi="Arial"/>
          <w:sz w:val="18"/>
          <w:szCs w:val="18"/>
          <w:b w:val="1"/>
          <w:bCs w:val="1"/>
          <w:color w:val="auto"/>
        </w:rPr>
        <w:t xml:space="preserve"> </w:t>
      </w:r>
      <w:r>
        <w:rPr>
          <w:rFonts w:ascii="Arial" w:cs="Arial" w:eastAsia="Arial" w:hAnsi="Arial"/>
          <w:sz w:val="18"/>
          <w:szCs w:val="18"/>
          <w:color w:val="auto"/>
        </w:rPr>
        <w:t>bank, brokerage 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spacing w:after="0" w:line="189"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2) is considered a discretionary item. Accordingly, your bank, brokerage firm or other nominee may vote your shares in its discretion with respect to that matter even if you do not give voting instructions on Proposal 2.</w:t>
      </w:r>
    </w:p>
    <w:p>
      <w:pPr>
        <w:spacing w:after="0" w:line="188"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However, under applicable stock exchange rules that regulate voting by registered banks, brokerage firms or other nominees, the election of our nominees to serve as Class I directors (Proposal 1) is not considered to be a discretionary item. Accordingly, if you do not give your bank, brokerage firm or other nominee voting instructions on Proposal 1, they may not vote your shares with respect to this matter and your shares will be counted as “broker non-votes” with respect to the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spacing w:after="0" w:line="188" w:lineRule="exact"/>
        <w:rPr>
          <w:sz w:val="20"/>
          <w:szCs w:val="20"/>
          <w:color w:val="auto"/>
        </w:rPr>
      </w:pPr>
    </w:p>
    <w:p>
      <w:pPr>
        <w:ind w:left="660" w:right="20"/>
        <w:spacing w:after="0" w:line="295" w:lineRule="auto"/>
        <w:rPr>
          <w:sz w:val="20"/>
          <w:szCs w:val="20"/>
          <w:color w:val="auto"/>
        </w:rPr>
      </w:pPr>
      <w:r>
        <w:rPr>
          <w:rFonts w:ascii="Arial" w:cs="Arial" w:eastAsia="Arial" w:hAnsi="Arial"/>
          <w:sz w:val="16"/>
          <w:szCs w:val="16"/>
          <w:b w:val="1"/>
          <w:bCs w:val="1"/>
          <w:color w:val="auto"/>
        </w:rPr>
        <w:t xml:space="preserve">Regardless of whether your shares are held in street name, you are welcome to attend the meeting. You may not vote shares held in street name in person at the meeting, however, unless you obtain a legal proxy, executed in your favor, from the holder of record (i.e., your bank, brokerage firm or other nominee). A legal proxy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the form of proxy included with this proxy statement. You will not be able to vote shares you hold in street name in person at the annual meeting unless you have a legal proxy from your bank, brokerage firm or other nominee issued in your name giving you the right to vote your shares.</w:t>
      </w:r>
    </w:p>
    <w:p>
      <w:pPr>
        <w:spacing w:after="0" w:line="156" w:lineRule="exact"/>
        <w:rPr>
          <w:sz w:val="20"/>
          <w:szCs w:val="20"/>
          <w:color w:val="auto"/>
        </w:rPr>
      </w:pPr>
    </w:p>
    <w:p>
      <w:pPr>
        <w:ind w:left="640" w:hanging="637"/>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225" w:lineRule="exact"/>
        <w:rPr>
          <w:rFonts w:ascii="Arial" w:cs="Arial" w:eastAsia="Arial" w:hAnsi="Arial"/>
          <w:sz w:val="18"/>
          <w:szCs w:val="18"/>
          <w:b w:val="1"/>
          <w:bCs w:val="1"/>
          <w:color w:val="auto"/>
        </w:rPr>
      </w:pPr>
    </w:p>
    <w:p>
      <w:pPr>
        <w:ind w:left="660" w:right="40" w:hanging="657"/>
        <w:spacing w:after="0" w:line="282" w:lineRule="auto"/>
        <w:tabs>
          <w:tab w:leader="none" w:pos="63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If your shares are registered directly in your name, </w:t>
      </w:r>
      <w:r>
        <w:rPr>
          <w:rFonts w:ascii="Arial" w:cs="Arial" w:eastAsia="Arial" w:hAnsi="Arial"/>
          <w:sz w:val="18"/>
          <w:szCs w:val="18"/>
          <w:color w:val="auto"/>
        </w:rPr>
        <w:t>you may revoke your proxy and change your vote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vote is taken at the annual meeting. To do so, you must do one of the following:</w:t>
      </w:r>
    </w:p>
    <w:p>
      <w:pPr>
        <w:spacing w:after="0" w:line="166" w:lineRule="exact"/>
        <w:rPr>
          <w:sz w:val="20"/>
          <w:szCs w:val="20"/>
          <w:color w:val="auto"/>
        </w:rPr>
      </w:pPr>
    </w:p>
    <w:p>
      <w:pPr>
        <w:ind w:left="1120" w:right="480" w:hanging="134"/>
        <w:spacing w:after="0" w:line="277" w:lineRule="auto"/>
        <w:rPr>
          <w:sz w:val="20"/>
          <w:szCs w:val="20"/>
          <w:color w:val="auto"/>
        </w:rPr>
      </w:pPr>
      <w:r>
        <w:rPr>
          <w:rFonts w:ascii="Arial" w:cs="Arial" w:eastAsia="Arial" w:hAnsi="Arial"/>
          <w:sz w:val="18"/>
          <w:szCs w:val="18"/>
          <w:color w:val="auto"/>
        </w:rPr>
        <w:t>1.Vote over the Internet or by telephone as instructed above. Only your latest Internet or telephone vote is counted.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2.Sign and return a new proxy card. Only your latest dated and timely received proxy card will be counted.</w:t>
      </w:r>
    </w:p>
    <w:p>
      <w:pPr>
        <w:spacing w:after="0" w:line="237" w:lineRule="exact"/>
        <w:rPr>
          <w:sz w:val="20"/>
          <w:szCs w:val="20"/>
          <w:color w:val="auto"/>
        </w:rPr>
      </w:pPr>
    </w:p>
    <w:p>
      <w:pPr>
        <w:ind w:left="1120" w:right="420" w:hanging="134"/>
        <w:spacing w:after="0" w:line="342" w:lineRule="auto"/>
        <w:rPr>
          <w:sz w:val="20"/>
          <w:szCs w:val="20"/>
          <w:color w:val="auto"/>
        </w:rPr>
      </w:pPr>
      <w:r>
        <w:rPr>
          <w:rFonts w:ascii="Arial" w:cs="Arial" w:eastAsia="Arial" w:hAnsi="Arial"/>
          <w:sz w:val="16"/>
          <w:szCs w:val="16"/>
          <w:color w:val="auto"/>
        </w:rPr>
        <w:t>3.Attend the annual meeting and vote in person as instructed above. Attending the annual meeting will not alone revoke your Internet vote, telephone vote or proxy card submitted by mail, as the case may be.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4.Give our corporate secretary written notice before or at the meeting that you want to revoke your proxy.</w:t>
      </w:r>
    </w:p>
    <w:p>
      <w:pPr>
        <w:spacing w:after="0" w:line="233" w:lineRule="exact"/>
        <w:rPr>
          <w:sz w:val="20"/>
          <w:szCs w:val="20"/>
          <w:color w:val="auto"/>
        </w:rPr>
      </w:pPr>
    </w:p>
    <w:p>
      <w:pPr>
        <w:ind w:left="660" w:right="180"/>
        <w:spacing w:after="0" w:line="266" w:lineRule="auto"/>
        <w:rPr>
          <w:sz w:val="20"/>
          <w:szCs w:val="20"/>
          <w:color w:val="auto"/>
        </w:rPr>
      </w:pPr>
      <w:r>
        <w:rPr>
          <w:rFonts w:ascii="Arial" w:cs="Arial" w:eastAsia="Arial" w:hAnsi="Arial"/>
          <w:sz w:val="18"/>
          <w:szCs w:val="18"/>
          <w:b w:val="1"/>
          <w:bCs w:val="1"/>
          <w:color w:val="auto"/>
        </w:rPr>
        <w:t xml:space="preserve">If your shares are held in “street name,” </w:t>
      </w:r>
      <w:r>
        <w:rPr>
          <w:rFonts w:ascii="Arial" w:cs="Arial" w:eastAsia="Arial" w:hAnsi="Arial"/>
          <w:sz w:val="18"/>
          <w:szCs w:val="18"/>
          <w:color w:val="auto"/>
        </w:rPr>
        <w:t>you may submit new voting instructions by contacting your bank,</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firm or other nominee. You may also vote in person at the annual meeting if you obtain a legal proxy as described in the answer above.</w:t>
      </w:r>
    </w:p>
    <w:p>
      <w:pPr>
        <w:spacing w:after="0" w:line="176" w:lineRule="exact"/>
        <w:rPr>
          <w:sz w:val="20"/>
          <w:szCs w:val="20"/>
          <w:color w:val="auto"/>
        </w:rPr>
      </w:pPr>
    </w:p>
    <w:p>
      <w:pPr>
        <w:ind w:left="640" w:hanging="637"/>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represented to have a quorum and hold the annual meeting?</w:t>
      </w:r>
    </w:p>
    <w:p>
      <w:pPr>
        <w:spacing w:after="0" w:line="229" w:lineRule="exact"/>
        <w:rPr>
          <w:rFonts w:ascii="Arial" w:cs="Arial" w:eastAsia="Arial" w:hAnsi="Arial"/>
          <w:sz w:val="18"/>
          <w:szCs w:val="18"/>
          <w:b w:val="1"/>
          <w:bCs w:val="1"/>
          <w:color w:val="auto"/>
        </w:rPr>
      </w:pPr>
    </w:p>
    <w:p>
      <w:pPr>
        <w:ind w:left="660" w:hanging="657"/>
        <w:spacing w:after="0" w:line="290" w:lineRule="auto"/>
        <w:tabs>
          <w:tab w:leader="none" w:pos="6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majority of our shares of common stock outstanding at the record date must be present in person or represented by proxy to hold the annual meeting. This is called a quorum. For purposes of determining whether a quorum exists, we count as present any shares that are voted over the Internet, by telephone, by completing and submitting a proxy by mail or that are represented in person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spacing w:after="0" w:line="162" w:lineRule="exact"/>
        <w:rPr>
          <w:rFonts w:ascii="Arial" w:cs="Arial" w:eastAsia="Arial" w:hAnsi="Arial"/>
          <w:sz w:val="16"/>
          <w:szCs w:val="16"/>
          <w:color w:val="auto"/>
        </w:rPr>
      </w:pPr>
    </w:p>
    <w:p>
      <w:pPr>
        <w:ind w:left="640" w:hanging="637"/>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matter and how are votes counted?</w:t>
      </w:r>
    </w:p>
    <w:p>
      <w:pPr>
        <w:spacing w:after="0" w:line="225" w:lineRule="exact"/>
        <w:rPr>
          <w:rFonts w:ascii="Arial" w:cs="Arial" w:eastAsia="Arial" w:hAnsi="Arial"/>
          <w:sz w:val="18"/>
          <w:szCs w:val="18"/>
          <w:b w:val="1"/>
          <w:bCs w:val="1"/>
          <w:color w:val="auto"/>
        </w:rPr>
      </w:pPr>
    </w:p>
    <w:p>
      <w:pPr>
        <w:ind w:left="620" w:hanging="61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Proposal 1—Election of Class I Directors</w:t>
      </w:r>
    </w:p>
    <w:p>
      <w:pPr>
        <w:spacing w:after="0" w:line="229"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 nominee will be elected as a director at the annual meeting if the nominee receives a plurality of the votes cast “for” the applicable seat on the board of directors.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Proposal 2—Ratification of the Appointment of Independent Registered Public Accounting Firm</w:t>
      </w:r>
    </w:p>
    <w:p>
      <w:pPr>
        <w:spacing w:after="0" w:line="229"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affirmative vote of the holders of shares of common stock representing a majority of the votes cast on the matter is required for the ratification of the appointment of Ernst &amp; Young LLP as our independent registered public accounting firm for the year ended December 31, 2015.</w:t>
      </w:r>
    </w:p>
    <w:p>
      <w:pPr>
        <w:spacing w:after="0" w:line="181" w:lineRule="exact"/>
        <w:rPr>
          <w:sz w:val="20"/>
          <w:szCs w:val="20"/>
          <w:color w:val="auto"/>
        </w:rPr>
      </w:pPr>
    </w:p>
    <w:p>
      <w:pPr>
        <w:jc w:val="both"/>
        <w:ind w:left="660" w:right="280"/>
        <w:spacing w:after="0" w:line="312" w:lineRule="auto"/>
        <w:rPr>
          <w:sz w:val="20"/>
          <w:szCs w:val="20"/>
          <w:color w:val="auto"/>
        </w:rPr>
      </w:pPr>
      <w:r>
        <w:rPr>
          <w:rFonts w:ascii="Arial" w:cs="Arial" w:eastAsia="Arial" w:hAnsi="Arial"/>
          <w:sz w:val="16"/>
          <w:szCs w:val="16"/>
          <w:color w:val="auto"/>
        </w:rPr>
        <w:t>Shares which abstain from voting and “broker non-votes” with respect to a matter will not be counted as votes in favor of such matter, and will also not be counted as shares voting on such matter. Accordingly, abstentions and “broker non-votes” will have no effect on the voting on Proposal 1 or Proposal 2 referenced above.</w:t>
      </w:r>
    </w:p>
    <w:p>
      <w:pPr>
        <w:spacing w:after="0" w:line="143" w:lineRule="exact"/>
        <w:rPr>
          <w:sz w:val="20"/>
          <w:szCs w:val="20"/>
          <w:color w:val="auto"/>
        </w:rPr>
      </w:pPr>
    </w:p>
    <w:p>
      <w:pPr>
        <w:ind w:left="640" w:hanging="637"/>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w:t>
      </w:r>
    </w:p>
    <w:p>
      <w:pPr>
        <w:spacing w:after="0" w:line="229" w:lineRule="exact"/>
        <w:rPr>
          <w:rFonts w:ascii="Arial" w:cs="Arial" w:eastAsia="Arial" w:hAnsi="Arial"/>
          <w:sz w:val="18"/>
          <w:szCs w:val="18"/>
          <w:b w:val="1"/>
          <w:bCs w:val="1"/>
          <w:color w:val="auto"/>
        </w:rPr>
      </w:pPr>
    </w:p>
    <w:p>
      <w:pPr>
        <w:ind w:left="620" w:hanging="61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votes will be counted, tabulated and certified by Broadridge Financial Solutions, Inc.</w:t>
      </w:r>
    </w:p>
    <w:p>
      <w:pPr>
        <w:spacing w:after="0" w:line="221" w:lineRule="exact"/>
        <w:rPr>
          <w:rFonts w:ascii="Arial" w:cs="Arial" w:eastAsia="Arial" w:hAnsi="Arial"/>
          <w:sz w:val="18"/>
          <w:szCs w:val="18"/>
          <w:color w:val="auto"/>
        </w:rPr>
      </w:pPr>
    </w:p>
    <w:p>
      <w:pPr>
        <w:ind w:left="640" w:hanging="637"/>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 on the proposals?</w:t>
      </w:r>
    </w:p>
    <w:p>
      <w:pPr>
        <w:spacing w:after="0" w:line="229" w:lineRule="exact"/>
        <w:rPr>
          <w:rFonts w:ascii="Arial" w:cs="Arial" w:eastAsia="Arial" w:hAnsi="Arial"/>
          <w:sz w:val="18"/>
          <w:szCs w:val="18"/>
          <w:b w:val="1"/>
          <w:bCs w:val="1"/>
          <w:color w:val="auto"/>
        </w:rPr>
      </w:pPr>
    </w:p>
    <w:p>
      <w:pPr>
        <w:ind w:left="620" w:hanging="61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recommends that you vote: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three nominees to serve as Class I directors, each for a three year term; and</w:t>
      </w:r>
    </w:p>
    <w:p>
      <w:pPr>
        <w:spacing w:after="0" w:line="225" w:lineRule="exact"/>
        <w:rPr>
          <w:sz w:val="20"/>
          <w:szCs w:val="20"/>
          <w:color w:val="auto"/>
        </w:rPr>
      </w:pPr>
    </w:p>
    <w:p>
      <w:pPr>
        <w:ind w:left="660" w:right="34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2016.</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20" w:hanging="617"/>
        <w:spacing w:after="0"/>
        <w:tabs>
          <w:tab w:leader="none" w:pos="6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other matters to be voted on at the annual meeting?</w:t>
      </w:r>
    </w:p>
    <w:p>
      <w:pPr>
        <w:spacing w:after="0" w:line="229" w:lineRule="exact"/>
        <w:rPr>
          <w:rFonts w:ascii="Arial" w:cs="Arial" w:eastAsia="Arial" w:hAnsi="Arial"/>
          <w:sz w:val="18"/>
          <w:szCs w:val="18"/>
          <w:b w:val="1"/>
          <w:bCs w:val="1"/>
          <w:color w:val="auto"/>
        </w:rPr>
      </w:pPr>
    </w:p>
    <w:p>
      <w:pPr>
        <w:ind w:left="660" w:right="100" w:hanging="657"/>
        <w:spacing w:after="0" w:line="259" w:lineRule="auto"/>
        <w:tabs>
          <w:tab w:leader="none" w:pos="6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know of any matters that may come before the annual meeting other than the election of our Class I directors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182" w:lineRule="exact"/>
        <w:rPr>
          <w:rFonts w:ascii="Arial" w:cs="Arial" w:eastAsia="Arial" w:hAnsi="Arial"/>
          <w:sz w:val="18"/>
          <w:szCs w:val="18"/>
          <w:color w:val="auto"/>
        </w:rPr>
      </w:pPr>
    </w:p>
    <w:p>
      <w:pPr>
        <w:ind w:left="640" w:hanging="637"/>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w:t>
      </w:r>
    </w:p>
    <w:p>
      <w:pPr>
        <w:spacing w:after="0" w:line="229" w:lineRule="exact"/>
        <w:rPr>
          <w:rFonts w:ascii="Arial" w:cs="Arial" w:eastAsia="Arial" w:hAnsi="Arial"/>
          <w:sz w:val="18"/>
          <w:szCs w:val="18"/>
          <w:b w:val="1"/>
          <w:bCs w:val="1"/>
          <w:color w:val="auto"/>
        </w:rPr>
      </w:pPr>
    </w:p>
    <w:p>
      <w:pPr>
        <w:ind w:left="660" w:hanging="657"/>
        <w:spacing w:after="0" w:line="342" w:lineRule="auto"/>
        <w:tabs>
          <w:tab w:leader="none" w:pos="6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plan to announce preliminary voting results at the annual meeting and will report final voting results in a Current Report on Form 8-K filed with the SEC within four business days following the end of our annual meeting.</w:t>
      </w:r>
    </w:p>
    <w:p>
      <w:pPr>
        <w:spacing w:after="0" w:line="119" w:lineRule="exact"/>
        <w:rPr>
          <w:rFonts w:ascii="Arial" w:cs="Arial" w:eastAsia="Arial" w:hAnsi="Arial"/>
          <w:sz w:val="16"/>
          <w:szCs w:val="16"/>
          <w:color w:val="auto"/>
        </w:rPr>
      </w:pPr>
    </w:p>
    <w:p>
      <w:pPr>
        <w:ind w:left="640" w:hanging="637"/>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costs of soliciting these proxies?</w:t>
      </w:r>
    </w:p>
    <w:p>
      <w:pPr>
        <w:spacing w:after="0" w:line="229" w:lineRule="exact"/>
        <w:rPr>
          <w:rFonts w:ascii="Arial" w:cs="Arial" w:eastAsia="Arial" w:hAnsi="Arial"/>
          <w:sz w:val="18"/>
          <w:szCs w:val="18"/>
          <w:b w:val="1"/>
          <w:bCs w:val="1"/>
          <w:color w:val="auto"/>
        </w:rPr>
      </w:pPr>
    </w:p>
    <w:p>
      <w:pPr>
        <w:ind w:left="660" w:right="140" w:hanging="657"/>
        <w:spacing w:after="0" w:line="279" w:lineRule="auto"/>
        <w:tabs>
          <w:tab w:leader="none" w:pos="6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spacing w:after="0" w:line="167" w:lineRule="exact"/>
        <w:rPr>
          <w:rFonts w:ascii="Arial" w:cs="Arial" w:eastAsia="Arial" w:hAnsi="Arial"/>
          <w:sz w:val="17"/>
          <w:szCs w:val="17"/>
          <w:color w:val="auto"/>
        </w:rPr>
      </w:pPr>
    </w:p>
    <w:p>
      <w:pPr>
        <w:ind w:left="640" w:hanging="637"/>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any additional questions?</w:t>
      </w:r>
    </w:p>
    <w:p>
      <w:pPr>
        <w:spacing w:after="0" w:line="229" w:lineRule="exact"/>
        <w:rPr>
          <w:rFonts w:ascii="Arial" w:cs="Arial" w:eastAsia="Arial" w:hAnsi="Arial"/>
          <w:sz w:val="18"/>
          <w:szCs w:val="18"/>
          <w:b w:val="1"/>
          <w:bCs w:val="1"/>
          <w:color w:val="auto"/>
        </w:rPr>
      </w:pPr>
    </w:p>
    <w:p>
      <w:pPr>
        <w:ind w:left="660" w:hanging="657"/>
        <w:spacing w:after="0" w:line="264" w:lineRule="auto"/>
        <w:tabs>
          <w:tab w:leader="none" w:pos="6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hold your shares directly or have additional questions about the annual meeting, please contact us at Blueprint Medicines Corporation, 38 Sidney Street, Suite 200, Cambridge, Massachusetts 02139, Attn: Investor Relations, telephone: (617) 714-6674, e-mail: ir@blueprintmedicines.com.</w:t>
      </w:r>
    </w:p>
    <w:p>
      <w:pPr>
        <w:spacing w:after="0" w:line="18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If your shares are held in street name, please call the telephone number provided on your voting instruction form or contact your bank, brokerage firm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1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board of directors is divided into three classes, with members of each class holding office for staggered three-year terms. There are currently three Class I directors (Jeffrey W. Albers, Mark Goldberg, M.D. and Nicholas Lydon, Ph.D.), whose terms expire at this annual meeting of stockholders; three Class II directors (Alexis Borisy, Charles A. Rowland, Jr. and Lonnel Coats), whose terms expire at the 2017 annual meeting of stockholders; and three Class III directors (Daniel S. Lynch, George D. Demetri, M.D. and Lynn Seely, M.D.), whose terms expire at the 2018 annual meeting of stockholders, in all cases, subject to the election and qualification of such director’s successor or to such director’s earlier death, resignation or removal. Other than Dr. Goldberg, Mr. Coats and Dr. Seely, each of our directors was elected pursuant to a stockholders agreement that we entered into with the holders of our preferred stock that terminated upon the closing of our initial public offering.</w:t>
      </w:r>
    </w:p>
    <w:p>
      <w:pPr>
        <w:spacing w:after="0" w:line="1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Set forth below are the names and certain information for each member of the board, including the nominees for election as Class I directors, as of April 15, 2016.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nominating and corporate governance committee and our board of directors to conclude that he or she should serve as a director. In addition, we believe that all of our directors and nominees possess the attributes or characteristics described in “—Director Nomination Process” the nominating and corporate governance committee expects of each director. There are no family relationships among any of our directors or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840" w:type="dxa"/>
            <w:vAlign w:val="bottom"/>
            <w:gridSpan w:val="2"/>
          </w:tcPr>
          <w:p>
            <w:pPr>
              <w:ind w:left="200"/>
              <w:spacing w:after="0"/>
              <w:rPr>
                <w:sz w:val="20"/>
                <w:szCs w:val="20"/>
                <w:color w:val="auto"/>
              </w:rPr>
            </w:pPr>
            <w:r>
              <w:rPr>
                <w:rFonts w:ascii="Arial" w:cs="Arial" w:eastAsia="Arial" w:hAnsi="Arial"/>
                <w:sz w:val="18"/>
                <w:szCs w:val="18"/>
                <w:b w:val="1"/>
                <w:bCs w:val="1"/>
                <w:color w:val="auto"/>
              </w:rPr>
              <w:t>Position(s)</w:t>
            </w:r>
          </w:p>
        </w:tc>
      </w:tr>
      <w:tr>
        <w:trPr>
          <w:trHeight w:val="344"/>
        </w:trPr>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Class I Director Nominees</w:t>
            </w: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Borders>
              <w:top w:val="single" w:sz="8" w:color="auto"/>
            </w:tcBorders>
          </w:tcPr>
          <w:p>
            <w:pPr>
              <w:spacing w:after="0"/>
              <w:rPr>
                <w:sz w:val="24"/>
                <w:szCs w:val="24"/>
                <w:color w:val="auto"/>
              </w:rPr>
            </w:pPr>
          </w:p>
        </w:tc>
      </w:tr>
      <w:tr>
        <w:trPr>
          <w:trHeight w:val="189"/>
        </w:trPr>
        <w:tc>
          <w:tcPr>
            <w:tcW w:w="318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Jeffrey W. Albers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44</w:t>
            </w:r>
          </w:p>
        </w:tc>
        <w:tc>
          <w:tcPr>
            <w:tcW w:w="484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President and Chief Executive Officer, Director</w:t>
            </w:r>
          </w:p>
        </w:tc>
      </w:tr>
      <w:tr>
        <w:trPr>
          <w:trHeight w:val="189"/>
        </w:trPr>
        <w:tc>
          <w:tcPr>
            <w:tcW w:w="318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Mark Goldberg, M.D. (1)(2)(4)</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61</w:t>
            </w:r>
          </w:p>
        </w:tc>
        <w:tc>
          <w:tcPr>
            <w:tcW w:w="484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Nicholas Lydon, Ph.D. (3)(4)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337"/>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Class II Directors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89"/>
        </w:trPr>
        <w:tc>
          <w:tcPr>
            <w:tcW w:w="318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Alexis Borisy (4)</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44</w:t>
            </w:r>
          </w:p>
        </w:tc>
        <w:tc>
          <w:tcPr>
            <w:tcW w:w="484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18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Charles A. Rowland, Jr. (1)(2)</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57</w:t>
            </w:r>
          </w:p>
        </w:tc>
        <w:tc>
          <w:tcPr>
            <w:tcW w:w="484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Lonnel Coats (1)(3)</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337"/>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Class III Directors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89"/>
        </w:trPr>
        <w:tc>
          <w:tcPr>
            <w:tcW w:w="318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Daniel S. Lynch</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58</w:t>
            </w:r>
          </w:p>
        </w:tc>
        <w:tc>
          <w:tcPr>
            <w:tcW w:w="484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Chairman of the Board, Director</w:t>
            </w:r>
          </w:p>
        </w:tc>
      </w:tr>
      <w:tr>
        <w:trPr>
          <w:trHeight w:val="189"/>
        </w:trPr>
        <w:tc>
          <w:tcPr>
            <w:tcW w:w="318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George D. Demetri, M.D. (3)(4)</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59</w:t>
            </w:r>
          </w:p>
        </w:tc>
        <w:tc>
          <w:tcPr>
            <w:tcW w:w="484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Lynn Seely, M.D. (2)(4)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760" w:hanging="757"/>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0" w:lineRule="exact"/>
        <w:rPr>
          <w:rFonts w:ascii="Arial" w:cs="Arial" w:eastAsia="Arial" w:hAnsi="Arial"/>
          <w:sz w:val="18"/>
          <w:szCs w:val="18"/>
          <w:color w:val="auto"/>
        </w:rPr>
      </w:pPr>
    </w:p>
    <w:p>
      <w:pPr>
        <w:ind w:left="620" w:hanging="61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0" w:lineRule="exact"/>
        <w:rPr>
          <w:rFonts w:ascii="Arial" w:cs="Arial" w:eastAsia="Arial" w:hAnsi="Arial"/>
          <w:sz w:val="18"/>
          <w:szCs w:val="18"/>
          <w:color w:val="auto"/>
        </w:rPr>
      </w:pPr>
    </w:p>
    <w:p>
      <w:pPr>
        <w:ind w:left="400" w:hanging="397"/>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0" w:lineRule="exact"/>
        <w:rPr>
          <w:rFonts w:ascii="Arial" w:cs="Arial" w:eastAsia="Arial" w:hAnsi="Arial"/>
          <w:sz w:val="18"/>
          <w:szCs w:val="18"/>
          <w:color w:val="auto"/>
        </w:rPr>
      </w:pPr>
    </w:p>
    <w:p>
      <w:pPr>
        <w:ind w:left="480" w:hanging="477"/>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research and development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 Nominees</w:t>
      </w:r>
    </w:p>
    <w:p>
      <w:pPr>
        <w:spacing w:after="0" w:line="212"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has served as our president and chief executive officer and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2014. Mr. Albers has nearly a decade of experience in leadership roles in the biopharmaceutical industry. Prior to joining us, from January 2012 to April 2014, he was president of the U.S. subsidiary of Algeta ASA, or Algeta U.S., a Norwegian biopharmaceutical company, where he oversaw the commercial and business functions. At Algeta U.S., Mr. Albers was responsible for the U.S. launch of Radium-223 in metastatic castrate resistant prostate cancer. Prior to Algeta U.S., from July 2005 to November 2011, Mr. Albers was at Genzyme Corporation, or Genzyme, a biotechnology company that is now a wholly-owned subsidiary of Sanofi S.A., most recently as vice president of the U.S. hematology and oncology business unit. Mr. Albers received a B.S. from Indiana University and an M.B.A. and 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J.D. from Georgetown University. We believe that Mr. Albers’ leadership in the life sciences industry qualifies him to serve on our board of directors.</w:t>
      </w:r>
    </w:p>
    <w:p>
      <w:pPr>
        <w:spacing w:after="0" w:line="15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Mark Goldberg, M.D. </w:t>
      </w:r>
      <w:r>
        <w:rPr>
          <w:rFonts w:ascii="Arial" w:cs="Arial" w:eastAsia="Arial" w:hAnsi="Arial"/>
          <w:sz w:val="16"/>
          <w:szCs w:val="16"/>
          <w:color w:val="auto"/>
        </w:rPr>
        <w:t>has served as a member of our board of directors since June 2015. Dr. Goldberg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director of ImmunoGen, Inc. since November 2011, a director of GlycoMimetics, Inc. since July 2014, a director of Idera Pharmaceuticals, Inc. since March 2014 and a director of aTyr Pharma, Inc. since April 2015. From October 2008 to November 2011, Dr. Goldberg served as a director of Synageva Biopharma Corp., or Synageva, until stepping down to become a member of the executive management team at Synageva. Dr. Goldberg served as a member of the executive management team at Synageva until late 2014, rising to executive vice president, medical and regulatory strategy. In late 2014, Dr. Goldberg stepped down from the executive management team at Synageva and continued to be employed part-time, contributing to medical and regulatory strategy until leaving Synageva in June 2015 upon its acquisition by Alexion Pharmaceuticals, Inc. Prior to joining Synageva, Dr. Goldberg served in various management capacities of increasing responsibility at Genzyme from November 1996 to July 2011, including most recently as senior vice president, clinical research and global therapeutic head, oncology, genetic health, and as chairman of Genzyme’s early product review board. Prior to joining Genzyme, Dr. Goldberg was a full-time staff physician at Brigham and Women’s Hospital and the Dana-Farber Cancer Institute, where he still holds appointments. Dr. Goldberg is a part-time Associate Professor of Medicine at Harvard Medical School and currently serves as chief medical officer of CANbridge Life Sciences Ltd., a privately held biopharmaceutical company. Dr. Goldberg received an A.B. in biochemistry and molecular biology from Harvard University and an M.D. from Harvard Medical School. We believe Dr. Goldberg is qualified to serve on our board of directors due to his extensive healthcare and regulatory experience.</w:t>
      </w:r>
    </w:p>
    <w:p>
      <w:pPr>
        <w:spacing w:after="0" w:line="39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i w:val="1"/>
          <w:iCs w:val="1"/>
          <w:color w:val="auto"/>
        </w:rPr>
        <w:t xml:space="preserve">Nicholas Lydon, Ph.D. </w:t>
      </w:r>
      <w:r>
        <w:rPr>
          <w:rFonts w:ascii="Arial" w:cs="Arial" w:eastAsia="Arial" w:hAnsi="Arial"/>
          <w:sz w:val="16"/>
          <w:szCs w:val="16"/>
          <w:color w:val="auto"/>
        </w:rPr>
        <w:t>is a scientific founder of Blueprint Medicines and has served as a member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April 2011. Since 2006, Dr. Lydon has served as a scientific advisor and member of the board of directors of AnaptysBio Inc., a company he co-founded. From 2003 to 2009, Dr. Lydon served as a scientific advisor and member of the board of directors of Ambit Biosciences Corp., a biopharmaceutical company. From 2000 to 2002, Dr. Lydon served as vice president, small molecule drug discovery at Amgen, Inc., or Amgen. Prior to joining Amgen, in 1997 Dr. Lydon founded Kinetix Pharmaceuticals, Inc., or Kinetix, a biotechnology company focused on the discovery and development of selective protein kinase inhibitors, which was acquired by Amgen in 2000, and served as Kinetix’s chief executive officer and member of its board of directors. Dr. Lydon received a B.S. in biochemistry and zoology from the University of Leeds, England, and received a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Alexis Borisy </w:t>
      </w:r>
      <w:r>
        <w:rPr>
          <w:rFonts w:ascii="Arial" w:cs="Arial" w:eastAsia="Arial" w:hAnsi="Arial"/>
          <w:sz w:val="16"/>
          <w:szCs w:val="16"/>
          <w:color w:val="auto"/>
        </w:rPr>
        <w:t>has served as a member of our board of directors since April 2011. Mr. Borisy co-founded Blueprint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Medicines and served as our interim chief executive officer from May 2013 through July 2014. Since 2010, Mr. Borisy has been a partner at Third Rock Ventures, or Third Rock, a life sciences venture capital firm focused on the formation, development and strategy of new companies. Since November 2013, Mr. Borisy has served as a member of the board of directors of Editas Medicine, Inc. Since 2011, Mr. Borisy has served as executive chairman of Warp Drive Bio, LLC, a life sciences company focusing on genomics where he served as chief executive officer from 2011 to July 2013. From 2007 to 2012, Mr. Borisy served as chairman of FORMA Therapeutics, Inc., a biopharmaceutical company focused on discovering and developing medicines in cancer and other genetically-driven diseases. Mr. Borisy co-founded Foundation Medicine, Inc., or Foundation Medicine, where he served as its interim chief executive officer from 2009 to 2011 and has served as a member of its board of directors since 2009, including as chairman of Foundation Medicine’s board of directors since 2011. In 2000, Mr. Borisy founded CombinatoRx, Inc. (now EPIRUS Biopharmaceuticals, Inc.), a public drug development company, and served as its chief executive officer and on its board of directors from 2000 to 2009. Mr. Borisy received an A.B. in chemistry from the University of Chicago, and an A.M.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venture capital industry qualifies him to serve on our board of directors.</w:t>
      </w:r>
    </w:p>
    <w:p>
      <w:pPr>
        <w:spacing w:after="0" w:line="38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Charles A. Rowland, Jr., MBA </w:t>
      </w:r>
      <w:r>
        <w:rPr>
          <w:rFonts w:ascii="Arial" w:cs="Arial" w:eastAsia="Arial" w:hAnsi="Arial"/>
          <w:sz w:val="16"/>
          <w:szCs w:val="16"/>
          <w:color w:val="auto"/>
        </w:rPr>
        <w:t>has served as a member of our board of directors since March 2015. Since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Mr. Rowland has served as president and chief executive officer of Aurinia Pharmaceuticals Inc., or Aurinia,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and since July 2014, he has served as a member of the board of directors of Aurinia. Mr. Rowland previously served as vice president and chief financial officer of ViroPharma Incorporated, or ViroPharma, an international biopharmaceutical company, from October 2008 until it was acquired by Shire plc in January 2014. Prior to joining ViroPharma, from 2006 to 2008, Mr. Rowland served as executive vice president and chief financial officer, as well as the interim co-chief executive officer, for Endo Pharmaceuticals Inc., a specialty pharmaceutical company with a primary focus in pain management. Mr. Rowland previously held positions of increasing responsibility at Biovail Pharmaceuticals, Inc., Breakaway Technologies, Inc., Pharmacia Corporation, Novartis AG and Bristol-Myers Squibb Co., each a biopharmaceutical company. Mr. Rowland joined the board of directors of Idenix Pharmaceuticals, Inc., a biopharmaceutical company, in June 2013 and served as a member of its audit committee until Idenix was acquired by Merck &amp; Co., Inc. in August 2014. Since May 2014 and September 2014, respectively, Mr. Rowland has served as a member of the board of directors and chairman of the audit committee of each of BIND Therapeutics, Inc. and Vitae Pharmaceuticals, Inc. Since January 2015, he has served as a member of the supervisory board and chairman of the audit committee of Nabriva Therapeutics, AG, a biotechnology company based in Vienna Austria. Mr. Rowland is also a member of the board of the Philadelphia chapter of Financial Executives International. Mr. Rowland received a B.S. in Accounting from Saint Joseph’s University and an M.B.A. with a finance concentration from Rutgers University. We believe that 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Lonnel Coats </w:t>
      </w:r>
      <w:r>
        <w:rPr>
          <w:rFonts w:ascii="Arial" w:cs="Arial" w:eastAsia="Arial" w:hAnsi="Arial"/>
          <w:sz w:val="17"/>
          <w:szCs w:val="17"/>
          <w:color w:val="auto"/>
        </w:rPr>
        <w:t>has served as a member of our board of directors since February 2016. Since July 2014, Mr. Coats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president and chief executive officer and a member of the board of directors of Lexicon Pharmaceuticals, Inc., or Lexicon, a biopharmaceutical company focused on the development of breakthrough therapies for the treatment of type 1 and type 2 diabetes and carcinoid syndrome. Prior to joining Lexicon, from 1996 through June 2014, Mr. Coats served in a series of leadership positions at Eisai Inc. and Eisai Corporation of North America, U.S. subsidiaries of Tokyo-based Eisai Co., Ltd., including as chief executive officer of Eisai Inc. from 2010 to June 2014 and as president and chief operating officer of Eisai Inc. from 2004 to 2010. Mr. Coats also previously held a variety of sales and management positions at Janssen Pharmaceuticals, Inc., a division of Johnson &amp; Johnson, from 1988 to 1996. Mr. Coats received a B.P.A. from Oakland University. We believe that Mr. Coats’ extensive professional experience in the biotechnology industry, including developing and commercializing pharmaceutical products and managing pharmaceutical marketing and sales efforts, qualifies him to serve as a member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b w:val="1"/>
          <w:bCs w:val="1"/>
          <w:i w:val="1"/>
          <w:iCs w:val="1"/>
          <w:color w:val="auto"/>
        </w:rPr>
        <w:t xml:space="preserve">Daniel S. Lynch </w:t>
      </w:r>
      <w:r>
        <w:rPr>
          <w:rFonts w:ascii="Arial" w:cs="Arial" w:eastAsia="Arial" w:hAnsi="Arial"/>
          <w:sz w:val="16"/>
          <w:szCs w:val="16"/>
          <w:color w:val="auto"/>
        </w:rPr>
        <w:t>has served as chairman of our board of directors since September 2012. Mr. Lynch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 at Third Rock since May 2013 and served as an entrepreneur-in-residence from May 2011 to May 2013. Mr. Lynch has served as chairman of the board of directors of Eleven Biotherapeutics, Inc. since December 2013, a member of the board of directors of BIND Therapeutics, Inc. since October 2012 and a member of the board of directors of bluebird bio, Inc. since May 2011. In addition, since February 2016, Mr. Lynch has served on the board of directors of NeuroPhage Pharmaceuticals, Inc., a privately held biopharmaceutical company. From April 2001 to November 2005,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16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b w:val="1"/>
          <w:bCs w:val="1"/>
          <w:i w:val="1"/>
          <w:iCs w:val="1"/>
          <w:color w:val="auto"/>
        </w:rPr>
        <w:t xml:space="preserve">George D. Demetri, M.D. </w:t>
      </w:r>
      <w:r>
        <w:rPr>
          <w:rFonts w:ascii="Arial" w:cs="Arial" w:eastAsia="Arial" w:hAnsi="Arial"/>
          <w:sz w:val="16"/>
          <w:szCs w:val="16"/>
          <w:color w:val="auto"/>
        </w:rPr>
        <w:t>has served as a member of our board of directors since December 2014. Since 1986,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Demetri has served as a Professor of Medicine at Harvard Medical School and as an academic medical oncologist at the Dana-Farber Cancer Institute, or Dana-Farber, and Harvard Medical School. Dr. Demetri’s research and clinical interests have centered on mechanism-based drug development for solid tumors, with a particular emphasis on molecularly-defined subsets of sarcomas such as gastrointestinal stromal tumors. Dr. Demetri has contributed to the development of several new drugs for sarcomas and other malignancies, including imatinib, sunitinib, dasatinib, trabectedin, vemurafenib, everolimus, pazopanib and regorafenib. Dr. Demetri serves as chair of the medical advisory board for the Sarcoma Foundation of America as well as several scientific and editorial advisory boards. With an interest in internet-based patient support, Dr. Demetri also serves on the Medical Advisory Board of ASCO’s CancerNet as well as CancerCommons.org. Dr. Demetri received an A.B. in biochemistry from Harvard College and an M.D. from Stanford University School of Medicine. We believe that Dr. Demetri’s more than 25 years of experience as an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color w:val="auto"/>
        </w:rPr>
        <w:t>oncologist and his significant leadership experience on various scientific and editorial advisory boards qualifies him to serve as a member of our board of directors.</w:t>
      </w:r>
    </w:p>
    <w:p>
      <w:pPr>
        <w:spacing w:after="0" w:line="170" w:lineRule="exact"/>
        <w:rPr>
          <w:sz w:val="20"/>
          <w:szCs w:val="20"/>
          <w:color w:val="auto"/>
        </w:rPr>
      </w:pPr>
    </w:p>
    <w:p>
      <w:pPr>
        <w:ind w:right="19" w:firstLine="648"/>
        <w:spacing w:after="0" w:line="285" w:lineRule="auto"/>
        <w:rPr>
          <w:sz w:val="20"/>
          <w:szCs w:val="20"/>
          <w:color w:val="auto"/>
        </w:rPr>
      </w:pPr>
      <w:r>
        <w:rPr>
          <w:rFonts w:ascii="Arial" w:cs="Arial" w:eastAsia="Arial" w:hAnsi="Arial"/>
          <w:sz w:val="16"/>
          <w:szCs w:val="16"/>
          <w:b w:val="1"/>
          <w:bCs w:val="1"/>
          <w:i w:val="1"/>
          <w:iCs w:val="1"/>
          <w:color w:val="auto"/>
        </w:rPr>
        <w:t xml:space="preserve">Lynn Seely, M.D. </w:t>
      </w:r>
      <w:r>
        <w:rPr>
          <w:rFonts w:ascii="Arial" w:cs="Arial" w:eastAsia="Arial" w:hAnsi="Arial"/>
          <w:sz w:val="16"/>
          <w:szCs w:val="16"/>
          <w:color w:val="auto"/>
        </w:rPr>
        <w:t>has served as a member of our board of directors since April 2016. Dr. Seely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officer of Medivation, Inc., or Medivation, from March 2005 until her retirement in October 2015, including as senior vice president and chief medical officer from January 2009 to October 2015. In this role, Dr. Seely led the development of XTANDI (enzalutamide) from the first-in-human clinical trial through global approvals, and actively participated in multiple drug development collaborations, including collaborations with Pfizer Inc. and Astellas Pharma US, Inc. for Phase 3 drug candidates, as well as the acquisition of talazoparib from BioMarin Pharmaceutical Inc. Prior to joining Medivation, from September 2002 to March 2005, Dr. Seely served as vice president of clinical development at Anesiva, Inc., formerly Corgentech Inc., where she participated in a collaboration with Bristol-Myers Squibb for a Phase 3 drug candidate. Dr. Seely previously served as vice president of clinical development for Cytyc Health Corporation, a subsidiary of Cytyc Corporation, from 2001 to 2002, and from 2000 to 2001, Dr. Seely served as vice president of clinical development at ProDuct Health, Inc., a privately held medical device company prior to its acquisition by Cytyc Corporation. Dr. Seely began her career as an associate director of clinical development at Chiron Corporation. Dr. Seely received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 We believe Dr. Seely is qualified to serve on our board of directors due to her extensive healthcare and life sciences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29" w:lineRule="exact"/>
        <w:rPr>
          <w:sz w:val="20"/>
          <w:szCs w:val="20"/>
          <w:color w:val="auto"/>
        </w:rPr>
      </w:pPr>
    </w:p>
    <w:p>
      <w:pPr>
        <w:ind w:right="59" w:firstLine="648"/>
        <w:spacing w:after="0" w:line="272" w:lineRule="auto"/>
        <w:rPr>
          <w:sz w:val="20"/>
          <w:szCs w:val="20"/>
          <w:color w:val="auto"/>
        </w:rPr>
      </w:pPr>
      <w:r>
        <w:rPr>
          <w:rFonts w:ascii="Arial" w:cs="Arial" w:eastAsia="Arial" w:hAnsi="Arial"/>
          <w:sz w:val="17"/>
          <w:szCs w:val="17"/>
          <w:color w:val="auto"/>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Complete copies of our corporate governance guidelines, committee charters and code of conduct are available on the “Investors —Corporate Governance” section of our website, which is located at </w:t>
      </w:r>
      <w:r>
        <w:rPr>
          <w:rFonts w:ascii="Arial" w:cs="Arial" w:eastAsia="Arial" w:hAnsi="Arial"/>
          <w:sz w:val="17"/>
          <w:szCs w:val="17"/>
          <w:i w:val="1"/>
          <w:iCs w:val="1"/>
          <w:color w:val="auto"/>
        </w:rPr>
        <w:t>www.blueprintmedicines.com</w:t>
      </w:r>
      <w:r>
        <w:rPr>
          <w:rFonts w:ascii="Arial" w:cs="Arial" w:eastAsia="Arial" w:hAnsi="Arial"/>
          <w:sz w:val="17"/>
          <w:szCs w:val="17"/>
          <w:color w:val="auto"/>
        </w:rPr>
        <w:t>. Alternatively, you can request a copy of any of these documents by contacting us at Blueprint</w:t>
      </w:r>
      <w:r>
        <w:rPr>
          <w:rFonts w:ascii="Arial" w:cs="Arial" w:eastAsia="Arial" w:hAnsi="Arial"/>
          <w:sz w:val="17"/>
          <w:szCs w:val="17"/>
          <w:i w:val="1"/>
          <w:iCs w:val="1"/>
          <w:color w:val="auto"/>
        </w:rPr>
        <w:t xml:space="preserve"> </w:t>
      </w:r>
      <w:r>
        <w:rPr>
          <w:rFonts w:ascii="Arial" w:cs="Arial" w:eastAsia="Arial" w:hAnsi="Arial"/>
          <w:sz w:val="17"/>
          <w:szCs w:val="17"/>
          <w:color w:val="auto"/>
        </w:rPr>
        <w:t>Medicines Corporation, 38 Sidney Street, Suite 200, Cambridge, Massachusetts 02139, Attn: Investor Relations, telephone: (617) 714-6674, e-mail: ir@blueprintmedicines.com.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 and Corporate Governance Guidelines</w:t>
      </w:r>
    </w:p>
    <w:p>
      <w:pPr>
        <w:spacing w:after="0" w:line="225" w:lineRule="exact"/>
        <w:rPr>
          <w:sz w:val="20"/>
          <w:szCs w:val="20"/>
          <w:color w:val="auto"/>
        </w:rPr>
      </w:pPr>
    </w:p>
    <w:p>
      <w:pPr>
        <w:ind w:right="119" w:firstLine="648"/>
        <w:spacing w:after="0" w:line="273" w:lineRule="auto"/>
        <w:rPr>
          <w:sz w:val="20"/>
          <w:szCs w:val="20"/>
          <w:color w:val="auto"/>
        </w:rPr>
      </w:pPr>
      <w:r>
        <w:rPr>
          <w:rFonts w:ascii="Arial" w:cs="Arial" w:eastAsia="Arial" w:hAnsi="Arial"/>
          <w:sz w:val="17"/>
          <w:szCs w:val="17"/>
          <w:color w:val="auto"/>
        </w:rPr>
        <w:t xml:space="preserve">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is available on the “Investors—Corporate Governance” section of our website, which is located at </w:t>
      </w:r>
      <w:r>
        <w:rPr>
          <w:rFonts w:ascii="Arial" w:cs="Arial" w:eastAsia="Arial" w:hAnsi="Arial"/>
          <w:sz w:val="17"/>
          <w:szCs w:val="17"/>
          <w:i w:val="1"/>
          <w:iCs w:val="1"/>
          <w:color w:val="auto"/>
        </w:rPr>
        <w:t>www.blueprintmedicines.com</w:t>
      </w:r>
      <w:r>
        <w:rPr>
          <w:rFonts w:ascii="Arial" w:cs="Arial" w:eastAsia="Arial" w:hAnsi="Arial"/>
          <w:sz w:val="17"/>
          <w:szCs w:val="17"/>
          <w:color w:val="auto"/>
        </w:rPr>
        <w:t>. We intend to disclose on our website any amendments to, or waivers from, the code of business conduct and ethics that are required to be disclosed pursuant to the disclosure requirements of Item 5.05 of Form 8-K.</w:t>
      </w:r>
    </w:p>
    <w:p>
      <w:pPr>
        <w:spacing w:after="0" w:line="178" w:lineRule="exact"/>
        <w:rPr>
          <w:sz w:val="20"/>
          <w:szCs w:val="20"/>
          <w:color w:val="auto"/>
        </w:rPr>
      </w:pPr>
    </w:p>
    <w:p>
      <w:pPr>
        <w:ind w:right="279" w:firstLine="648"/>
        <w:spacing w:after="0" w:line="259" w:lineRule="auto"/>
        <w:rPr>
          <w:sz w:val="20"/>
          <w:szCs w:val="20"/>
          <w:color w:val="auto"/>
        </w:rPr>
      </w:pPr>
      <w:r>
        <w:rPr>
          <w:rFonts w:ascii="Arial" w:cs="Arial" w:eastAsia="Arial" w:hAnsi="Arial"/>
          <w:sz w:val="18"/>
          <w:szCs w:val="18"/>
          <w:color w:val="auto"/>
        </w:rPr>
        <w:t xml:space="preserve">Our board of directors has also adopted corporate governance guidelines to assist in the exercise of its duties and responsibilities and to serve the best interests of our company and our stockholders. A copy of the corporate governance guidelines is available on the “Investors—Corporate Governance” section of our website, which is located at </w:t>
      </w:r>
      <w:r>
        <w:rPr>
          <w:rFonts w:ascii="Arial" w:cs="Arial" w:eastAsia="Arial" w:hAnsi="Arial"/>
          <w:sz w:val="18"/>
          <w:szCs w:val="18"/>
          <w:i w:val="1"/>
          <w:iCs w:val="1"/>
          <w:color w:val="auto"/>
        </w:rPr>
        <w:t>www.blueprintmedicines.com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Risk Oversight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225" w:lineRule="exact"/>
        <w:rPr>
          <w:sz w:val="20"/>
          <w:szCs w:val="20"/>
          <w:color w:val="auto"/>
        </w:rPr>
      </w:pPr>
    </w:p>
    <w:p>
      <w:pPr>
        <w:ind w:right="99" w:firstLine="648"/>
        <w:spacing w:after="0" w:line="290" w:lineRule="auto"/>
        <w:rPr>
          <w:sz w:val="20"/>
          <w:szCs w:val="20"/>
          <w:color w:val="auto"/>
        </w:rPr>
      </w:pPr>
      <w:r>
        <w:rPr>
          <w:rFonts w:ascii="Arial" w:cs="Arial" w:eastAsia="Arial" w:hAnsi="Arial"/>
          <w:sz w:val="16"/>
          <w:szCs w:val="16"/>
          <w:color w:val="auto"/>
        </w:rPr>
        <w:t>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Accordingly, we currently separate the roles of chief executive officer and chairman of the board of directors, with Mr. Albers serving as our president and chief executive officer and Mr. Lynch serving as chairman of the board of directors. As president and chief executive officer, Mr. Albers is responsible for setting the strategic direction for our company and the day-to-day leadership and performance of our company, while Mr. Lynch, as chairman of the board of directors, presides over meetings of the board of directors, including executive sessions of the board of directors, and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performs oversight responsibilities. The board of directors has not appointed a lead independent director. Our board of directors has four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proceedings.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22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Each committee of our board of directors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Determination of Independence</w:t>
      </w:r>
    </w:p>
    <w:p>
      <w:pPr>
        <w:spacing w:after="0" w:line="22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90"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Jeffrey W. Albers, Alexis Borisy and Daniel S. Lynch, is an “independent director” as defined under Rule 5605(a)(2) of the NASDAQ Listing Rules. Mr. Albers is not an independent director under Rule 5605(a)</w:t>
      </w:r>
    </w:p>
    <w:p>
      <w:pPr>
        <w:spacing w:after="0" w:line="2" w:lineRule="exact"/>
        <w:rPr>
          <w:sz w:val="20"/>
          <w:szCs w:val="20"/>
          <w:color w:val="auto"/>
        </w:rPr>
      </w:pPr>
    </w:p>
    <w:p>
      <w:pPr>
        <w:ind w:firstLine="3"/>
        <w:spacing w:after="0" w:line="254"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because he is our president and chief executive officer. Our board of directors also determined that Charles A. Rowland, Jr., Lonnel Coats and Mark Goldberg, who comprise our audit committee, Charles A. Rowland, Jr., Mark Goldberg and Lynn Seely, who comprise our compensation committee, and Lonnel Coats, George D. Demetri and Nicholas Lydon, who comprise our nominating and corporate governance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committee, satisfy the independence standards for such committees established by the SEC and the NASDAQ Listing Rules, as applicable, including in the case of all members of the audit committee, the independence requirements contemplated by Rule 10A-3 under the Exchange Act and in the case of all members of the compensation committee, the independence requirements contemplated by Rule 10C-1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 Meetings and Attendance</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board of directors held 13 meetings during fiscal 2015. During fiscal 2015, each of the directors then in office attended at least 75% of the aggregate of the number of board of director meetings and the number of meetings held by all committees of the board of directors on which such director then served.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Communicating with the Independent Directors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board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Stockholders who wish to send communications on any topic to our board of directors should address such communications to Blueprint Medicines Corporation, Attention: Board of Directors, 38 Sidney Street, Suite 200, Cambridge, Massachusetts 02139.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 xml:space="preserve">We have established an audit committee, a compensation committee, a nominating and corporate governance committee and a research and development committee. Each of these committees operates under a charter that has been approved by our board of directors. A copy of each committee’s charter can be found under the “Investors—Corporate Governance” section of our website, which is located at </w:t>
      </w:r>
      <w:r>
        <w:rPr>
          <w:rFonts w:ascii="Arial" w:cs="Arial" w:eastAsia="Arial" w:hAnsi="Arial"/>
          <w:sz w:val="17"/>
          <w:szCs w:val="17"/>
          <w:i w:val="1"/>
          <w:iCs w:val="1"/>
          <w:color w:val="auto"/>
        </w:rPr>
        <w:t>www.blueprintmedicines.com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committee’s responsibilities include:</w:t>
      </w:r>
    </w:p>
    <w:p>
      <w:pPr>
        <w:spacing w:after="0" w:line="225" w:lineRule="exact"/>
        <w:rPr>
          <w:sz w:val="20"/>
          <w:szCs w:val="20"/>
          <w:color w:val="auto"/>
        </w:rPr>
      </w:pPr>
    </w:p>
    <w:p>
      <w:pPr>
        <w:ind w:left="1020" w:right="420" w:hanging="53"/>
        <w:spacing w:after="0" w:line="277" w:lineRule="auto"/>
        <w:rPr>
          <w:sz w:val="20"/>
          <w:szCs w:val="20"/>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70" w:lineRule="exact"/>
        <w:rPr>
          <w:sz w:val="20"/>
          <w:szCs w:val="20"/>
          <w:color w:val="auto"/>
        </w:rPr>
      </w:pPr>
    </w:p>
    <w:p>
      <w:pPr>
        <w:ind w:left="1020" w:right="220" w:hanging="53"/>
        <w:spacing w:after="0" w:line="277" w:lineRule="auto"/>
        <w:rPr>
          <w:sz w:val="20"/>
          <w:szCs w:val="20"/>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170" w:lineRule="exact"/>
        <w:rPr>
          <w:sz w:val="20"/>
          <w:szCs w:val="20"/>
          <w:color w:val="auto"/>
        </w:rPr>
      </w:pPr>
    </w:p>
    <w:p>
      <w:pPr>
        <w:ind w:left="1020" w:right="520" w:hanging="53"/>
        <w:spacing w:after="0" w:line="277" w:lineRule="auto"/>
        <w:rPr>
          <w:sz w:val="20"/>
          <w:szCs w:val="20"/>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170" w:lineRule="exact"/>
        <w:rPr>
          <w:sz w:val="20"/>
          <w:szCs w:val="20"/>
          <w:color w:val="auto"/>
        </w:rPr>
      </w:pPr>
    </w:p>
    <w:p>
      <w:pPr>
        <w:jc w:val="both"/>
        <w:ind w:left="1020" w:right="140" w:hanging="53"/>
        <w:spacing w:after="0" w:line="264" w:lineRule="auto"/>
        <w:rPr>
          <w:sz w:val="20"/>
          <w:szCs w:val="20"/>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·coordinating the oversight and reviewing the adequacy of our internal control over financial reporting;</w:t>
      </w:r>
    </w:p>
    <w:p>
      <w:pPr>
        <w:spacing w:after="0" w:line="225" w:lineRule="exact"/>
        <w:rPr>
          <w:sz w:val="20"/>
          <w:szCs w:val="20"/>
          <w:color w:val="auto"/>
        </w:rPr>
      </w:pPr>
    </w:p>
    <w:p>
      <w:pPr>
        <w:ind w:left="1020" w:right="660" w:hanging="53"/>
        <w:spacing w:after="0" w:line="277" w:lineRule="auto"/>
        <w:rPr>
          <w:sz w:val="20"/>
          <w:szCs w:val="20"/>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70" w:lineRule="exact"/>
        <w:rPr>
          <w:sz w:val="20"/>
          <w:szCs w:val="20"/>
          <w:color w:val="auto"/>
        </w:rPr>
      </w:pPr>
    </w:p>
    <w:p>
      <w:pPr>
        <w:ind w:left="1020" w:right="260" w:hanging="53"/>
        <w:spacing w:after="0" w:line="264" w:lineRule="auto"/>
        <w:rPr>
          <w:sz w:val="20"/>
          <w:szCs w:val="20"/>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approving all Quarterly Reports on Form 10-Q;</w:t>
      </w:r>
    </w:p>
    <w:p>
      <w:pPr>
        <w:spacing w:after="0" w:line="225" w:lineRule="exact"/>
        <w:rPr>
          <w:sz w:val="20"/>
          <w:szCs w:val="20"/>
          <w:color w:val="auto"/>
        </w:rPr>
      </w:pPr>
    </w:p>
    <w:p>
      <w:pPr>
        <w:ind w:left="1020" w:right="40" w:hanging="53"/>
        <w:spacing w:after="0" w:line="277" w:lineRule="auto"/>
        <w:rPr>
          <w:sz w:val="20"/>
          <w:szCs w:val="20"/>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237" w:lineRule="exact"/>
        <w:rPr>
          <w:sz w:val="20"/>
          <w:szCs w:val="20"/>
          <w:color w:val="auto"/>
        </w:rPr>
      </w:pPr>
    </w:p>
    <w:p>
      <w:pPr>
        <w:ind w:left="1020" w:right="500" w:hanging="53"/>
        <w:spacing w:after="0" w:line="277" w:lineRule="auto"/>
        <w:rPr>
          <w:sz w:val="20"/>
          <w:szCs w:val="20"/>
          <w:color w:val="auto"/>
        </w:rPr>
      </w:pPr>
      <w:r>
        <w:rPr>
          <w:rFonts w:ascii="Arial" w:cs="Arial" w:eastAsia="Arial" w:hAnsi="Arial"/>
          <w:sz w:val="18"/>
          <w:szCs w:val="18"/>
          <w:color w:val="auto"/>
        </w:rPr>
        <w:t>·reviewing all related party transactions for potential conflict of interest situations and approving all such transactions; and</w:t>
      </w:r>
    </w:p>
    <w:p>
      <w:pPr>
        <w:spacing w:after="0" w:line="170" w:lineRule="exact"/>
        <w:rPr>
          <w:sz w:val="20"/>
          <w:szCs w:val="20"/>
          <w:color w:val="auto"/>
        </w:rPr>
      </w:pPr>
    </w:p>
    <w:p>
      <w:pPr>
        <w:ind w:left="1020" w:right="540" w:hanging="53"/>
        <w:spacing w:after="0" w:line="277" w:lineRule="auto"/>
        <w:rPr>
          <w:sz w:val="20"/>
          <w:szCs w:val="20"/>
          <w:color w:val="auto"/>
        </w:rPr>
      </w:pPr>
      <w:r>
        <w:rPr>
          <w:rFonts w:ascii="Arial" w:cs="Arial" w:eastAsia="Arial" w:hAnsi="Arial"/>
          <w:sz w:val="18"/>
          <w:szCs w:val="18"/>
          <w:color w:val="auto"/>
        </w:rPr>
        <w:t>·reviewing quarterly earnings releases and scripts as well as any other press releases containing financial information.</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members of our audit committee are Charles A. Rowland, Jr., Lonnel Coats and Mark Goldberg. Mr. Rowland serves as chair of the audit committee. Our board of directors has determined that Mr. Rowland qualifies as an “audit committee financial expert” within the meaning of applicable SEC rules. The audit committee held five meetings during fiscal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committee’s responsibilities include:</w:t>
      </w:r>
    </w:p>
    <w:p>
      <w:pPr>
        <w:spacing w:after="0" w:line="225" w:lineRule="exact"/>
        <w:rPr>
          <w:sz w:val="20"/>
          <w:szCs w:val="20"/>
          <w:color w:val="auto"/>
        </w:rPr>
      </w:pPr>
    </w:p>
    <w:p>
      <w:pPr>
        <w:ind w:left="1020" w:right="320" w:hanging="53"/>
        <w:spacing w:after="0" w:line="277" w:lineRule="auto"/>
        <w:rPr>
          <w:sz w:val="20"/>
          <w:szCs w:val="20"/>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170" w:lineRule="exact"/>
        <w:rPr>
          <w:sz w:val="20"/>
          <w:szCs w:val="20"/>
          <w:color w:val="auto"/>
        </w:rPr>
      </w:pPr>
    </w:p>
    <w:p>
      <w:pPr>
        <w:ind w:left="1020" w:right="240" w:hanging="53"/>
        <w:spacing w:after="0" w:line="277" w:lineRule="auto"/>
        <w:rPr>
          <w:sz w:val="20"/>
          <w:szCs w:val="20"/>
          <w:color w:val="auto"/>
        </w:rPr>
      </w:pPr>
      <w:r>
        <w:rPr>
          <w:rFonts w:ascii="Arial" w:cs="Arial" w:eastAsia="Arial" w:hAnsi="Arial"/>
          <w:sz w:val="18"/>
          <w:szCs w:val="18"/>
          <w:color w:val="auto"/>
        </w:rPr>
        <w:t>·evaluating the performance of our chief executive officer in light of such corporate goals and objectives and determining the compensation of our chief executive officer;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·reviewing and approving the compensation of our other executive officers;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·reviewing and establishing our overall management compensation, philosophy and policy;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overseeing and administering our compensation and similar plans;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·reviewing and approving our policies and procedures for the grant of equity-based awards;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·reviewing and making recommendations to the board of directors with respect to director compensation; and</w:t>
      </w:r>
    </w:p>
    <w:p>
      <w:pPr>
        <w:spacing w:after="0" w:line="248" w:lineRule="exact"/>
        <w:rPr>
          <w:sz w:val="20"/>
          <w:szCs w:val="20"/>
          <w:color w:val="auto"/>
        </w:rPr>
      </w:pPr>
    </w:p>
    <w:p>
      <w:pPr>
        <w:ind w:left="1020" w:right="300" w:hanging="53"/>
        <w:spacing w:after="0" w:line="277" w:lineRule="auto"/>
        <w:rPr>
          <w:sz w:val="20"/>
          <w:szCs w:val="20"/>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members of our compensation committee are Charles A. Rowland, Jr., Mark Goldberg and Lynn Seely.</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Rowland serves as chair of the compensation committee. The compensation committee held seven meetings during fiscal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·developing and recommending to the board of directors criteria for board and committee membership;</w:t>
      </w:r>
    </w:p>
    <w:p>
      <w:pPr>
        <w:spacing w:after="0" w:line="237" w:lineRule="exact"/>
        <w:rPr>
          <w:sz w:val="20"/>
          <w:szCs w:val="20"/>
          <w:color w:val="auto"/>
        </w:rPr>
      </w:pPr>
    </w:p>
    <w:p>
      <w:pPr>
        <w:ind w:left="1020" w:right="560" w:hanging="53"/>
        <w:spacing w:after="0" w:line="277" w:lineRule="auto"/>
        <w:rPr>
          <w:sz w:val="20"/>
          <w:szCs w:val="20"/>
          <w:color w:val="auto"/>
        </w:rPr>
      </w:pPr>
      <w:r>
        <w:rPr>
          <w:rFonts w:ascii="Arial" w:cs="Arial" w:eastAsia="Arial" w:hAnsi="Arial"/>
          <w:sz w:val="18"/>
          <w:szCs w:val="18"/>
          <w:color w:val="auto"/>
        </w:rPr>
        <w:t>·establishing procedures for identifying and evaluating board of director candidates, including nominees recommended by shareholders;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·identifying individuals qualified to become members of the board of directors;</w:t>
      </w:r>
    </w:p>
    <w:p>
      <w:pPr>
        <w:spacing w:after="0" w:line="225" w:lineRule="exact"/>
        <w:rPr>
          <w:sz w:val="20"/>
          <w:szCs w:val="20"/>
          <w:color w:val="auto"/>
        </w:rPr>
      </w:pPr>
    </w:p>
    <w:p>
      <w:pPr>
        <w:ind w:left="1020" w:right="40" w:hanging="53"/>
        <w:spacing w:after="0" w:line="277" w:lineRule="auto"/>
        <w:rPr>
          <w:sz w:val="20"/>
          <w:szCs w:val="20"/>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·developing and recommending to the board of directors a set of corporate governance guidelines; and</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overseeing the evaluation of the board of directors and management.</w:t>
      </w:r>
    </w:p>
    <w:p>
      <w:pPr>
        <w:spacing w:after="0" w:line="212" w:lineRule="exact"/>
        <w:rPr>
          <w:sz w:val="20"/>
          <w:szCs w:val="20"/>
          <w:color w:val="auto"/>
        </w:rPr>
      </w:pPr>
    </w:p>
    <w:p>
      <w:pPr>
        <w:jc w:val="both"/>
        <w:ind w:right="300" w:firstLine="648"/>
        <w:spacing w:after="0" w:line="235" w:lineRule="auto"/>
        <w:rPr>
          <w:sz w:val="20"/>
          <w:szCs w:val="20"/>
          <w:color w:val="auto"/>
        </w:rPr>
      </w:pPr>
      <w:r>
        <w:rPr>
          <w:rFonts w:ascii="Arial" w:cs="Arial" w:eastAsia="Arial" w:hAnsi="Arial"/>
          <w:sz w:val="18"/>
          <w:szCs w:val="18"/>
          <w:color w:val="auto"/>
        </w:rPr>
        <w:t>The members of our nominating and corporate governance committee are George D. Demetri, Lonnel Coats and Nicholas Lydon. Dr. Demetri serves as chair of the nominating and corporate governance committee. The nominating and corporate governance committee held one meeting during fiscal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research and development committee’s responsibilities include:</w:t>
      </w:r>
    </w:p>
    <w:p>
      <w:pPr>
        <w:spacing w:after="0" w:line="225" w:lineRule="exact"/>
        <w:rPr>
          <w:sz w:val="20"/>
          <w:szCs w:val="20"/>
          <w:color w:val="auto"/>
        </w:rPr>
      </w:pPr>
    </w:p>
    <w:p>
      <w:pPr>
        <w:ind w:left="1020" w:right="160" w:hanging="53"/>
        <w:spacing w:after="0" w:line="308" w:lineRule="auto"/>
        <w:rPr>
          <w:sz w:val="20"/>
          <w:szCs w:val="20"/>
          <w:color w:val="auto"/>
        </w:rPr>
      </w:pPr>
      <w:r>
        <w:rPr>
          <w:rFonts w:ascii="Arial" w:cs="Arial" w:eastAsia="Arial" w:hAnsi="Arial"/>
          <w:sz w:val="17"/>
          <w:szCs w:val="17"/>
          <w:color w:val="auto"/>
        </w:rPr>
        <w:t>·providing a general oversight function regarding pre-clinical and clinical decision-making through a series of semi-annual pipeline reviews and in-depth assessments of select project strategies and plans;</w:t>
      </w:r>
    </w:p>
    <w:p>
      <w:pPr>
        <w:spacing w:after="0" w:line="147" w:lineRule="exact"/>
        <w:rPr>
          <w:sz w:val="20"/>
          <w:szCs w:val="20"/>
          <w:color w:val="auto"/>
        </w:rPr>
      </w:pPr>
    </w:p>
    <w:p>
      <w:pPr>
        <w:ind w:left="1020" w:right="400" w:hanging="53"/>
        <w:spacing w:after="0" w:line="277" w:lineRule="auto"/>
        <w:rPr>
          <w:sz w:val="20"/>
          <w:szCs w:val="20"/>
          <w:color w:val="auto"/>
        </w:rPr>
      </w:pPr>
      <w:r>
        <w:rPr>
          <w:rFonts w:ascii="Arial" w:cs="Arial" w:eastAsia="Arial" w:hAnsi="Arial"/>
          <w:sz w:val="18"/>
          <w:szCs w:val="18"/>
          <w:color w:val="auto"/>
        </w:rPr>
        <w:t>·providing recommendations regarding key molecules in our discovery and development pipelines through reports and select in-depth project reviews;</w:t>
      </w:r>
    </w:p>
    <w:p>
      <w:pPr>
        <w:spacing w:after="0" w:line="170" w:lineRule="exact"/>
        <w:rPr>
          <w:sz w:val="20"/>
          <w:szCs w:val="20"/>
          <w:color w:val="auto"/>
        </w:rPr>
      </w:pPr>
    </w:p>
    <w:p>
      <w:pPr>
        <w:jc w:val="both"/>
        <w:ind w:left="1020" w:right="80" w:hanging="53"/>
        <w:spacing w:after="0" w:line="264" w:lineRule="auto"/>
        <w:rPr>
          <w:sz w:val="20"/>
          <w:szCs w:val="20"/>
          <w:color w:val="auto"/>
        </w:rPr>
      </w:pPr>
      <w:r>
        <w:rPr>
          <w:rFonts w:ascii="Arial" w:cs="Arial" w:eastAsia="Arial" w:hAnsi="Arial"/>
          <w:sz w:val="18"/>
          <w:szCs w:val="18"/>
          <w:color w:val="auto"/>
        </w:rPr>
        <w:t>·providing recommendations regarding our pipeline/portfolio balance from a scientific and clinical perspective, including new molecular entity versus new indication balance, mechanism balance, target balance and general risk balance;</w:t>
      </w:r>
    </w:p>
    <w:p>
      <w:pPr>
        <w:spacing w:after="0" w:line="181" w:lineRule="exact"/>
        <w:rPr>
          <w:sz w:val="20"/>
          <w:szCs w:val="20"/>
          <w:color w:val="auto"/>
        </w:rPr>
      </w:pPr>
    </w:p>
    <w:p>
      <w:pPr>
        <w:ind w:left="1020" w:right="320" w:hanging="53"/>
        <w:spacing w:after="0" w:line="277" w:lineRule="auto"/>
        <w:rPr>
          <w:sz w:val="20"/>
          <w:szCs w:val="20"/>
          <w:color w:val="auto"/>
        </w:rPr>
      </w:pPr>
      <w:r>
        <w:rPr>
          <w:rFonts w:ascii="Arial" w:cs="Arial" w:eastAsia="Arial" w:hAnsi="Arial"/>
          <w:sz w:val="18"/>
          <w:szCs w:val="18"/>
          <w:color w:val="auto"/>
        </w:rPr>
        <w:t>·providing recommendations regarding key discovery and development strategies to align with our business needs;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·providing feedback to the board of directors and to our research and development group.</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members of our research and development committee are Nicholas Lydon, Alexis Borisy, George D. Demetri, Mark Goldberg and Lynn Seely. Dr. Lydon serves as chair of the research and development committee. The research and development committee held two meetings during fiscal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 Process</w:t>
      </w:r>
    </w:p>
    <w:p>
      <w:pPr>
        <w:spacing w:after="0" w:line="21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7"/>
          <w:szCs w:val="17"/>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and Diversity</w:t>
      </w:r>
    </w:p>
    <w:p>
      <w:pPr>
        <w:spacing w:after="0" w:line="212"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spacing w:after="0" w:line="17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The director biographies on pages 6 to 9 of this proxy statement indicate each nominee’s experience, qualifications, attributes and skills that led our nominating and corporate governance committee and our board of directors to conclude he should continue to serve as a director. Our nominating and corporate governance committee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do not have a policy (formal or informal) with respect to diversity, but we believe that our board, taken as a whole, should embody a diverse set of skills, experiences and backgrounds. In this regard, our nominating and corporate governance committee and our board of directors also take into consideration the diversity (with respect to gender, race and national origin) of our board members but do not make any particular weighting of diversity or any other characteristic in evaluating nominees and directors. Our nominating and corporate governance committee’s and our board of directors’ priority in selecting board members is identification of persons who will further the interests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Nominations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Blueprint Medicines Corporation, Attention: Nominating and Corporate Governance Committee, 38 Sidney Street, Suite 200,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spacing w:after="0" w:line="16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Stockholders also have the right under our bylaws to directly nominate director candidates, without any action or recommendation on the part of the nominating and corporate governance committee or our board of directors, by following the procedures set forth under “Stockholder Proposals for 2017 Annual Meeting.”</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February 2016 and April 2016, respectively, Lonnel Coats and Lynn Seely were appointed by our board of directors as a new 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an officer or employee of our company, and none of the members of our compensation committee has ever been an officer or employee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Person Transactions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Other than the compensation arrangements for our named executive officers and directors, which are described elsewhere in the “Executive Compensation” and “Director Compensation” sections of this proxy statement, set forth below is a description of transactions since January 1, 2015 to which we were or will be a party, and in which:</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the amounts involved exceeded or will exceed $120,000; and</w:t>
      </w:r>
    </w:p>
    <w:p>
      <w:pPr>
        <w:spacing w:after="0" w:line="225" w:lineRule="exact"/>
        <w:rPr>
          <w:sz w:val="20"/>
          <w:szCs w:val="20"/>
          <w:color w:val="auto"/>
        </w:rPr>
      </w:pPr>
    </w:p>
    <w:p>
      <w:pPr>
        <w:jc w:val="both"/>
        <w:ind w:left="1020" w:right="20" w:hanging="53"/>
        <w:spacing w:after="0" w:line="264" w:lineRule="auto"/>
        <w:rPr>
          <w:sz w:val="20"/>
          <w:szCs w:val="20"/>
          <w:color w:val="auto"/>
        </w:rPr>
      </w:pPr>
      <w:r>
        <w:rPr>
          <w:rFonts w:ascii="Arial" w:cs="Arial" w:eastAsia="Arial" w:hAnsi="Arial"/>
          <w:sz w:val="18"/>
          <w:szCs w:val="18"/>
          <w:color w:val="auto"/>
        </w:rPr>
        <w:t>·any of our directors, executive officers, nominees for director or holders of more than 5% of our capital stock, or any member of the immediate family of, or person sharing the household with, the foregoing persons, had or will have a direct or indirect material interest.</w:t>
      </w:r>
    </w:p>
    <w:p>
      <w:pPr>
        <w:spacing w:after="0" w:line="181"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from unrelated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April 2015, we entered into an underwriting agreement with Goldman, Sachs &amp; Co. and Cowen and Company, LLC, as representatives of the several underwriters, relating to an underwritten public offering of shares of our common stock. Pursuant to the underwriting agreement, we sold an aggregate of 9,367,708 shares of our common stock to the underwriters, including 1,221,874 shares of common stock sold by us pursuant to the exercise in full by the underwriters of their option to purchase additional shares in connection with the offering, at a price to the public of $18.00 per share. The offering closed on May 5, 2015. Certain holders of more than 5% of our capital stock (including shares of common stock acquired in the offering) purchased shares of our common stock from the underwriters in the offering at the offering price of the shares to the public. The following table sets forth the number of shares of our common stock purchased and the aggregate cash purchase price paid by each of these stockholders.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5"/>
        </w:trPr>
        <w:tc>
          <w:tcPr>
            <w:tcW w:w="4240" w:type="dxa"/>
            <w:vAlign w:val="bottom"/>
          </w:tcPr>
          <w:p>
            <w:pPr>
              <w:spacing w:after="0"/>
              <w:rPr>
                <w:sz w:val="20"/>
                <w:szCs w:val="20"/>
                <w:color w:val="auto"/>
              </w:rPr>
            </w:pPr>
            <w:r>
              <w:rPr>
                <w:rFonts w:ascii="Arial" w:cs="Arial" w:eastAsia="Arial" w:hAnsi="Arial"/>
                <w:sz w:val="14"/>
                <w:szCs w:val="14"/>
                <w:b w:val="1"/>
                <w:bCs w:val="1"/>
                <w:color w:val="auto"/>
              </w:rPr>
              <w:t>Purchaser</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Purchase Price</w:t>
            </w:r>
          </w:p>
        </w:tc>
        <w:tc>
          <w:tcPr>
            <w:tcW w:w="1820" w:type="dxa"/>
            <w:vAlign w:val="bottom"/>
          </w:tcPr>
          <w:p>
            <w:pPr>
              <w:spacing w:after="0"/>
              <w:rPr>
                <w:sz w:val="16"/>
                <w:szCs w:val="16"/>
                <w:color w:val="auto"/>
              </w:rPr>
            </w:pP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Biotechnology Value Fund, L.P. and its affiliates</w:t>
            </w: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10,800,000.00</w:t>
            </w: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6"/>
              </w:rPr>
              <w:t>Entities affiliated with Fidelity Management &amp; Research</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7"/>
              </w:rPr>
              <w:t>2,250,000.00</w:t>
            </w: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864"/>
        </w:trPr>
        <w:tc>
          <w:tcPr>
            <w:tcW w:w="4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information regarding our executive officers who are not also directors, as of April 15, 2016, is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Position(s)</w:t>
            </w:r>
          </w:p>
        </w:tc>
      </w:tr>
      <w:tr>
        <w:trPr>
          <w:trHeight w:val="195"/>
        </w:trPr>
        <w:tc>
          <w:tcPr>
            <w:tcW w:w="20" w:type="dxa"/>
            <w:vAlign w:val="bottom"/>
          </w:tcPr>
          <w:p>
            <w:pPr>
              <w:spacing w:after="0"/>
              <w:rPr>
                <w:sz w:val="16"/>
                <w:szCs w:val="16"/>
                <w:color w:val="auto"/>
              </w:rPr>
            </w:pPr>
          </w:p>
        </w:tc>
        <w:tc>
          <w:tcPr>
            <w:tcW w:w="3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L. Boral, M.D., Ph.D.</w:t>
            </w:r>
          </w:p>
        </w:tc>
        <w:tc>
          <w:tcPr>
            <w:tcW w:w="22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Medical Officer</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Kathryn Haviland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Christoph Lengauer, Ph.D.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Michael Landsittel</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i w:val="1"/>
          <w:iCs w:val="1"/>
          <w:color w:val="auto"/>
        </w:rPr>
        <w:t xml:space="preserve">Anthony L. Boral, M.D., Ph.D. </w:t>
      </w:r>
      <w:r>
        <w:rPr>
          <w:rFonts w:ascii="Arial" w:cs="Arial" w:eastAsia="Arial" w:hAnsi="Arial"/>
          <w:sz w:val="16"/>
          <w:szCs w:val="16"/>
          <w:color w:val="auto"/>
        </w:rPr>
        <w:t>has served as our chief medical officer since January 2016 and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vice president, clinical development from February 2015 to December 2015. Prior to joining us, from November 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 Pharmaceuticals, Inc., or Millennium, a biotechnology company in Cambridge, Massachusetts, which is now a wholly-owned subsidiary of Takeda Pharmaceutical Company Limited, or Takeda, including as vice president of oncology clinical research from October 2007 to October 2010. At Millennium, Dr. Boral was responsible for various aspects of the development of VELCADE®, a first-in-class cancer therapy now approved to treat multiple myeloma and non-Hodgkin’s lymphoma. Dr. Boral received a B.A. from Wesleyan University, and an M.D. and a Ph.D. from the Albert Einstein College of Medicine, in New York.</w:t>
      </w:r>
    </w:p>
    <w:p>
      <w:pPr>
        <w:spacing w:after="0" w:line="16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b w:val="1"/>
          <w:bCs w:val="1"/>
          <w:i w:val="1"/>
          <w:iCs w:val="1"/>
          <w:color w:val="auto"/>
        </w:rPr>
        <w:t xml:space="preserve">Kathryn Haviland </w:t>
      </w:r>
      <w:r>
        <w:rPr>
          <w:rFonts w:ascii="Arial" w:cs="Arial" w:eastAsia="Arial" w:hAnsi="Arial"/>
          <w:sz w:val="17"/>
          <w:szCs w:val="17"/>
          <w:color w:val="auto"/>
        </w:rPr>
        <w:t>has served as our chief business officer since January 2016. Prior to joining us, from April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December 2015, Ms. Haviland served as vice president, rare diseases and oncology program leadership at Idera Pharmaceuticals, Inc., or Idera,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where she was responsible for product development and commercial planning and for cultivating relationships with key opinion leaders and patient advocacy groups. In addition, Ms. Haviland previously served as executive director of commercial development at PTC Therapeutics, Inc. from April 2007 to June 2012 and held corporate development and project management roles at Genzyme from July 2005 to April 2007. Ms. Haviland received a B.A. from Wesleyan University with a double major in biochemistry/molecular biology and economics and an M.B.A. from Harvard Business School.</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Christoph Lengauer, Ph.D. </w:t>
      </w:r>
      <w:r>
        <w:rPr>
          <w:rFonts w:ascii="Arial" w:cs="Arial" w:eastAsia="Arial" w:hAnsi="Arial"/>
          <w:sz w:val="18"/>
          <w:szCs w:val="18"/>
          <w:color w:val="auto"/>
        </w:rPr>
        <w:t>has served as our chief scientific officer since January 2012. Prior to joining us,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2008 to January 2012, Dr. Lengauer served as vice president and global head of oncology drug discovery and pre-clinical development at Sanofi S.A., a multinational pharmaceutical company. Dr. Lengauer has served as an adjunct associate professor of oncology at the Sidney Kimmel Comprehensive Cancer Center at Johns Hopkins University since 2005 and as a venture partner at Third Rock since March 2016. Dr. Lengauer received an M.Sc. from the University of Salzburg, Austria, a Ph.D. in biology from the University of Heidelberg, Germany, and an M.B.A. in medical services management from The Johns Hopkins University.</w:t>
      </w:r>
    </w:p>
    <w:p>
      <w:pPr>
        <w:spacing w:after="0" w:line="1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Michael Landsittel </w:t>
      </w:r>
      <w:r>
        <w:rPr>
          <w:rFonts w:ascii="Arial" w:cs="Arial" w:eastAsia="Arial" w:hAnsi="Arial"/>
          <w:sz w:val="17"/>
          <w:szCs w:val="17"/>
          <w:color w:val="auto"/>
        </w:rPr>
        <w:t>has served as our vice president, finance since February 2016 and previously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director, finance from September 2014 to February 2016. Prior to joining us, from October 2012 to July 2014, Mr. Landsittel served as senior director, finance at Algeta U.S. Prior to his time at Algeta, from March 2012 to October 2012, Mr. Landsittel served as director, finance at Infinity Pharmaceuticals, Inc., and from August 2002 to March 2012, Mr. Landsittel held various business development and strategic planning roles of increasing responsibility at Genzyme, including most recently as director, business planning. Mr. Landsittel began his career at Arthur Andersen LLP, and he earned his certified public accountant license in Illinois. Mr. Landsittel received a B.B.A from the University of Michigan and an M.B.A. from the Tuck School of Business at Dartmouth College.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section discusses the material elements of our executive compensation policies for our “named executive officers” and the most important factors relevant to an analysis of these policies. For 2015, our named executive officers are Jeffrey W. Albers, our president and chief executive officer, and our two other most highly compensated executive officers, Christoph Lengauer, our chief scientific officer, and Anthony Boral, our chief medical officer. In addition, this section provides qualitative information regarding the manner and context in which compensation is awarded to and earned by our named executive officers and is intended to place in perspective the data presented in the following tables and the corresponding narrative.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information regarding compensation earned by each of our named executive officers during the years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Non-equity</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Compensation</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26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 ($)</w:t>
            </w:r>
          </w:p>
        </w:tc>
        <w:tc>
          <w:tcPr>
            <w:tcW w:w="40" w:type="dxa"/>
            <w:vAlign w:val="bottom"/>
            <w:tcBorders>
              <w:bottom w:val="single" w:sz="8" w:color="CCEEFF"/>
            </w:tcBorders>
          </w:tcPr>
          <w:p>
            <w:pPr>
              <w:spacing w:after="0"/>
              <w:rPr>
                <w:sz w:val="17"/>
                <w:szCs w:val="17"/>
                <w:color w:val="auto"/>
              </w:rPr>
            </w:pPr>
          </w:p>
        </w:tc>
      </w:tr>
      <w:tr>
        <w:trPr>
          <w:trHeight w:val="196"/>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Jeffrey W. Albers(4)</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2015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416,667</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698,776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210,375</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1,325,818</w:t>
            </w:r>
          </w:p>
        </w:tc>
        <w:tc>
          <w:tcPr>
            <w:tcW w:w="40" w:type="dxa"/>
            <w:vAlign w:val="bottom"/>
            <w:shd w:val="clear" w:color="auto" w:fill="CCEEFF"/>
          </w:tcPr>
          <w:p>
            <w:pPr>
              <w:spacing w:after="0"/>
              <w:rPr>
                <w:sz w:val="17"/>
                <w:szCs w:val="17"/>
                <w:color w:val="auto"/>
              </w:rPr>
            </w:pPr>
          </w:p>
        </w:tc>
      </w:tr>
      <w:tr>
        <w:trPr>
          <w:trHeight w:val="216"/>
        </w:trPr>
        <w:tc>
          <w:tcPr>
            <w:tcW w:w="262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2014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169,231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2,046,069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2,357,800</w:t>
            </w:r>
          </w:p>
        </w:tc>
        <w:tc>
          <w:tcPr>
            <w:tcW w:w="40" w:type="dxa"/>
            <w:vAlign w:val="bottom"/>
            <w:shd w:val="clear" w:color="auto" w:fill="CCEEFF"/>
          </w:tcPr>
          <w:p>
            <w:pPr>
              <w:spacing w:after="0"/>
              <w:rPr>
                <w:sz w:val="18"/>
                <w:szCs w:val="18"/>
                <w:color w:val="auto"/>
              </w:rPr>
            </w:pPr>
          </w:p>
        </w:tc>
      </w:tr>
      <w:tr>
        <w:trPr>
          <w:trHeight w:val="231"/>
        </w:trPr>
        <w:tc>
          <w:tcPr>
            <w:tcW w:w="2620" w:type="dxa"/>
            <w:vAlign w:val="bottom"/>
            <w:gridSpan w:val="2"/>
          </w:tcPr>
          <w:p>
            <w:pPr>
              <w:spacing w:after="0"/>
              <w:rPr>
                <w:sz w:val="20"/>
                <w:szCs w:val="20"/>
                <w:color w:val="auto"/>
              </w:rPr>
            </w:pPr>
            <w:r>
              <w:rPr>
                <w:rFonts w:ascii="Arial" w:cs="Arial" w:eastAsia="Arial" w:hAnsi="Arial"/>
                <w:sz w:val="14"/>
                <w:szCs w:val="14"/>
                <w:color w:val="auto"/>
              </w:rPr>
              <w:t>Christoph Lengauer, Ph.D.</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w w:val="96"/>
              </w:rPr>
              <w:t>2015</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415,000</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349,382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161,591</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4,150</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930,123</w:t>
            </w:r>
          </w:p>
        </w:tc>
        <w:tc>
          <w:tcPr>
            <w:tcW w:w="40" w:type="dxa"/>
            <w:vAlign w:val="bottom"/>
          </w:tcPr>
          <w:p>
            <w:pPr>
              <w:spacing w:after="0"/>
              <w:rPr>
                <w:sz w:val="20"/>
                <w:szCs w:val="20"/>
                <w:color w:val="auto"/>
              </w:rPr>
            </w:pPr>
          </w:p>
        </w:tc>
      </w:tr>
      <w:tr>
        <w:trPr>
          <w:trHeight w:val="201"/>
        </w:trPr>
        <w:tc>
          <w:tcPr>
            <w:tcW w:w="262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Scientific Officer</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w w:val="96"/>
              </w:rPr>
              <w:t>2014</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400,000</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132,000</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(6)</w:t>
            </w:r>
          </w:p>
        </w:tc>
        <w:tc>
          <w:tcPr>
            <w:tcW w:w="820" w:type="dxa"/>
            <w:vAlign w:val="bottom"/>
          </w:tcPr>
          <w:p>
            <w:pPr>
              <w:jc w:val="right"/>
              <w:spacing w:after="0"/>
              <w:rPr>
                <w:sz w:val="20"/>
                <w:szCs w:val="20"/>
                <w:color w:val="auto"/>
              </w:rPr>
            </w:pPr>
            <w:r>
              <w:rPr>
                <w:rFonts w:ascii="Arial" w:cs="Arial" w:eastAsia="Arial" w:hAnsi="Arial"/>
                <w:sz w:val="14"/>
                <w:szCs w:val="14"/>
                <w:color w:val="auto"/>
              </w:rPr>
              <w:t>104,026</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636,026</w:t>
            </w:r>
          </w:p>
        </w:tc>
        <w:tc>
          <w:tcPr>
            <w:tcW w:w="40" w:type="dxa"/>
            <w:vAlign w:val="bottom"/>
          </w:tcPr>
          <w:p>
            <w:pPr>
              <w:spacing w:after="0"/>
              <w:rPr>
                <w:sz w:val="17"/>
                <w:szCs w:val="17"/>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Anthony Boral, M.D., Ph.D.(7)</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2015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291,876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671,520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97,692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1,164,338</w:t>
            </w:r>
          </w:p>
        </w:tc>
        <w:tc>
          <w:tcPr>
            <w:tcW w:w="40" w:type="dxa"/>
            <w:vAlign w:val="bottom"/>
            <w:shd w:val="clear" w:color="auto" w:fill="CCEEFF"/>
          </w:tcPr>
          <w:p>
            <w:pPr>
              <w:spacing w:after="0"/>
              <w:rPr>
                <w:sz w:val="18"/>
                <w:szCs w:val="18"/>
                <w:color w:val="auto"/>
              </w:rPr>
            </w:pPr>
          </w:p>
        </w:tc>
      </w:tr>
      <w:tr>
        <w:trPr>
          <w:trHeight w:val="216"/>
        </w:trPr>
        <w:tc>
          <w:tcPr>
            <w:tcW w:w="262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Medical Officer</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ind w:left="220" w:hanging="215"/>
        <w:spacing w:after="0" w:line="257" w:lineRule="auto"/>
        <w:rPr>
          <w:sz w:val="20"/>
          <w:szCs w:val="20"/>
          <w:color w:val="auto"/>
        </w:rPr>
      </w:pPr>
      <w:r>
        <w:rPr>
          <w:rFonts w:ascii="Arial" w:cs="Arial" w:eastAsia="Arial" w:hAnsi="Arial"/>
          <w:sz w:val="18"/>
          <w:szCs w:val="18"/>
          <w:color w:val="auto"/>
        </w:rPr>
        <w:t>(1)These amounts represent the aggregate grant date fair value of awards granted to our named executive officers in 2015 and 2014, respectively, computed in accordance with the Financial Accounting Standards Board Accounting Standards Codification Topic 718, or FASB ASC Topic 718. See Note 9 to the audited consolidated financial statements in our Annual Report on Form 10-K for the year ended December 31, 2015 regarding assumptions underlying the valuation of equity awards.</w:t>
      </w:r>
    </w:p>
    <w:p>
      <w:pPr>
        <w:spacing w:after="0" w:line="53" w:lineRule="exact"/>
        <w:rPr>
          <w:sz w:val="20"/>
          <w:szCs w:val="20"/>
          <w:color w:val="auto"/>
        </w:rPr>
      </w:pPr>
    </w:p>
    <w:p>
      <w:pPr>
        <w:jc w:val="both"/>
        <w:ind w:left="220" w:right="100" w:hanging="215"/>
        <w:spacing w:after="0" w:line="259" w:lineRule="auto"/>
        <w:rPr>
          <w:sz w:val="20"/>
          <w:szCs w:val="20"/>
          <w:color w:val="auto"/>
        </w:rPr>
      </w:pPr>
      <w:r>
        <w:rPr>
          <w:rFonts w:ascii="Arial" w:cs="Arial" w:eastAsia="Arial" w:hAnsi="Arial"/>
          <w:sz w:val="18"/>
          <w:szCs w:val="18"/>
          <w:color w:val="auto"/>
        </w:rPr>
        <w:t>(2)Amounts represent awards to our named executive officers under our annual performance-based cash incentive program. See “Annual Performance-based Cash Incentives” for a description of that program. Annual cash incentive compensation for 2015 was earned in 2015 and paid in 2016, and annual cash incentive compensation for 2014 was earned in 2014 and paid in 2015.</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(3) Amounts represent the dollar value of matching contributions to the qualified 401(k) plan.</w:t>
      </w:r>
    </w:p>
    <w:p>
      <w:pPr>
        <w:spacing w:after="0" w:line="90" w:lineRule="exact"/>
        <w:rPr>
          <w:sz w:val="20"/>
          <w:szCs w:val="20"/>
          <w:color w:val="auto"/>
        </w:rPr>
      </w:pPr>
    </w:p>
    <w:p>
      <w:pPr>
        <w:ind w:left="220" w:right="120" w:hanging="215"/>
        <w:spacing w:after="0" w:line="308" w:lineRule="auto"/>
        <w:rPr>
          <w:sz w:val="20"/>
          <w:szCs w:val="20"/>
          <w:color w:val="auto"/>
        </w:rPr>
      </w:pPr>
      <w:r>
        <w:rPr>
          <w:rFonts w:ascii="Arial" w:cs="Arial" w:eastAsia="Arial" w:hAnsi="Arial"/>
          <w:sz w:val="17"/>
          <w:szCs w:val="17"/>
          <w:color w:val="auto"/>
        </w:rPr>
        <w:t>(4)Mr. Albers joined our company as president and chief executive officer in July 2014. Mr. Albers also serves as a member of our board of directors but does not receive any additional compensation for his service as a director.</w:t>
      </w:r>
    </w:p>
    <w:p>
      <w:pPr>
        <w:spacing w:after="0" w:line="11" w:lineRule="exact"/>
        <w:rPr>
          <w:sz w:val="20"/>
          <w:szCs w:val="20"/>
          <w:color w:val="auto"/>
        </w:rPr>
      </w:pPr>
    </w:p>
    <w:p>
      <w:pPr>
        <w:ind w:left="220" w:right="280" w:hanging="215"/>
        <w:spacing w:after="0" w:line="334" w:lineRule="auto"/>
        <w:rPr>
          <w:sz w:val="20"/>
          <w:szCs w:val="20"/>
          <w:color w:val="auto"/>
        </w:rPr>
      </w:pPr>
      <w:r>
        <w:rPr>
          <w:rFonts w:ascii="Arial" w:cs="Arial" w:eastAsia="Arial" w:hAnsi="Arial"/>
          <w:sz w:val="16"/>
          <w:szCs w:val="16"/>
          <w:color w:val="auto"/>
        </w:rPr>
        <w:t>(5)This amount includes a cash signing bonus of $75,000 paid to Mr. Albers in connection with the commencement of his employment in July 2014 and an annual bonus of $67,500 awarded to Mr. Albers by our board of directors for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 Amount represents an annual bonus of $132,000 awarded to Dr. Lengauer by our board of directors for 2014.</w:t>
      </w:r>
    </w:p>
    <w:p>
      <w:pPr>
        <w:spacing w:after="0" w:line="90" w:lineRule="exact"/>
        <w:rPr>
          <w:sz w:val="20"/>
          <w:szCs w:val="20"/>
          <w:color w:val="auto"/>
        </w:rPr>
      </w:pPr>
    </w:p>
    <w:p>
      <w:pPr>
        <w:ind w:left="220" w:right="120" w:hanging="215"/>
        <w:spacing w:after="0" w:line="277" w:lineRule="auto"/>
        <w:rPr>
          <w:sz w:val="20"/>
          <w:szCs w:val="20"/>
          <w:color w:val="auto"/>
        </w:rPr>
      </w:pPr>
      <w:r>
        <w:rPr>
          <w:rFonts w:ascii="Arial" w:cs="Arial" w:eastAsia="Arial" w:hAnsi="Arial"/>
          <w:sz w:val="18"/>
          <w:szCs w:val="18"/>
          <w:color w:val="auto"/>
        </w:rPr>
        <w:t>(7)Dr. Boral joined our company as senior vice president, clinical development in February 2015 and was promoted to chief medical officer in January 2016.</w:t>
      </w:r>
    </w:p>
    <w:p>
      <w:pPr>
        <w:spacing w:after="0" w:line="35" w:lineRule="exact"/>
        <w:rPr>
          <w:sz w:val="20"/>
          <w:szCs w:val="20"/>
          <w:color w:val="auto"/>
        </w:rPr>
      </w:pPr>
    </w:p>
    <w:p>
      <w:pPr>
        <w:ind w:left="220" w:right="480" w:hanging="215"/>
        <w:spacing w:after="0" w:line="277" w:lineRule="auto"/>
        <w:rPr>
          <w:sz w:val="20"/>
          <w:szCs w:val="20"/>
          <w:color w:val="auto"/>
        </w:rPr>
      </w:pPr>
      <w:r>
        <w:rPr>
          <w:rFonts w:ascii="Arial" w:cs="Arial" w:eastAsia="Arial" w:hAnsi="Arial"/>
          <w:sz w:val="18"/>
          <w:szCs w:val="18"/>
          <w:color w:val="auto"/>
        </w:rPr>
        <w:t>(8)Amount represents a cash signing bonus of $100,000 paid to Dr. Boral in connection with the commencement of his employment in February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describes the material terms of the elements of our executive compensation program for our named executive officers during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Mr. Albers’ annual base salary was set at $375,000 when he joined our company as president and chief executive officer in July 2014. Effective as of January 1, 2015, our board of directors increased Mr. Albers’ annual base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salary to $400,000, and effective as of the closing of our initial public offering in May 2015, our board of directors increased Mr. Albers’ annual base salary to $425,000. Effective as of January 1, 2016, our board of directors increased Mr. Albers’ annual base salary to $475,000. At the start of 2014, Dr. Lengauer’s annual base salary was $400,000. Effective as of January 1, 2015, our board of directors increased Dr. Lengauer’s annual base salary to $415,000. Effective as of January 1, 2016, the compensation committee of our board of directors increased Dr. Lengauer’s annual base salary to $430,000. Dr. Boral’s annual base salary was set at $325,000 when he joined our company as senior vice president, clinical development in February 2015. Effective as of January 1, 2016, in connection with Dr. Boral’s promotion to chief medical officer, the compensation committee of our board of directors increased Dr. Boral’s annual base salary to $375,000.</w:t>
      </w:r>
    </w:p>
    <w:p>
      <w:pPr>
        <w:spacing w:after="0" w:line="16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the compensation committee of our board of directors reviews and evaluates, with input from our chief executive officer, the need for adjustment of the base salaries of our executive officers (other than our chief executive officer), and our board of directors reviews and evaluates the need for adjustment of the base salary of our chief executive officers, in each case,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2014, our board of directors awarded a bonus to Mr. Albers in the amount of $67,500, which was pro-rated based on the commencement of his employment with us in July 2014, and awarded a bonus to Dr. Lengauer in the amount of $132,000, in each case, based on such named executive officer’s individual performance and our performance as a company for 2014. For 2014, Mr. Albers also received a signing bonus of $75,000 following the commencement of his employment with us in July 2014.</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2015, our board of directors adopted a senior executive cash incentive bonus plan, or the executive bonus plan. The executive bonus plan provides for cash bonus payments to eligible executives based upon the attainment of performance targets established by the compensation committee of our board of directors for each executive. The payment targets are related to individual performance measures or objectives, which we refer to as individual performance goals, and corporate financial and operational measures or objectives, which we refer to as corporate performance goals. Under the executive bonus plan, the corporate performance goals selected by the compensation committee of our board of directors may include, but are not limited to, one or more of the following: cash flow, including, but not limited to, operating cash flow and free cash flow; sales or revenue; corporate revenue; earnings before interest, taxes, depreciation and amortization; net income, either before or after interest, taxes, depreciation and/or amortization; changes in the market price of our common stock; economic value-added; development, clinical or regulatory milestones; acquisitions or strategic transactions; operating income; return on capital, assets, equity, or investment; stockholder returns; return on sales; gross or net profit levels; productivity; expense efficiency; margins; operating efficiency; customer satisfaction; working capital; earnings per share of our common stock; bookings, new bookings or renewals; sales or market shares; number of customers; number of new customers or customer references; operating income and/or net annual recurring revenue, any of which may be measured in absolute terms or compared to any incremental increase, in terms of growth, as compared to another company or companies or to results of a peer group, against the market as a whole, compared to applicable market indices and/or measured on a pre-tax or post-tax basis.</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Each executive officer who is selected to participate in the executive bonus plan has a target bonus opportunity set for each performance period. The bonus formulas adopted for each performance period by the compensation committee of our board of directors and communicated to each executive. The corporate performance goals will be measured at the end of each performance period after our financial reports have been published. If the corporate performance goals and individual performance goals are met, payments will be made as soon as practicable following the end of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Each of our named executive officers is eligible to participate in the executive bonus plan. Mr. Albers’ target bonus opportunity is based solely on corporate performance goals, and Dr. Lengauer’s and Dr. Boral’s respective target bonus opportunity is based on individual performance goals and corporate performance goals. For 2014, Mr. Albers and Dr. Lengauer were eligible for performance bonuses of up to 40% and 30% of their respective base salaries.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2015, Mr. Albers, Dr. Lengauer and Dr. Boral were eligible for performance bonuses of up to 45%, 35%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 of their respective base salaries. In February 2016, our board of directors awarded a bonus to Mr. Albers in the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$210,375 based on our performance as a company for 2015. In January 2016, the compensation committee of our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awarded a bonus to Dr. Lengauer in the amount of $161,591and awarded a bonus to Dr. Boral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$97,692, which was pro-rated based on the commencement of his employment with us in February 2015, in each case,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such named executive officer’s individual performance and our performance as a company for 2015. For 2015, Dr. Boral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received a signing bonus of $100,000 following the commencement of his employment with us in February 2015.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Awards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or restricted stock unit awards.</w:t>
      </w:r>
    </w:p>
    <w:p>
      <w:pPr>
        <w:spacing w:after="0" w:line="19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In July 2014, in connection with Mr. Albers’ commencement of employment with us, our board of directors awarded Mr. Albers options to purchase an aggregate of 573,944 shares of common stock. In February 2015, as part of its annual compensation review, our board of directors awarded Mr. Albers an option to purchase 109,090 shares of common stock and awarded Dr. Lengauer options to purchase an aggregate of 54,544 shares of common stock. In February 2015, in connection with Dr. Boral’s commencement of employment with us, our board of directors awarded Dr. Boral options to purchase an aggregate of 104,544 shares of common stock. All of these awards are subject to time-based vesting. See “— Outstanding Equity Awards at December 31, 2015”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Welfare Benefits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named executive officers are eligible to participate in all of our employee benefit plans, including our medical, dental, vision, life and disability insurance plans and commuting benefits plan, in each case, on the same basis as other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ind w:right="20" w:firstLine="771"/>
        <w:spacing w:after="0" w:line="291" w:lineRule="auto"/>
        <w:rPr>
          <w:sz w:val="20"/>
          <w:szCs w:val="20"/>
          <w:color w:val="auto"/>
        </w:rPr>
      </w:pPr>
      <w:r>
        <w:rPr>
          <w:rFonts w:ascii="Arial" w:cs="Arial" w:eastAsia="Arial" w:hAnsi="Arial"/>
          <w:sz w:val="16"/>
          <w:szCs w:val="16"/>
          <w:color w:val="auto"/>
        </w:rPr>
        <w:t>We maintain a 401(k) plan that is intended to qualify under Section 401(k) of the Internal Revenue Service Code of 1986, as amended. In general, all of our employees, including our named executive officers, are eligible to participate in the 401(k) plan. Under the 401(k) plan, employees may elect to reduce their current compensation by up to the statutorily prescribed annual limit, equal to $18,000 in 2015, and to have the amount of such reduction contributed to the 401(k) plan. During the year ended December 31, 2015, we implemented a matching contribution to the 401(k) plan, matching 50% of an employee’s contributions up to a maximum of 3% of the participant’s compensation. Matching contributions made to each of our named executive officers are included in the “Summary Compensation Table” above.</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December 31, 2015</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for each of our named executive officers at December 31,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w w:val="98"/>
              </w:rPr>
              <w:t>Option Awards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ind w:left="760"/>
              <w:spacing w:after="0"/>
              <w:rPr>
                <w:sz w:val="20"/>
                <w:szCs w:val="20"/>
                <w:color w:val="auto"/>
              </w:rPr>
            </w:pPr>
            <w:r>
              <w:rPr>
                <w:rFonts w:ascii="Arial" w:cs="Arial" w:eastAsia="Arial" w:hAnsi="Arial"/>
                <w:sz w:val="14"/>
                <w:szCs w:val="14"/>
                <w:b w:val="1"/>
                <w:bCs w:val="1"/>
                <w:color w:val="auto"/>
              </w:rPr>
              <w:t>Stock Awards</w:t>
            </w:r>
          </w:p>
        </w:tc>
      </w:tr>
      <w:tr>
        <w:trPr>
          <w:trHeight w:val="225"/>
        </w:trPr>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Market Value of</w:t>
            </w: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Shares or Units</w:t>
            </w:r>
          </w:p>
        </w:tc>
        <w:tc>
          <w:tcPr>
            <w:tcW w:w="4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Shares or Units</w:t>
            </w: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Option</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 Stock That</w:t>
            </w:r>
          </w:p>
        </w:tc>
        <w:tc>
          <w:tcPr>
            <w:tcW w:w="4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of Stock That</w:t>
            </w: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Exercise</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Expiration</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Have Not Vested</w:t>
            </w:r>
          </w:p>
        </w:tc>
        <w:tc>
          <w:tcPr>
            <w:tcW w:w="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Have Not</w:t>
            </w:r>
          </w:p>
        </w:tc>
      </w:tr>
      <w:tr>
        <w:trPr>
          <w:trHeight w:val="20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Vested</w:t>
            </w:r>
            <w:r>
              <w:rPr>
                <w:rFonts w:ascii="Arial" w:cs="Arial" w:eastAsia="Arial" w:hAnsi="Arial"/>
                <w:sz w:val="14"/>
                <w:szCs w:val="14"/>
                <w:color w:val="auto"/>
                <w:w w:val="90"/>
              </w:rPr>
              <w:t>(</w:t>
            </w:r>
            <w:r>
              <w:rPr>
                <w:rFonts w:ascii="Arial" w:cs="Arial" w:eastAsia="Arial" w:hAnsi="Arial"/>
                <w:sz w:val="14"/>
                <w:szCs w:val="14"/>
                <w:b w:val="1"/>
                <w:bCs w:val="1"/>
                <w:color w:val="auto"/>
                <w:w w:val="90"/>
              </w:rPr>
              <w:t xml:space="preserve">2) </w:t>
            </w:r>
            <w:r>
              <w:rPr>
                <w:rFonts w:ascii="Arial" w:cs="Arial" w:eastAsia="Arial" w:hAnsi="Arial"/>
                <w:sz w:val="14"/>
                <w:szCs w:val="14"/>
                <w:color w:val="auto"/>
                <w:w w:val="90"/>
              </w:rPr>
              <w:t>(</w:t>
            </w:r>
            <w:r>
              <w:rPr>
                <w:rFonts w:ascii="Arial" w:cs="Arial" w:eastAsia="Arial" w:hAnsi="Arial"/>
                <w:sz w:val="14"/>
                <w:szCs w:val="14"/>
                <w:b w:val="1"/>
                <w:bCs w:val="1"/>
                <w:color w:val="auto"/>
                <w:w w:val="90"/>
              </w:rPr>
              <w:t>$)</w:t>
            </w:r>
          </w:p>
        </w:tc>
      </w:tr>
      <w:tr>
        <w:trPr>
          <w:trHeight w:val="204"/>
        </w:trPr>
        <w:tc>
          <w:tcPr>
            <w:tcW w:w="2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53,475</w:t>
            </w:r>
          </w:p>
        </w:tc>
        <w:tc>
          <w:tcPr>
            <w:tcW w:w="28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1"/>
              </w:rPr>
              <w:t>(3)</w:t>
            </w: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7/30/2024</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163,080</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7/30/2024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160,428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7/30/2024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22,727</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86,363</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2/10/2025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2560" w:type="dxa"/>
            <w:vAlign w:val="bottom"/>
            <w:gridSpan w:val="2"/>
          </w:tcPr>
          <w:p>
            <w:pPr>
              <w:spacing w:after="0"/>
              <w:rPr>
                <w:sz w:val="20"/>
                <w:szCs w:val="20"/>
                <w:color w:val="auto"/>
              </w:rPr>
            </w:pPr>
            <w:r>
              <w:rPr>
                <w:rFonts w:ascii="Arial" w:cs="Arial" w:eastAsia="Arial" w:hAnsi="Arial"/>
                <w:sz w:val="16"/>
                <w:szCs w:val="16"/>
                <w:color w:val="auto"/>
              </w:rPr>
              <w:t>Christoph Lengauer, Ph.D.</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9,090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26,137</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(7)</w:t>
            </w:r>
          </w:p>
        </w:tc>
        <w:tc>
          <w:tcPr>
            <w:tcW w:w="520" w:type="dxa"/>
            <w:vAlign w:val="bottom"/>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11/3/2023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5,456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19,392</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(8)</w:t>
            </w:r>
          </w:p>
        </w:tc>
        <w:tc>
          <w:tcPr>
            <w:tcW w:w="520" w:type="dxa"/>
            <w:vAlign w:val="bottom"/>
          </w:tcPr>
          <w:p>
            <w:pPr>
              <w:jc w:val="right"/>
              <w:spacing w:after="0"/>
              <w:rPr>
                <w:sz w:val="20"/>
                <w:szCs w:val="20"/>
                <w:color w:val="auto"/>
              </w:rPr>
            </w:pPr>
            <w:r>
              <w:rPr>
                <w:rFonts w:ascii="Arial" w:cs="Arial" w:eastAsia="Arial" w:hAnsi="Arial"/>
                <w:sz w:val="16"/>
                <w:szCs w:val="16"/>
                <w:color w:val="auto"/>
              </w:rPr>
              <w:t>1.87</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8/18/2024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3,846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15,350</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(9)</w:t>
            </w:r>
          </w:p>
        </w:tc>
        <w:tc>
          <w:tcPr>
            <w:tcW w:w="520" w:type="dxa"/>
            <w:vAlign w:val="bottom"/>
          </w:tcPr>
          <w:p>
            <w:pPr>
              <w:jc w:val="right"/>
              <w:spacing w:after="0"/>
              <w:rPr>
                <w:sz w:val="20"/>
                <w:szCs w:val="20"/>
                <w:color w:val="auto"/>
              </w:rPr>
            </w:pPr>
            <w:r>
              <w:rPr>
                <w:rFonts w:ascii="Arial" w:cs="Arial" w:eastAsia="Arial" w:hAnsi="Arial"/>
                <w:sz w:val="16"/>
                <w:szCs w:val="16"/>
                <w:color w:val="auto"/>
              </w:rPr>
              <w:t>8.80</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2/10/2025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6,380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27,832</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(9)</w:t>
            </w:r>
          </w:p>
        </w:tc>
        <w:tc>
          <w:tcPr>
            <w:tcW w:w="520" w:type="dxa"/>
            <w:vAlign w:val="bottom"/>
          </w:tcPr>
          <w:p>
            <w:pPr>
              <w:jc w:val="right"/>
              <w:spacing w:after="0"/>
              <w:rPr>
                <w:sz w:val="20"/>
                <w:szCs w:val="20"/>
                <w:color w:val="auto"/>
              </w:rPr>
            </w:pPr>
            <w:r>
              <w:rPr>
                <w:rFonts w:ascii="Arial" w:cs="Arial" w:eastAsia="Arial" w:hAnsi="Arial"/>
                <w:sz w:val="16"/>
                <w:szCs w:val="16"/>
                <w:color w:val="auto"/>
              </w:rPr>
              <w:t>8.80</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2/10/2025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6,818 (10)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179,586</w:t>
            </w:r>
          </w:p>
        </w:tc>
        <w:tc>
          <w:tcPr>
            <w:tcW w:w="60" w:type="dxa"/>
            <w:vAlign w:val="bottom"/>
          </w:tcPr>
          <w:p>
            <w:pPr>
              <w:spacing w:after="0"/>
              <w:rPr>
                <w:sz w:val="19"/>
                <w:szCs w:val="19"/>
                <w:color w:val="auto"/>
              </w:rPr>
            </w:pPr>
          </w:p>
        </w:tc>
      </w:tr>
      <w:tr>
        <w:trPr>
          <w:trHeight w:val="21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Boral, M.D., Ph.D.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2/10/2025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10,227</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2/10/2025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53,030</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2/10/2025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2/10/2025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94" w:lineRule="exact"/>
        <w:rPr>
          <w:sz w:val="20"/>
          <w:szCs w:val="20"/>
          <w:color w:val="auto"/>
        </w:rPr>
      </w:pPr>
    </w:p>
    <w:p>
      <w:pPr>
        <w:ind w:left="220" w:right="360" w:hanging="215"/>
        <w:spacing w:after="0" w:line="271" w:lineRule="auto"/>
        <w:rPr>
          <w:sz w:val="20"/>
          <w:szCs w:val="20"/>
          <w:color w:val="auto"/>
        </w:rPr>
      </w:pPr>
      <w:r>
        <w:rPr>
          <w:rFonts w:ascii="Arial" w:cs="Arial" w:eastAsia="Arial" w:hAnsi="Arial"/>
          <w:sz w:val="17"/>
          <w:szCs w:val="17"/>
          <w:color w:val="auto"/>
        </w:rPr>
        <w:t>(1)Pursuant to the terms of each named executive officer’s employment agreement, if such named executive officer’s employment is terminated by us without cause, or the named executive officer terminates his employment with us for good reason, in either case within 12 months following the occurrence of a sale event (as defined in the employment agreement), all unvested shares underlying time-based stock options and other time-based stock-based awards will accelerate and become vested and exercisable; provided that, if any stock options or other stock-based awards held by such named executive officer prior to the effective date of such named executive officer’s employment agreement has accelerated vesting terms more favorable to the executive, then the vesting terms of such stock options or other stock-based awards shall apply.</w:t>
      </w:r>
    </w:p>
    <w:p>
      <w:pPr>
        <w:spacing w:after="0" w:line="44" w:lineRule="exact"/>
        <w:rPr>
          <w:sz w:val="20"/>
          <w:szCs w:val="20"/>
          <w:color w:val="auto"/>
        </w:rPr>
      </w:pPr>
    </w:p>
    <w:p>
      <w:pPr>
        <w:ind w:left="220" w:right="480" w:hanging="215"/>
        <w:spacing w:after="0" w:line="277" w:lineRule="auto"/>
        <w:rPr>
          <w:sz w:val="20"/>
          <w:szCs w:val="20"/>
          <w:color w:val="auto"/>
        </w:rPr>
      </w:pPr>
      <w:r>
        <w:rPr>
          <w:rFonts w:ascii="Arial" w:cs="Arial" w:eastAsia="Arial" w:hAnsi="Arial"/>
          <w:sz w:val="18"/>
          <w:szCs w:val="18"/>
          <w:color w:val="auto"/>
        </w:rPr>
        <w:t>(2)Represents the market value of the shares based on the closing price of our common stock on December 31, 2015 of $26.34 per share.</w:t>
      </w:r>
    </w:p>
    <w:p>
      <w:pPr>
        <w:spacing w:after="0" w:line="35" w:lineRule="exact"/>
        <w:rPr>
          <w:sz w:val="20"/>
          <w:szCs w:val="20"/>
          <w:color w:val="auto"/>
        </w:rPr>
      </w:pPr>
    </w:p>
    <w:p>
      <w:pPr>
        <w:ind w:left="220" w:right="60" w:hanging="215"/>
        <w:spacing w:after="0" w:line="259" w:lineRule="auto"/>
        <w:rPr>
          <w:sz w:val="20"/>
          <w:szCs w:val="20"/>
          <w:color w:val="auto"/>
        </w:rPr>
      </w:pPr>
      <w:r>
        <w:rPr>
          <w:rFonts w:ascii="Arial" w:cs="Arial" w:eastAsia="Arial" w:hAnsi="Arial"/>
          <w:sz w:val="18"/>
          <w:szCs w:val="18"/>
          <w:color w:val="auto"/>
        </w:rPr>
        <w:t>(3)This option vested as to 6,310 shares on December 21, 2015 and vests as to an additional (i) 6,310 shares on May 21, 2016, (ii) 11,957 shares on each of June 21, 2016, July 21, 2016 and August 21, 2016 and (iii) 4,984 shares on September 21, 2016. Pursuant to the terms of Mr. Albers’ option agreement, all unvested shares underlying the option are eligible for early exercise.</w:t>
      </w:r>
    </w:p>
    <w:p>
      <w:pPr>
        <w:spacing w:after="0" w:line="52" w:lineRule="exact"/>
        <w:rPr>
          <w:sz w:val="20"/>
          <w:szCs w:val="20"/>
          <w:color w:val="auto"/>
        </w:rPr>
      </w:pPr>
    </w:p>
    <w:p>
      <w:pPr>
        <w:ind w:left="220" w:right="60" w:hanging="215"/>
        <w:spacing w:after="0" w:line="286" w:lineRule="auto"/>
        <w:rPr>
          <w:sz w:val="20"/>
          <w:szCs w:val="20"/>
          <w:color w:val="auto"/>
        </w:rPr>
      </w:pPr>
      <w:r>
        <w:rPr>
          <w:rFonts w:ascii="Arial" w:cs="Arial" w:eastAsia="Arial" w:hAnsi="Arial"/>
          <w:sz w:val="16"/>
          <w:szCs w:val="16"/>
          <w:color w:val="auto"/>
        </w:rPr>
        <w:t>(4)This option vests as follows: (i) 42,845 shares vest in four installments at a rate of 6,974 shares on September 21, 2016, and 11,957 shares on each of October 21, 2016 and November 21, 2016, and 11,957 on December 21, 2016; (ii) 90,010 shares vest in eight installments at a rate of 6,311 shares on May 21, 2017 and 11,957 shares on each of June 21, 2017, July 21, 2017, August 21, 2017, September 21, 2017, October 21, 2017, November 21, 2017 and December 21, 2017; and</w:t>
      </w:r>
    </w:p>
    <w:p>
      <w:pPr>
        <w:spacing w:after="0" w:line="2" w:lineRule="exact"/>
        <w:rPr>
          <w:sz w:val="20"/>
          <w:szCs w:val="20"/>
          <w:color w:val="auto"/>
        </w:rPr>
      </w:pPr>
    </w:p>
    <w:p>
      <w:pPr>
        <w:ind w:left="220" w:right="20" w:hanging="1"/>
        <w:spacing w:after="0" w:line="261" w:lineRule="auto"/>
        <w:tabs>
          <w:tab w:leader="none" w:pos="5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30,225 shares vest in three installments at a rate of 6,311 shares on May 21, 2018, 11,957 shares on June 21, 2018 and 11,957 shares on July 21, 2018.</w:t>
      </w:r>
    </w:p>
    <w:p>
      <w:pPr>
        <w:spacing w:after="0" w:line="49" w:lineRule="exact"/>
        <w:rPr>
          <w:sz w:val="20"/>
          <w:szCs w:val="20"/>
          <w:color w:val="auto"/>
        </w:rPr>
      </w:pPr>
    </w:p>
    <w:p>
      <w:pPr>
        <w:ind w:left="220" w:right="80" w:hanging="215"/>
        <w:spacing w:after="0" w:line="291" w:lineRule="auto"/>
        <w:rPr>
          <w:sz w:val="20"/>
          <w:szCs w:val="20"/>
          <w:color w:val="auto"/>
        </w:rPr>
      </w:pPr>
      <w:r>
        <w:rPr>
          <w:rFonts w:ascii="Arial" w:cs="Arial" w:eastAsia="Arial" w:hAnsi="Arial"/>
          <w:sz w:val="16"/>
          <w:szCs w:val="16"/>
          <w:color w:val="auto"/>
        </w:rPr>
        <w:t>(5)This option vested as to (i) 53,475 shares in five installments at a rate of 11,957 shares on each of August 21, 2015, September 21, 2015, October 21, 2015 and November 21, 2015 and 5,647 shares on December 21, 2015 and (ii) 47,828 shares in four installments at a rate of 11,957 shares on each of January 21, 2016, February 21, 2016, March 21, 2016 and April 21, 2016, and vests as to an additional (i) 5,648 shares on May 21, 2016, (ii) 53,476 shares in five installments at a rate of 11,957 shares on each of January 21, 2017, February 21, 2017, March 21, 2017 and April 21, 2017 and 5,648 shares on May 21, 2017 and (iii) 53,476 shares in five installments at a rate of 11,957 shares on each of January 21, 2018, February 21, 2018, March 21, 2018 and April 21, 2018 and 5,648 shares on May 21, 2018.</w:t>
      </w:r>
    </w:p>
    <w:p>
      <w:pPr>
        <w:spacing w:after="0" w:line="32" w:lineRule="exact"/>
        <w:rPr>
          <w:sz w:val="20"/>
          <w:szCs w:val="20"/>
          <w:color w:val="auto"/>
        </w:rPr>
      </w:pPr>
    </w:p>
    <w:p>
      <w:pPr>
        <w:ind w:left="220" w:right="700" w:hanging="215"/>
        <w:spacing w:after="0" w:line="308" w:lineRule="auto"/>
        <w:rPr>
          <w:sz w:val="20"/>
          <w:szCs w:val="20"/>
          <w:color w:val="auto"/>
        </w:rPr>
      </w:pPr>
      <w:r>
        <w:rPr>
          <w:rFonts w:ascii="Arial" w:cs="Arial" w:eastAsia="Arial" w:hAnsi="Arial"/>
          <w:sz w:val="17"/>
          <w:szCs w:val="17"/>
          <w:color w:val="auto"/>
        </w:rPr>
        <w:t>(6)This option vested with respect to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on March 10, 2015 and vests as to an additional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each month thereafter through February 10, 2019.</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20" w:right="520" w:hanging="215"/>
        <w:spacing w:after="0" w:line="308" w:lineRule="auto"/>
        <w:rPr>
          <w:sz w:val="20"/>
          <w:szCs w:val="20"/>
          <w:color w:val="auto"/>
        </w:rPr>
      </w:pPr>
      <w:r>
        <w:rPr>
          <w:rFonts w:ascii="Arial" w:cs="Arial" w:eastAsia="Arial" w:hAnsi="Arial"/>
          <w:sz w:val="17"/>
          <w:szCs w:val="17"/>
          <w:color w:val="auto"/>
        </w:rPr>
        <w:t>(7)This option vested with respect to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on December 3, 2013 and vests as to an additional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each month thereafter through November 3, 2017.</w:t>
      </w:r>
    </w:p>
    <w:p>
      <w:pPr>
        <w:spacing w:after="0" w:line="11" w:lineRule="exact"/>
        <w:rPr>
          <w:sz w:val="20"/>
          <w:szCs w:val="20"/>
          <w:color w:val="auto"/>
        </w:rPr>
      </w:pPr>
    </w:p>
    <w:p>
      <w:pPr>
        <w:ind w:left="220" w:right="400" w:hanging="215"/>
        <w:spacing w:after="0" w:line="308" w:lineRule="auto"/>
        <w:rPr>
          <w:sz w:val="20"/>
          <w:szCs w:val="20"/>
          <w:color w:val="auto"/>
        </w:rPr>
      </w:pPr>
      <w:r>
        <w:rPr>
          <w:rFonts w:ascii="Arial" w:cs="Arial" w:eastAsia="Arial" w:hAnsi="Arial"/>
          <w:sz w:val="17"/>
          <w:szCs w:val="17"/>
          <w:color w:val="auto"/>
        </w:rPr>
        <w:t>(8)This option vested with respect to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on September 18, 2014 and vests as to an additional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each month thereafter through August 18, 2018.</w:t>
      </w:r>
    </w:p>
    <w:p>
      <w:pPr>
        <w:spacing w:after="0" w:line="11" w:lineRule="exact"/>
        <w:rPr>
          <w:sz w:val="20"/>
          <w:szCs w:val="20"/>
          <w:color w:val="auto"/>
        </w:rPr>
      </w:pPr>
    </w:p>
    <w:p>
      <w:pPr>
        <w:ind w:left="220" w:right="700" w:hanging="215"/>
        <w:spacing w:after="0" w:line="308" w:lineRule="auto"/>
        <w:rPr>
          <w:sz w:val="20"/>
          <w:szCs w:val="20"/>
          <w:color w:val="auto"/>
        </w:rPr>
      </w:pPr>
      <w:r>
        <w:rPr>
          <w:rFonts w:ascii="Arial" w:cs="Arial" w:eastAsia="Arial" w:hAnsi="Arial"/>
          <w:sz w:val="17"/>
          <w:szCs w:val="17"/>
          <w:color w:val="auto"/>
        </w:rPr>
        <w:t>(9)This option vested with respect to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on March 10, 2015 and vests as to an additional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each month thereafter through February 10, 2019.</w:t>
      </w:r>
    </w:p>
    <w:p>
      <w:pPr>
        <w:spacing w:after="0" w:line="11" w:lineRule="exact"/>
        <w:rPr>
          <w:sz w:val="20"/>
          <w:szCs w:val="20"/>
          <w:color w:val="auto"/>
        </w:rPr>
      </w:pPr>
    </w:p>
    <w:p>
      <w:pPr>
        <w:ind w:left="320" w:right="200" w:hanging="317"/>
        <w:spacing w:after="0" w:line="286"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restricted stock award vests as to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award each month through January 1, 2017. Vesting of the shares underlying the award will accelerate and become vested and exercisable upon the occurrence of a sale event (as defined in the restricted stock award agreement).</w:t>
      </w:r>
    </w:p>
    <w:p>
      <w:pPr>
        <w:spacing w:after="0" w:line="30" w:lineRule="exact"/>
        <w:rPr>
          <w:sz w:val="20"/>
          <w:szCs w:val="20"/>
          <w:color w:val="auto"/>
        </w:rPr>
      </w:pPr>
    </w:p>
    <w:p>
      <w:pPr>
        <w:ind w:left="300" w:right="620" w:hanging="296"/>
        <w:spacing w:after="0" w:line="308" w:lineRule="auto"/>
        <w:rPr>
          <w:sz w:val="20"/>
          <w:szCs w:val="20"/>
          <w:color w:val="auto"/>
        </w:rPr>
      </w:pPr>
      <w:r>
        <w:rPr>
          <w:rFonts w:ascii="Arial" w:cs="Arial" w:eastAsia="Arial" w:hAnsi="Arial"/>
          <w:sz w:val="17"/>
          <w:szCs w:val="17"/>
          <w:color w:val="auto"/>
        </w:rPr>
        <w:t>(11)This option vested with respect to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on March 10, 2015 and vests as to an additional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each month thereafter through February 10, 2019.</w:t>
      </w:r>
    </w:p>
    <w:p>
      <w:pPr>
        <w:spacing w:after="0" w:line="11" w:lineRule="exact"/>
        <w:rPr>
          <w:sz w:val="20"/>
          <w:szCs w:val="20"/>
          <w:color w:val="auto"/>
        </w:rPr>
      </w:pPr>
    </w:p>
    <w:p>
      <w:pPr>
        <w:ind w:left="320" w:right="580" w:hanging="317"/>
        <w:spacing w:after="0" w:line="308" w:lineRule="auto"/>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option vested with respect to 25% of the shares underlying the option on February 9, 2016 and vests as to an additional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option each month thereafter through February 9,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entered into employment agreements with each of our named executive officers in connection with their employment with us. These employment agreements provide for “at will” employment.</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b w:val="1"/>
          <w:bCs w:val="1"/>
          <w:i w:val="1"/>
          <w:iCs w:val="1"/>
          <w:color w:val="auto"/>
        </w:rPr>
        <w:t xml:space="preserve">Jeffrey W. Albers. </w:t>
      </w:r>
      <w:r>
        <w:rPr>
          <w:rFonts w:ascii="Arial" w:cs="Arial" w:eastAsia="Arial" w:hAnsi="Arial"/>
          <w:sz w:val="16"/>
          <w:szCs w:val="16"/>
          <w:color w:val="auto"/>
        </w:rPr>
        <w:t>The employment agreement entitles Mr. Albers to an initial base salary of $425,000,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periodic review and adjustment. Mr. Albers is also eligible for an annual performance bonus targeted at 45% of his base salary. Mr. Albers is eligible to participate in the employee benefit plans generally available to full-time employees, subject to the terms of those plans. If Mr. Albers’ employment is terminated by us without cause (as defined in his employment agreement) or by Mr. Albers for good reason (as defined in his employment agreement), and subject to Mr. Albers’ execution of a release of potential claims against us, Mr. Albers will be entitled to receive: (i) a lump sum in cash in an amount equal to 12 months of base salary and (ii) a monthly cash payment for 12 months for medical and dental benefits or Mr. Albers’ COBRA health continuation period, whichever ends earlier. However,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sum of 18 months of Mr. Albers’ base salary then in effect plus one-and-one half times Mr. Albers’ target annual incentive compensation for the year in which the termination occurs, (ii) a monthly cash payment for 18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Christoph Lengauer. </w:t>
      </w:r>
      <w:r>
        <w:rPr>
          <w:rFonts w:ascii="Arial" w:cs="Arial" w:eastAsia="Arial" w:hAnsi="Arial"/>
          <w:sz w:val="16"/>
          <w:szCs w:val="16"/>
          <w:color w:val="auto"/>
        </w:rPr>
        <w:t>The employment agreement entitles Dr. Lengauer to an initial base salary of $415,000,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subject to periodic review and adjustment. Dr. Lengauer is also eligible for an annual performance bonus targeted at 35% of his base salary. Dr. Lengauer is eligible to participate in the employee benefit plans generally available to full-time employees, subject to the terms of those plans. If Dr. Lengauer’s employment is terminated by us without cause (as defined in his employment agreement) or by Dr. Lengauer for good reason (as defined in his employment agreement), and subject to Dr. Lengauer’s execution of a release of potential claims against us, Dr. Lengauer will be entitled to receive: (i) a lump sum in cash in an amount equal to 12 months of base salary and (ii) a monthly cash payment for 12 months for medical and dental benefits or Dr. Lengauer’s COBRA health continuation period, whichever ends earlier. However, in the event that Dr. Lengauer’s employment is terminated by us without cause, or Dr. Lengauer terminates his employment with us for good reason, in either case within 12 months following the occurrence of a sale event (as defined in his employment agreement), in lieu of the severance payments and benefits described in the preceding sentence and subject to Dr. Lengauer’s execution of a release of potential claims against us, Dr. Lengauer will be entitled to receive: (i) a lump sum in cash in an amount equal to the sum of 12 months of Dr. Lengauer’s base salary then in effect plus Dr. Lengauer’s target annual incentive compensation for the year in which the termination occurs, (ii) a monthly cash payment for 12 months for medical and dental benefits or Dr. Lengauer’s COBRA health continuation period, whichever ends earlier, and (iii) full and immediate vesting and exercisability of all time-based stock options and other time-based stock-based awards held by Dr. Lengauer.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b w:val="1"/>
          <w:bCs w:val="1"/>
          <w:i w:val="1"/>
          <w:iCs w:val="1"/>
          <w:color w:val="auto"/>
        </w:rPr>
        <w:t xml:space="preserve">Anthony L. Boral. </w:t>
      </w:r>
      <w:r>
        <w:rPr>
          <w:rFonts w:ascii="Arial" w:cs="Arial" w:eastAsia="Arial" w:hAnsi="Arial"/>
          <w:sz w:val="16"/>
          <w:szCs w:val="16"/>
          <w:color w:val="auto"/>
        </w:rPr>
        <w:t>The employment agreement entitles Dr. Boral to an initial base salary of $325,000,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periodic review and adjustment Dr. Boral is also eligible for an annual performance bonus targeted at 30% of his base salary. Dr. Boral is eligible to participate in the employee benefit plans generally available to full-time employees, subject to the terms of those plans. If Dr. Boral’s employment is terminated by us without cause (as defined in his employment agreement) or by Dr. Boral for good reason (as defined in his employment agreement), and subject to Dr. Boral’s execution of a release of potential claims against us, Dr. Boral will be entitled to receive: (i) a lump sum in cash in an amount equal to 12 months of base salary and (ii) a monthly cash payment for 12 months for medical and dental benefits or Dr. Boral’s COBRA health continuation period, whichever ends earlier. However, in the event that Dr. Boral’s employment is terminated by us without cause, or Dr. Boral terminates his employment with us for good reason, in either case within 12 months following the occurrence of a sale event (as defined in his employment agreement), in lieu of the severance payments and benefits described in the preceding sentence and subject to Dr. Boral’s execution of a release of potential claims against us, Dr. Boral will be entitled to receive: (i) a lump sum in cash in an amount equal to the sum of 12 months of Dr. Boral’s base salary then in effect plus Dr. Boral’s target annual incentive compensation for the year in which the termination occurs,</w:t>
      </w:r>
    </w:p>
    <w:p>
      <w:pPr>
        <w:spacing w:after="0" w:line="3" w:lineRule="exact"/>
        <w:rPr>
          <w:sz w:val="20"/>
          <w:szCs w:val="20"/>
          <w:color w:val="auto"/>
        </w:rPr>
      </w:pPr>
    </w:p>
    <w:p>
      <w:pPr>
        <w:jc w:val="both"/>
        <w:ind w:right="40" w:firstLine="3"/>
        <w:spacing w:after="0" w:line="255" w:lineRule="auto"/>
        <w:tabs>
          <w:tab w:leader="none" w:pos="2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monthly cash payment for 12 months for medical and dental benefits or Dr. Boral’s COBRA health continuation period, whichever ends earlier, and (iii) full and immediate vesting and exercisability of all time-based stock options and other time-based stock-based awards held by Dr. Boral.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firstLine="771"/>
        <w:spacing w:after="0" w:line="273"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spacing w:after="0" w:line="18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47"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and/or indemnified against certain liabilities incurred in their capacity as members of our board of directors.</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believe that these provisions and agreements are necessary to attract and retain qualified persons as directors and executive officers. Insofar as indemnification for liabilities arising under the Securities Act may be permitted to directors, officers or persons controlling our company pursuant, we understand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March 2015, our board of directors adopted a non-employee director compensation policy, which became effective upon the closing of our initial public offering in May 2015. Prior to that time, we did not have a formal non-employee director compensation policy. The non-employee director compensation policy is designed to provide a total compensation package that enables us to attract and retain, on a long-term basis, high caliber non-employee directors. Under the non-employee director compensation policy, our non-employee directors are compensated as follows:</w:t>
      </w:r>
    </w:p>
    <w:p>
      <w:pPr>
        <w:spacing w:after="0" w:line="173" w:lineRule="exact"/>
        <w:rPr>
          <w:sz w:val="20"/>
          <w:szCs w:val="20"/>
          <w:color w:val="auto"/>
        </w:rPr>
      </w:pPr>
    </w:p>
    <w:p>
      <w:pPr>
        <w:ind w:left="1020" w:right="100" w:hanging="53"/>
        <w:spacing w:after="0" w:line="277" w:lineRule="auto"/>
        <w:rPr>
          <w:sz w:val="20"/>
          <w:szCs w:val="20"/>
          <w:color w:val="auto"/>
        </w:rPr>
      </w:pPr>
      <w:r>
        <w:rPr>
          <w:rFonts w:ascii="Arial" w:cs="Arial" w:eastAsia="Arial" w:hAnsi="Arial"/>
          <w:sz w:val="18"/>
          <w:szCs w:val="18"/>
          <w:color w:val="auto"/>
        </w:rPr>
        <w:t>·each non-employee director will receive an annual cash fee of $35,000 ($65,000 for the chairman of the board of directors);</w:t>
      </w:r>
    </w:p>
    <w:p>
      <w:pPr>
        <w:spacing w:after="0" w:line="170" w:lineRule="exact"/>
        <w:rPr>
          <w:sz w:val="20"/>
          <w:szCs w:val="20"/>
          <w:color w:val="auto"/>
        </w:rPr>
      </w:pPr>
    </w:p>
    <w:p>
      <w:pPr>
        <w:ind w:left="1020" w:right="40" w:hanging="53"/>
        <w:spacing w:after="0" w:line="277" w:lineRule="auto"/>
        <w:rPr>
          <w:sz w:val="20"/>
          <w:szCs w:val="20"/>
          <w:color w:val="auto"/>
        </w:rPr>
      </w:pPr>
      <w:r>
        <w:rPr>
          <w:rFonts w:ascii="Arial" w:cs="Arial" w:eastAsia="Arial" w:hAnsi="Arial"/>
          <w:sz w:val="18"/>
          <w:szCs w:val="18"/>
          <w:color w:val="auto"/>
        </w:rPr>
        <w:t>·each non-employee director who is a member of the audit committee will receive an additional annual cash fee of $7,500 ($15,000 for the audit committee chairman);</w:t>
      </w:r>
    </w:p>
    <w:p>
      <w:pPr>
        <w:spacing w:after="0" w:line="170" w:lineRule="exact"/>
        <w:rPr>
          <w:sz w:val="20"/>
          <w:szCs w:val="20"/>
          <w:color w:val="auto"/>
        </w:rPr>
      </w:pPr>
    </w:p>
    <w:p>
      <w:pPr>
        <w:ind w:left="1020" w:right="40" w:hanging="53"/>
        <w:spacing w:after="0" w:line="277" w:lineRule="auto"/>
        <w:rPr>
          <w:sz w:val="20"/>
          <w:szCs w:val="20"/>
          <w:color w:val="auto"/>
        </w:rPr>
      </w:pPr>
      <w:r>
        <w:rPr>
          <w:rFonts w:ascii="Arial" w:cs="Arial" w:eastAsia="Arial" w:hAnsi="Arial"/>
          <w:sz w:val="18"/>
          <w:szCs w:val="18"/>
          <w:color w:val="auto"/>
        </w:rPr>
        <w:t>·each non-employee director who is a member of the compensation committee will receive an additional annual cash fee of $5,000 ($10,000 for the compensation committee chairman);</w:t>
      </w:r>
    </w:p>
    <w:p>
      <w:pPr>
        <w:spacing w:after="0" w:line="170" w:lineRule="exact"/>
        <w:rPr>
          <w:sz w:val="20"/>
          <w:szCs w:val="20"/>
          <w:color w:val="auto"/>
        </w:rPr>
      </w:pPr>
    </w:p>
    <w:p>
      <w:pPr>
        <w:ind w:left="1020" w:right="380" w:hanging="53"/>
        <w:spacing w:after="0" w:line="264" w:lineRule="auto"/>
        <w:rPr>
          <w:sz w:val="20"/>
          <w:szCs w:val="20"/>
          <w:color w:val="auto"/>
        </w:rPr>
      </w:pPr>
      <w:r>
        <w:rPr>
          <w:rFonts w:ascii="Arial" w:cs="Arial" w:eastAsia="Arial" w:hAnsi="Arial"/>
          <w:sz w:val="18"/>
          <w:szCs w:val="18"/>
          <w:color w:val="auto"/>
        </w:rPr>
        <w:t>·each non-employee director who is a member of the nominating and corporate governance committee will receive an additional annual cash fee of $3,500 ($7,500 for the nominating and corporate governance committee chairman);</w:t>
      </w:r>
    </w:p>
    <w:p>
      <w:pPr>
        <w:spacing w:after="0" w:line="181" w:lineRule="exact"/>
        <w:rPr>
          <w:sz w:val="20"/>
          <w:szCs w:val="20"/>
          <w:color w:val="auto"/>
        </w:rPr>
      </w:pPr>
    </w:p>
    <w:p>
      <w:pPr>
        <w:ind w:left="1020" w:right="440" w:hanging="53"/>
        <w:spacing w:after="0" w:line="342" w:lineRule="auto"/>
        <w:rPr>
          <w:sz w:val="20"/>
          <w:szCs w:val="20"/>
          <w:color w:val="auto"/>
        </w:rPr>
      </w:pPr>
      <w:r>
        <w:rPr>
          <w:rFonts w:ascii="Arial" w:cs="Arial" w:eastAsia="Arial" w:hAnsi="Arial"/>
          <w:sz w:val="16"/>
          <w:szCs w:val="16"/>
          <w:color w:val="auto"/>
        </w:rPr>
        <w:t>·each non-employee director who is a member of the research and development committee will receive an additional annual cash fee of $5,000 ($10,000 for the research and development committee chairman);</w:t>
      </w:r>
    </w:p>
    <w:p>
      <w:pPr>
        <w:spacing w:after="0" w:line="124" w:lineRule="exact"/>
        <w:rPr>
          <w:sz w:val="20"/>
          <w:szCs w:val="20"/>
          <w:color w:val="auto"/>
        </w:rPr>
      </w:pPr>
    </w:p>
    <w:p>
      <w:pPr>
        <w:ind w:left="1020" w:right="80" w:hanging="53"/>
        <w:spacing w:after="0" w:line="264" w:lineRule="auto"/>
        <w:rPr>
          <w:sz w:val="20"/>
          <w:szCs w:val="20"/>
          <w:color w:val="auto"/>
        </w:rPr>
      </w:pPr>
      <w:r>
        <w:rPr>
          <w:rFonts w:ascii="Arial" w:cs="Arial" w:eastAsia="Arial" w:hAnsi="Arial"/>
          <w:sz w:val="18"/>
          <w:szCs w:val="18"/>
          <w:color w:val="auto"/>
        </w:rPr>
        <w:t>·each new non-employee director will receive an initial grant of an option under our 2015 Stock Option and Incentive Plan, or the 2015 Plan, to purchase 21,818 shares of common stock upon his or her initial election to our board of directors; and</w:t>
      </w:r>
    </w:p>
    <w:p>
      <w:pPr>
        <w:spacing w:after="0" w:line="181" w:lineRule="exact"/>
        <w:rPr>
          <w:sz w:val="20"/>
          <w:szCs w:val="20"/>
          <w:color w:val="auto"/>
        </w:rPr>
      </w:pPr>
    </w:p>
    <w:p>
      <w:pPr>
        <w:ind w:left="1020" w:right="140" w:hanging="53"/>
        <w:spacing w:after="0" w:line="264" w:lineRule="auto"/>
        <w:rPr>
          <w:sz w:val="20"/>
          <w:szCs w:val="20"/>
          <w:color w:val="auto"/>
        </w:rPr>
      </w:pPr>
      <w:r>
        <w:rPr>
          <w:rFonts w:ascii="Arial" w:cs="Arial" w:eastAsia="Arial" w:hAnsi="Arial"/>
          <w:sz w:val="18"/>
          <w:szCs w:val="18"/>
          <w:color w:val="auto"/>
        </w:rPr>
        <w:t>·each non-employee director will receive an annual grant of an option under our 2015 Plan to purchase 10,909 shares of common stock on the date of the first meeting of our board of directors held after each annual meeting of our stockholders.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stock options granted to our non-employee directors will have an exercise price equal to the fair market value of our common stock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annual stock options granted to our non-employee directors will vest in full upon the earlier of the first anniversary of the date of grant or the date of the following annual meeting of stockholders, subject to such director’s continued service on the board of directors. Any initial stock options and annual stock options granted to each of our non-employee directors will automatically accelerate and become fully vested and exercisable upon the non-employee director’s death or disability or upon a sale event (as defined in the 2015 Plan). In addition, each non-employee director has the right to elect to receive all or a portion of his or her annual cash compensation under the non-employee director compensation policy in the form of stock options to purchase our common stock. Any such election must be made before the start of our fiscal year. Any such stock options will vest quarterly over a one-year period, subject to the director’s continued service on the board of directors.</w:t>
      </w:r>
    </w:p>
    <w:p>
      <w:pPr>
        <w:spacing w:after="0" w:line="18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spacing w:after="0" w:line="16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Each non-employee director is also entitled to reimbursement for reasonable travel and other expenses incurred in connection with attending meetings of the board of directors and any committee on which he or she serves.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sets forth a summary of the compensation for our non-employee directors during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Fees Earned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or Paid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174"/>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in Cash ($)</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Name(1)</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30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Alexis Borisy</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George D. Demetri, M.D.</w:t>
            </w:r>
          </w:p>
        </w:tc>
        <w:tc>
          <w:tcPr>
            <w:tcW w:w="780" w:type="dxa"/>
            <w:vAlign w:val="bottom"/>
          </w:tcPr>
          <w:p>
            <w:pPr>
              <w:jc w:val="right"/>
              <w:spacing w:after="0"/>
              <w:rPr>
                <w:sz w:val="20"/>
                <w:szCs w:val="20"/>
                <w:color w:val="auto"/>
              </w:rPr>
            </w:pPr>
            <w:r>
              <w:rPr>
                <w:rFonts w:ascii="Arial" w:cs="Arial" w:eastAsia="Arial" w:hAnsi="Arial"/>
                <w:sz w:val="18"/>
                <w:szCs w:val="18"/>
                <w:color w:val="auto"/>
              </w:rPr>
              <w:t>41,947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167,163</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19,444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1"/>
              </w:rPr>
              <w:t>(5)</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228,554</w:t>
            </w:r>
          </w:p>
        </w:tc>
        <w:tc>
          <w:tcPr>
            <w:tcW w:w="6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Goldberg, M.D. (6)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425,846</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449,096</w:t>
            </w:r>
          </w:p>
        </w:tc>
        <w:tc>
          <w:tcPr>
            <w:tcW w:w="6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Nick Lydon, Ph.D.</w:t>
            </w:r>
          </w:p>
        </w:tc>
        <w:tc>
          <w:tcPr>
            <w:tcW w:w="780" w:type="dxa"/>
            <w:vAlign w:val="bottom"/>
          </w:tcPr>
          <w:p>
            <w:pPr>
              <w:jc w:val="right"/>
              <w:spacing w:after="0"/>
              <w:rPr>
                <w:sz w:val="20"/>
                <w:szCs w:val="20"/>
                <w:color w:val="auto"/>
              </w:rPr>
            </w:pPr>
            <w:r>
              <w:rPr>
                <w:rFonts w:ascii="Arial" w:cs="Arial" w:eastAsia="Arial" w:hAnsi="Arial"/>
                <w:sz w:val="18"/>
                <w:szCs w:val="18"/>
                <w:color w:val="auto"/>
              </w:rPr>
              <w:t>47,809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1"/>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64,059</w:t>
            </w:r>
          </w:p>
        </w:tc>
        <w:tc>
          <w:tcPr>
            <w:tcW w:w="6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Lynch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1"/>
              </w:rPr>
              <w:t>(9)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81,949</w:t>
            </w:r>
          </w:p>
        </w:tc>
        <w:tc>
          <w:tcPr>
            <w:tcW w:w="6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Charles A. Rowland, Jr. (10)</w:t>
            </w:r>
          </w:p>
        </w:tc>
        <w:tc>
          <w:tcPr>
            <w:tcW w:w="780" w:type="dxa"/>
            <w:vAlign w:val="bottom"/>
          </w:tcPr>
          <w:p>
            <w:pPr>
              <w:jc w:val="right"/>
              <w:spacing w:after="0"/>
              <w:rPr>
                <w:sz w:val="20"/>
                <w:szCs w:val="20"/>
                <w:color w:val="auto"/>
              </w:rPr>
            </w:pPr>
            <w:r>
              <w:rPr>
                <w:rFonts w:ascii="Arial" w:cs="Arial" w:eastAsia="Arial" w:hAnsi="Arial"/>
                <w:sz w:val="18"/>
                <w:szCs w:val="18"/>
                <w:color w:val="auto"/>
              </w:rPr>
              <w:t>46,825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139,559</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(11)</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186,384</w:t>
            </w:r>
          </w:p>
        </w:tc>
        <w:tc>
          <w:tcPr>
            <w:tcW w:w="6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Lonnel Coats (12)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Lynn Seely, M.D. (13)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220" w:right="380" w:hanging="215"/>
        <w:spacing w:after="0" w:line="297" w:lineRule="auto"/>
        <w:rPr>
          <w:sz w:val="20"/>
          <w:szCs w:val="20"/>
          <w:color w:val="auto"/>
        </w:rPr>
      </w:pPr>
      <w:r>
        <w:rPr>
          <w:rFonts w:ascii="Arial" w:cs="Arial" w:eastAsia="Arial" w:hAnsi="Arial"/>
          <w:sz w:val="16"/>
          <w:szCs w:val="16"/>
          <w:color w:val="auto"/>
        </w:rPr>
        <w:t>(1)Mr. Albers, our president and chief executive officer, does not receive any compensation for his service as a director. David Schenkein, M.D. was a member of our board of directors until his voluntary resignation in February 2015, and Thilo Schroeder, Ph.D. and Stephen C. Knight, M.D. were members of our board of directors until their voluntary resignations from our board of directors in April 2015 in connection with our initial public offering. Drs. Schenkein, Schroeder and Knight did not earn any compensation for their services as members of our board of directors in 2015.</w:t>
      </w:r>
    </w:p>
    <w:p>
      <w:pPr>
        <w:spacing w:after="0" w:line="23" w:lineRule="exact"/>
        <w:rPr>
          <w:sz w:val="20"/>
          <w:szCs w:val="20"/>
          <w:color w:val="auto"/>
        </w:rPr>
      </w:pPr>
    </w:p>
    <w:p>
      <w:pPr>
        <w:ind w:left="220" w:right="200" w:hanging="215"/>
        <w:spacing w:after="0" w:line="277" w:lineRule="auto"/>
        <w:rPr>
          <w:sz w:val="20"/>
          <w:szCs w:val="20"/>
          <w:color w:val="auto"/>
        </w:rPr>
      </w:pPr>
      <w:r>
        <w:rPr>
          <w:rFonts w:ascii="Arial" w:cs="Arial" w:eastAsia="Arial" w:hAnsi="Arial"/>
          <w:sz w:val="18"/>
          <w:szCs w:val="18"/>
          <w:color w:val="auto"/>
        </w:rPr>
        <w:t>(2)Amounts represent cash compensation for services rendered by each member of our board of directors for their services on our board of directors or a committee thereof.</w:t>
      </w:r>
    </w:p>
    <w:p>
      <w:pPr>
        <w:spacing w:after="0" w:line="35" w:lineRule="exact"/>
        <w:rPr>
          <w:sz w:val="20"/>
          <w:szCs w:val="20"/>
          <w:color w:val="auto"/>
        </w:rPr>
      </w:pPr>
    </w:p>
    <w:p>
      <w:pPr>
        <w:ind w:left="220" w:right="80" w:hanging="215"/>
        <w:spacing w:after="0" w:line="312" w:lineRule="auto"/>
        <w:rPr>
          <w:sz w:val="20"/>
          <w:szCs w:val="20"/>
          <w:color w:val="auto"/>
        </w:rPr>
      </w:pPr>
      <w:r>
        <w:rPr>
          <w:rFonts w:ascii="Arial" w:cs="Arial" w:eastAsia="Arial" w:hAnsi="Arial"/>
          <w:sz w:val="16"/>
          <w:szCs w:val="16"/>
          <w:color w:val="auto"/>
        </w:rPr>
        <w:t>(3)These amounts represent the aggregate grant date fair value of awards granted to our directors in 2015, computed in accordance with FASB ASC Topic 718. See Note 9 to the audited consolidated financial statements in our Annual Report on Form 10-K for the year ended December 31, 2015 regarding assumptions underlying the valuation of equity awards.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(4) As of December 31, 2015, Dr. Demetri held options to purchase 35,453 shares of our common stock.</w:t>
      </w:r>
    </w:p>
    <w:p>
      <w:pPr>
        <w:spacing w:after="0" w:line="90" w:lineRule="exact"/>
        <w:rPr>
          <w:sz w:val="20"/>
          <w:szCs w:val="20"/>
          <w:color w:val="auto"/>
        </w:rPr>
      </w:pPr>
    </w:p>
    <w:p>
      <w:pPr>
        <w:ind w:left="220" w:right="100" w:hanging="215"/>
        <w:spacing w:after="0" w:line="277" w:lineRule="auto"/>
        <w:rPr>
          <w:sz w:val="20"/>
          <w:szCs w:val="20"/>
          <w:color w:val="auto"/>
        </w:rPr>
      </w:pPr>
      <w:r>
        <w:rPr>
          <w:rFonts w:ascii="Arial" w:cs="Arial" w:eastAsia="Arial" w:hAnsi="Arial"/>
          <w:sz w:val="18"/>
          <w:szCs w:val="18"/>
          <w:color w:val="auto"/>
        </w:rPr>
        <w:t>(5)Amount represents payments for services rendered as an advisor during the three months ended March 31, 2015 pursuant to an advisory agreement.</w:t>
      </w:r>
    </w:p>
    <w:p>
      <w:pPr>
        <w:spacing w:after="0" w:line="35" w:lineRule="exact"/>
        <w:rPr>
          <w:sz w:val="20"/>
          <w:szCs w:val="20"/>
          <w:color w:val="auto"/>
        </w:rPr>
      </w:pPr>
    </w:p>
    <w:p>
      <w:pPr>
        <w:ind w:left="400" w:hanging="397"/>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Dr. Goldberg was elected to our board of directors in June 2015.</w:t>
      </w:r>
    </w:p>
    <w:p>
      <w:pPr>
        <w:spacing w:after="0" w:line="90" w:lineRule="exact"/>
        <w:rPr>
          <w:rFonts w:ascii="Arial" w:cs="Arial" w:eastAsia="Arial" w:hAnsi="Arial"/>
          <w:sz w:val="18"/>
          <w:szCs w:val="18"/>
          <w:color w:val="auto"/>
        </w:rPr>
      </w:pPr>
    </w:p>
    <w:p>
      <w:pPr>
        <w:ind w:left="260" w:hanging="257"/>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2015, Dr. Goldberg held options to purchase 21,818 shares of our common stock.</w:t>
      </w:r>
    </w:p>
    <w:p>
      <w:pPr>
        <w:spacing w:after="0" w:line="90" w:lineRule="exact"/>
        <w:rPr>
          <w:sz w:val="20"/>
          <w:szCs w:val="20"/>
          <w:color w:val="auto"/>
        </w:rPr>
      </w:pPr>
    </w:p>
    <w:p>
      <w:pPr>
        <w:ind w:left="220" w:right="640" w:hanging="215"/>
        <w:spacing w:after="0" w:line="277" w:lineRule="auto"/>
        <w:rPr>
          <w:sz w:val="20"/>
          <w:szCs w:val="20"/>
          <w:color w:val="auto"/>
        </w:rPr>
      </w:pPr>
      <w:r>
        <w:rPr>
          <w:rFonts w:ascii="Arial" w:cs="Arial" w:eastAsia="Arial" w:hAnsi="Arial"/>
          <w:sz w:val="18"/>
          <w:szCs w:val="18"/>
          <w:color w:val="auto"/>
        </w:rPr>
        <w:t>(8)Amount represents payments for services rendered as a consultant during the three months ended March 31, 2015 pursuant to a consulting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(9)Amount represents payments for services rendered as a director and a consultant during the three months ended March 31,</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2015 pursuant to a consulting agreement.</w:t>
      </w:r>
    </w:p>
    <w:p>
      <w:pPr>
        <w:spacing w:after="0" w:line="76" w:lineRule="exact"/>
        <w:rPr>
          <w:sz w:val="20"/>
          <w:szCs w:val="20"/>
          <w:color w:val="auto"/>
        </w:rPr>
      </w:pPr>
    </w:p>
    <w:p>
      <w:pPr>
        <w:ind w:left="540" w:hanging="537"/>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Rowland was elected to our board of directors in March 2015.</w:t>
      </w:r>
    </w:p>
    <w:p>
      <w:pPr>
        <w:spacing w:after="0" w:line="90" w:lineRule="exact"/>
        <w:rPr>
          <w:rFonts w:ascii="Arial" w:cs="Arial" w:eastAsia="Arial" w:hAnsi="Arial"/>
          <w:sz w:val="18"/>
          <w:szCs w:val="18"/>
          <w:color w:val="auto"/>
        </w:rPr>
      </w:pPr>
    </w:p>
    <w:p>
      <w:pPr>
        <w:ind w:left="360" w:hanging="357"/>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December 31, 2015, Mr. Rowland held options to purchase 21,818 shares of our common stock.</w:t>
      </w:r>
    </w:p>
    <w:p>
      <w:pPr>
        <w:spacing w:after="0" w:line="90" w:lineRule="exact"/>
        <w:rPr>
          <w:rFonts w:ascii="Arial" w:cs="Arial" w:eastAsia="Arial" w:hAnsi="Arial"/>
          <w:sz w:val="18"/>
          <w:szCs w:val="18"/>
          <w:color w:val="auto"/>
        </w:rPr>
      </w:pPr>
    </w:p>
    <w:p>
      <w:pPr>
        <w:ind w:left="560" w:hanging="557"/>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Coats was elected to our board of directors in February 2016.</w:t>
      </w:r>
    </w:p>
    <w:p>
      <w:pPr>
        <w:spacing w:after="0" w:line="90" w:lineRule="exact"/>
        <w:rPr>
          <w:rFonts w:ascii="Arial" w:cs="Arial" w:eastAsia="Arial" w:hAnsi="Arial"/>
          <w:sz w:val="18"/>
          <w:szCs w:val="18"/>
          <w:color w:val="auto"/>
        </w:rPr>
      </w:pPr>
    </w:p>
    <w:p>
      <w:pPr>
        <w:ind w:left="600" w:hanging="597"/>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Dr. Seely was elected to our board of directors in April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 provides information about the securities authorized for issuance under our equity compensation plans as of December 31, 2015. As of December 31, 2015, we had three equity compensation plans, each of which was approved by our stockholders: the 2011 Stock Option and Grant Plan, as amended, or 2011 Plan, the 2015 Plan and the 2015 Employee Stock Purchase Plan, or 2015 ESPP.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1"/>
              </w:rPr>
              <w:t>Number of securities</w:t>
            </w:r>
          </w:p>
        </w:tc>
      </w:tr>
      <w:tr>
        <w:trPr>
          <w:trHeight w:val="162"/>
        </w:trPr>
        <w:tc>
          <w:tcPr>
            <w:tcW w:w="2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to be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2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issued upon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1"/>
              </w:rPr>
              <w:t>future issuance under</w:t>
            </w:r>
          </w:p>
        </w:tc>
      </w:tr>
      <w:tr>
        <w:trPr>
          <w:trHeight w:val="162"/>
        </w:trPr>
        <w:tc>
          <w:tcPr>
            <w:tcW w:w="2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of</w:t>
            </w:r>
          </w:p>
        </w:tc>
        <w:tc>
          <w:tcPr>
            <w:tcW w:w="160" w:type="dxa"/>
            <w:vAlign w:val="bottom"/>
          </w:tcPr>
          <w:p>
            <w:pPr>
              <w:spacing w:after="0"/>
              <w:rPr>
                <w:sz w:val="14"/>
                <w:szCs w:val="1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9"/>
              </w:rPr>
              <w:t>equity compensation</w:t>
            </w:r>
          </w:p>
        </w:tc>
      </w:tr>
      <w:tr>
        <w:trPr>
          <w:trHeight w:val="162"/>
        </w:trPr>
        <w:tc>
          <w:tcPr>
            <w:tcW w:w="2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 price of</w:t>
            </w:r>
          </w:p>
        </w:tc>
        <w:tc>
          <w:tcPr>
            <w:tcW w:w="16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plans (excluding</w:t>
            </w:r>
          </w:p>
        </w:tc>
      </w:tr>
      <w:tr>
        <w:trPr>
          <w:trHeight w:val="162"/>
        </w:trPr>
        <w:tc>
          <w:tcPr>
            <w:tcW w:w="2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warrants</w:t>
            </w:r>
          </w:p>
        </w:tc>
        <w:tc>
          <w:tcPr>
            <w:tcW w:w="1560" w:type="dxa"/>
            <w:vAlign w:val="bottom"/>
            <w:gridSpan w:val="4"/>
          </w:tcPr>
          <w:p>
            <w:pPr>
              <w:ind w:left="160"/>
              <w:spacing w:after="0"/>
              <w:rPr>
                <w:sz w:val="20"/>
                <w:szCs w:val="20"/>
                <w:color w:val="auto"/>
              </w:rPr>
            </w:pPr>
            <w:r>
              <w:rPr>
                <w:rFonts w:ascii="Arial" w:cs="Arial" w:eastAsia="Arial" w:hAnsi="Arial"/>
                <w:sz w:val="14"/>
                <w:szCs w:val="14"/>
                <w:b w:val="1"/>
                <w:bCs w:val="1"/>
                <w:color w:val="auto"/>
                <w:w w:val="99"/>
              </w:rPr>
              <w:t>outstanding options,</w:t>
            </w:r>
          </w:p>
        </w:tc>
        <w:tc>
          <w:tcPr>
            <w:tcW w:w="16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0"/>
              </w:rPr>
              <w:t>securities reflected in</w:t>
            </w:r>
          </w:p>
        </w:tc>
      </w:tr>
      <w:tr>
        <w:trPr>
          <w:trHeight w:val="185"/>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60" w:type="dxa"/>
            <w:vAlign w:val="bottom"/>
          </w:tcPr>
          <w:p>
            <w:pPr>
              <w:spacing w:after="0"/>
              <w:rPr>
                <w:sz w:val="16"/>
                <w:szCs w:val="16"/>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warrants and rights</w:t>
            </w:r>
          </w:p>
        </w:tc>
        <w:tc>
          <w:tcPr>
            <w:tcW w:w="16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column (a)) (1)</w:t>
            </w:r>
          </w:p>
        </w:tc>
        <w:tc>
          <w:tcPr>
            <w:tcW w:w="220" w:type="dxa"/>
            <w:vAlign w:val="bottom"/>
          </w:tcPr>
          <w:p>
            <w:pPr>
              <w:spacing w:after="0"/>
              <w:rPr>
                <w:sz w:val="16"/>
                <w:szCs w:val="16"/>
                <w:color w:val="auto"/>
              </w:rPr>
            </w:pPr>
          </w:p>
        </w:tc>
      </w:tr>
      <w:tr>
        <w:trPr>
          <w:trHeight w:val="210"/>
        </w:trPr>
        <w:tc>
          <w:tcPr>
            <w:tcW w:w="2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500"/>
              <w:spacing w:after="0"/>
              <w:rPr>
                <w:sz w:val="20"/>
                <w:szCs w:val="20"/>
                <w:color w:val="auto"/>
              </w:rPr>
            </w:pPr>
            <w:r>
              <w:rPr>
                <w:rFonts w:ascii="Arial" w:cs="Arial" w:eastAsia="Arial" w:hAnsi="Arial"/>
                <w:sz w:val="14"/>
                <w:szCs w:val="14"/>
                <w:color w:val="auto"/>
              </w:rPr>
              <w:t>(b)</w:t>
            </w:r>
          </w:p>
        </w:tc>
        <w:tc>
          <w:tcPr>
            <w:tcW w:w="1660" w:type="dxa"/>
            <w:vAlign w:val="bottom"/>
            <w:gridSpan w:val="2"/>
          </w:tcPr>
          <w:p>
            <w:pPr>
              <w:jc w:val="center"/>
              <w:ind w:right="130"/>
              <w:spacing w:after="0"/>
              <w:rPr>
                <w:sz w:val="20"/>
                <w:szCs w:val="20"/>
                <w:color w:val="auto"/>
              </w:rPr>
            </w:pPr>
            <w:r>
              <w:rPr>
                <w:rFonts w:ascii="Arial" w:cs="Arial" w:eastAsia="Arial" w:hAnsi="Arial"/>
                <w:sz w:val="14"/>
                <w:szCs w:val="14"/>
                <w:color w:val="auto"/>
                <w:w w:val="97"/>
              </w:rPr>
              <w:t>(c)</w:t>
            </w: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1,802,802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1,683,064</w:t>
            </w:r>
          </w:p>
        </w:tc>
        <w:tc>
          <w:tcPr>
            <w:tcW w:w="220" w:type="dxa"/>
            <w:vAlign w:val="bottom"/>
            <w:shd w:val="clear" w:color="auto" w:fill="CCEEFF"/>
          </w:tcPr>
          <w:p>
            <w:pPr>
              <w:spacing w:after="0"/>
              <w:rPr>
                <w:sz w:val="18"/>
                <w:szCs w:val="18"/>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r>
      <w:tr>
        <w:trPr>
          <w:trHeight w:val="210"/>
        </w:trPr>
        <w:tc>
          <w:tcPr>
            <w:tcW w:w="460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1,683,064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r>
      <w:tr>
        <w:trPr>
          <w:trHeight w:val="108"/>
        </w:trPr>
        <w:tc>
          <w:tcPr>
            <w:tcW w:w="228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94" w:lineRule="exact"/>
        <w:rPr>
          <w:sz w:val="20"/>
          <w:szCs w:val="20"/>
          <w:color w:val="auto"/>
        </w:rPr>
      </w:pPr>
    </w:p>
    <w:p>
      <w:pPr>
        <w:ind w:left="220" w:right="440" w:hanging="215"/>
        <w:spacing w:after="0" w:line="264" w:lineRule="auto"/>
        <w:rPr>
          <w:sz w:val="20"/>
          <w:szCs w:val="20"/>
          <w:color w:val="auto"/>
        </w:rPr>
      </w:pPr>
      <w:r>
        <w:rPr>
          <w:rFonts w:ascii="Arial" w:cs="Arial" w:eastAsia="Arial" w:hAnsi="Arial"/>
          <w:sz w:val="18"/>
          <w:szCs w:val="18"/>
          <w:color w:val="auto"/>
        </w:rPr>
        <w:t>(1)As of December 31, 2015, (i) 1,439,717 shares remained available for future issuance under our 2015 Plan and (ii) 243,347 shares remained available for future issuance under our 2015 ESPP. No shares remained available for future issuance under the 2011 Plan as of December 31, 2015.</w:t>
      </w:r>
    </w:p>
    <w:p>
      <w:pPr>
        <w:spacing w:after="0" w:line="46" w:lineRule="exact"/>
        <w:rPr>
          <w:sz w:val="20"/>
          <w:szCs w:val="20"/>
          <w:color w:val="auto"/>
        </w:rPr>
      </w:pPr>
    </w:p>
    <w:p>
      <w:pPr>
        <w:ind w:left="220" w:right="20" w:hanging="215"/>
        <w:spacing w:after="0" w:line="271" w:lineRule="auto"/>
        <w:rPr>
          <w:sz w:val="20"/>
          <w:szCs w:val="20"/>
          <w:color w:val="auto"/>
        </w:rPr>
      </w:pPr>
      <w:r>
        <w:rPr>
          <w:rFonts w:ascii="Arial" w:cs="Arial" w:eastAsia="Arial" w:hAnsi="Arial"/>
          <w:sz w:val="17"/>
          <w:szCs w:val="17"/>
          <w:color w:val="auto"/>
        </w:rPr>
        <w:t>(2)Our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of our board of directors.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audit committee has reviewed our audited consolidated financial statements for the fiscal year ended December 31, 2015 and discussed them with our management and our independent registered public accounting firm, Ernst &amp; Young LLP.</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audit committee has also received from, and discussed with, Ernst &amp; Young LLP various communications that Ernst &amp; Young LLP is required to provide to our audit committee, including the matters required to be discussed by the statement on Auditing Standards No. 16, “Communication with Audit Committees,” as adopted by the Public Company Accounting Oversight Board.</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Based on the review and discussions referred to above, our audit committee recommended to our board of directors that the audited consolidated financial statements be included in our Annual Report on Form 10-K for the year ended December 31,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audit committee of the board of directors of Blueprint Medicines Corporation.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Charles A. Rowland, Jr., Chair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Lonnel Coats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Mark Goldberg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MATTERS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right="179" w:firstLine="648"/>
        <w:spacing w:after="0" w:line="312" w:lineRule="auto"/>
        <w:rPr>
          <w:sz w:val="20"/>
          <w:szCs w:val="20"/>
          <w:color w:val="auto"/>
        </w:rPr>
      </w:pPr>
      <w:r>
        <w:rPr>
          <w:rFonts w:ascii="Arial" w:cs="Arial" w:eastAsia="Arial" w:hAnsi="Arial"/>
          <w:sz w:val="16"/>
          <w:szCs w:val="16"/>
          <w:color w:val="auto"/>
        </w:rPr>
        <w:t>Our certificate of incorporation provides for a classified board of directors. This means our board of directors is divided into three classes, with each class having as nearly as possible an equal number of directors. The term of service of each class of directors is staggered so that the term of one class expires at each annual meeting of the stockholders.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currently consists of nine members, divided into three classes as follows:</w:t>
      </w:r>
    </w:p>
    <w:p>
      <w:pPr>
        <w:spacing w:after="0" w:line="225" w:lineRule="exact"/>
        <w:rPr>
          <w:sz w:val="20"/>
          <w:szCs w:val="20"/>
          <w:color w:val="auto"/>
        </w:rPr>
      </w:pPr>
    </w:p>
    <w:p>
      <w:pPr>
        <w:ind w:left="1020" w:right="99" w:hanging="53"/>
        <w:spacing w:after="0" w:line="277" w:lineRule="auto"/>
        <w:rPr>
          <w:sz w:val="20"/>
          <w:szCs w:val="20"/>
          <w:color w:val="auto"/>
        </w:rPr>
      </w:pPr>
      <w:r>
        <w:rPr>
          <w:rFonts w:ascii="Arial" w:cs="Arial" w:eastAsia="Arial" w:hAnsi="Arial"/>
          <w:sz w:val="18"/>
          <w:szCs w:val="18"/>
          <w:color w:val="auto"/>
        </w:rPr>
        <w:t>·Class I is comprised of Jeffrey W. Albers, Mark Goldberg, M.D. and Nicholas Lydon, Ph.D., each with a term ending at this annual meeting of stockholders;</w:t>
      </w:r>
    </w:p>
    <w:p>
      <w:pPr>
        <w:spacing w:after="0" w:line="170" w:lineRule="exact"/>
        <w:rPr>
          <w:sz w:val="20"/>
          <w:szCs w:val="20"/>
          <w:color w:val="auto"/>
        </w:rPr>
      </w:pPr>
    </w:p>
    <w:p>
      <w:pPr>
        <w:ind w:left="1020" w:right="159" w:hanging="53"/>
        <w:spacing w:after="0" w:line="277" w:lineRule="auto"/>
        <w:rPr>
          <w:sz w:val="20"/>
          <w:szCs w:val="20"/>
          <w:color w:val="auto"/>
        </w:rPr>
      </w:pPr>
      <w:r>
        <w:rPr>
          <w:rFonts w:ascii="Arial" w:cs="Arial" w:eastAsia="Arial" w:hAnsi="Arial"/>
          <w:sz w:val="18"/>
          <w:szCs w:val="18"/>
          <w:color w:val="auto"/>
        </w:rPr>
        <w:t>·Class II is comprised of Alexis Borisy, Charles A. Rowland, Jr. and Lonnel Coats, each with a term ending at the 2017 annual meeting of stockholders; and</w:t>
      </w:r>
    </w:p>
    <w:p>
      <w:pPr>
        <w:spacing w:after="0" w:line="170" w:lineRule="exact"/>
        <w:rPr>
          <w:sz w:val="20"/>
          <w:szCs w:val="20"/>
          <w:color w:val="auto"/>
        </w:rPr>
      </w:pPr>
    </w:p>
    <w:p>
      <w:pPr>
        <w:ind w:left="1020" w:right="179" w:hanging="53"/>
        <w:spacing w:after="0" w:line="277" w:lineRule="auto"/>
        <w:rPr>
          <w:sz w:val="20"/>
          <w:szCs w:val="20"/>
          <w:color w:val="auto"/>
        </w:rPr>
      </w:pPr>
      <w:r>
        <w:rPr>
          <w:rFonts w:ascii="Arial" w:cs="Arial" w:eastAsia="Arial" w:hAnsi="Arial"/>
          <w:sz w:val="18"/>
          <w:szCs w:val="18"/>
          <w:color w:val="auto"/>
        </w:rPr>
        <w:t>·Class III is comprised of Daniel S. Lynch, George D. Demetri, M.D. and Lynn Seely, M.D., each with a term ending at the 2018 annual meeting of stockholders.</w:t>
      </w:r>
    </w:p>
    <w:p>
      <w:pPr>
        <w:spacing w:after="0" w:line="170"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At each annual meeting of stockholders, directors are elected for a full term of three years to succeed those directors whose terms are expiring. Our board of directors, on the recommendation of our nominating and corporate governance committee, has nominated Jeffrey W. Albers, Mark Goldberg, M.D. and Nicholas Lydon, Ph.D. for re-election as Class I directors, each with a term ending at the 2019 annual meeting of stockholders.</w:t>
      </w:r>
    </w:p>
    <w:p>
      <w:pPr>
        <w:spacing w:after="0" w:line="187" w:lineRule="exact"/>
        <w:rPr>
          <w:sz w:val="20"/>
          <w:szCs w:val="20"/>
          <w:color w:val="auto"/>
        </w:rPr>
      </w:pPr>
    </w:p>
    <w:p>
      <w:pPr>
        <w:ind w:right="59" w:firstLine="648"/>
        <w:spacing w:after="0" w:line="273" w:lineRule="auto"/>
        <w:rPr>
          <w:sz w:val="20"/>
          <w:szCs w:val="20"/>
          <w:color w:val="auto"/>
        </w:rPr>
      </w:pPr>
      <w:r>
        <w:rPr>
          <w:rFonts w:ascii="Arial" w:cs="Arial" w:eastAsia="Arial" w:hAnsi="Arial"/>
          <w:sz w:val="17"/>
          <w:szCs w:val="17"/>
          <w:color w:val="auto"/>
        </w:rPr>
        <w:t>Unless otherwise instructed in the proxy, all proxies will be voted “FOR” the election of all of the Class I nominees identified above to a three-year term ending at the 2019 annual meeting of stockholders, each such nominee to hold office until his successor has been duly elected and qualified. Each of the nominees has indicated a willingness to continue to serve as director, if elected. In the event that any nominee should be unable to serve, discretionary authority is reserved for the named proxy holders to vote for a substitute, or to reduce the number of directors to be elected, or both. We do not expect that any of the nominees will be unable to serve if elected.</w:t>
      </w:r>
    </w:p>
    <w:p>
      <w:pPr>
        <w:spacing w:after="0" w:line="178" w:lineRule="exact"/>
        <w:rPr>
          <w:sz w:val="20"/>
          <w:szCs w:val="20"/>
          <w:color w:val="auto"/>
        </w:rPr>
      </w:pPr>
    </w:p>
    <w:p>
      <w:pPr>
        <w:ind w:right="99" w:firstLine="648"/>
        <w:spacing w:after="0" w:line="277" w:lineRule="auto"/>
        <w:rPr>
          <w:sz w:val="20"/>
          <w:szCs w:val="20"/>
          <w:color w:val="auto"/>
        </w:rPr>
      </w:pPr>
      <w:r>
        <w:rPr>
          <w:rFonts w:ascii="Arial" w:cs="Arial" w:eastAsia="Arial" w:hAnsi="Arial"/>
          <w:sz w:val="18"/>
          <w:szCs w:val="18"/>
          <w:color w:val="auto"/>
        </w:rPr>
        <w:t>A plurality of the combined voting power of the shares of common stock present in person or represented by proxy at the annual meeting and entitled to vote is required to elect each nominee as a director.</w:t>
      </w:r>
    </w:p>
    <w:p>
      <w:pPr>
        <w:spacing w:after="0" w:line="166" w:lineRule="exact"/>
        <w:rPr>
          <w:sz w:val="20"/>
          <w:szCs w:val="20"/>
          <w:color w:val="auto"/>
        </w:rPr>
      </w:pPr>
    </w:p>
    <w:p>
      <w:pPr>
        <w:ind w:right="79" w:firstLine="648"/>
        <w:spacing w:after="0" w:line="266" w:lineRule="auto"/>
        <w:rPr>
          <w:sz w:val="20"/>
          <w:szCs w:val="20"/>
          <w:color w:val="auto"/>
        </w:rPr>
      </w:pPr>
      <w:r>
        <w:rPr>
          <w:rFonts w:ascii="Arial" w:cs="Arial" w:eastAsia="Arial" w:hAnsi="Arial"/>
          <w:sz w:val="18"/>
          <w:szCs w:val="18"/>
          <w:b w:val="1"/>
          <w:bCs w:val="1"/>
          <w:color w:val="auto"/>
        </w:rPr>
        <w:t>OUR BOARD OF DIRECTORS RECOMMENDS THAT STOCKHOLDERS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THE ELECTION OF JEFFREY W. ALBERS, MARK GOLDBERG, M.D. AND NICHOLAS LYDON, PH.D. TO SERVE AS CLASS I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Registered Public Accounting Firm</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audit committee has appointed the firm of Ernst &amp; Young LLP, an independent registered public accounting firm, as independent auditors for the fiscal year ending December 31, 2016.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spacing w:after="0" w:line="173"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Ernst &amp; Young LLP has no direct or indirect material financial interest in our company or our subsidiaries.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 and Services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Ernst &amp; Young LLP was our independent registered public accounting firm for the years ended December 31, 2015 and December 31, 2014. The following table summarizes the fees of Ernst &amp; Young LLP billed to us for each of the last two fiscal years.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44164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Audit Fees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Audit-Related Fees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Fees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4408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46"/>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15240</wp:posOffset>
            </wp:positionV>
            <wp:extent cx="575437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4972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5" w:lineRule="exact"/>
        <w:rPr>
          <w:sz w:val="20"/>
          <w:szCs w:val="20"/>
          <w:color w:val="auto"/>
        </w:rPr>
      </w:pPr>
    </w:p>
    <w:p>
      <w:pPr>
        <w:ind w:left="146" w:hanging="146"/>
        <w:spacing w:after="0"/>
        <w:tabs>
          <w:tab w:leader="none" w:pos="1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435,301</w:t>
      </w:r>
    </w:p>
    <w:p>
      <w:pPr>
        <w:spacing w:after="0" w:line="44" w:lineRule="exact"/>
        <w:rPr>
          <w:rFonts w:ascii="Arial" w:cs="Arial" w:eastAsia="Arial" w:hAnsi="Arial"/>
          <w:sz w:val="16"/>
          <w:szCs w:val="16"/>
          <w:color w:val="auto"/>
        </w:rPr>
      </w:pPr>
    </w:p>
    <w:p>
      <w:pPr>
        <w:ind w:left="546"/>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ind w:left="226"/>
        <w:spacing w:after="0"/>
        <w:rPr>
          <w:sz w:val="20"/>
          <w:szCs w:val="20"/>
          <w:color w:val="auto"/>
        </w:rPr>
      </w:pPr>
      <w:r>
        <w:rPr>
          <w:rFonts w:ascii="Arial" w:cs="Arial" w:eastAsia="Arial" w:hAnsi="Arial"/>
          <w:sz w:val="16"/>
          <w:szCs w:val="16"/>
          <w:color w:val="auto"/>
        </w:rPr>
        <w:t>26,500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-116205</wp:posOffset>
            </wp:positionV>
            <wp:extent cx="575437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$ 463,796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-116205</wp:posOffset>
            </wp:positionV>
            <wp:extent cx="575437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47"/>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4972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5" w:lineRule="exact"/>
        <w:rPr>
          <w:sz w:val="20"/>
          <w:szCs w:val="20"/>
          <w:color w:val="auto"/>
        </w:rPr>
      </w:pPr>
    </w:p>
    <w:p>
      <w:pPr>
        <w:ind w:left="147" w:hanging="147"/>
        <w:spacing w:after="0"/>
        <w:tabs>
          <w:tab w:leader="none" w:pos="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714,270</w:t>
      </w:r>
    </w:p>
    <w:p>
      <w:pPr>
        <w:spacing w:after="0" w:line="44" w:lineRule="exact"/>
        <w:rPr>
          <w:rFonts w:ascii="Arial" w:cs="Arial" w:eastAsia="Arial" w:hAnsi="Arial"/>
          <w:sz w:val="16"/>
          <w:szCs w:val="16"/>
          <w:color w:val="auto"/>
        </w:rPr>
      </w:pPr>
    </w:p>
    <w:p>
      <w:pPr>
        <w:ind w:left="547"/>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$ 724,270</w:t>
      </w:r>
    </w:p>
    <w:p>
      <w:pPr>
        <w:spacing w:after="0" w:line="222" w:lineRule="exact"/>
        <w:rPr>
          <w:sz w:val="20"/>
          <w:szCs w:val="20"/>
          <w:color w:val="auto"/>
        </w:rPr>
      </w:pPr>
    </w:p>
    <w:p>
      <w:pPr>
        <w:sectPr>
          <w:pgSz w:w="11900" w:h="16838" w:orient="portrait"/>
          <w:cols w:equalWidth="0" w:num="3">
            <w:col w:w="6454" w:space="720"/>
            <w:col w:w="726" w:space="273"/>
            <w:col w:w="887"/>
          </w:cols>
          <w:pgMar w:left="1420" w:top="125" w:right="1419" w:bottom="1440" w:gutter="0" w:footer="0" w:header="0"/>
          <w:type w:val="continuous"/>
        </w:sectPr>
      </w:pPr>
    </w:p>
    <w:p>
      <w:pPr>
        <w:spacing w:after="0" w:line="65" w:lineRule="exact"/>
        <w:rPr>
          <w:sz w:val="20"/>
          <w:szCs w:val="20"/>
          <w:color w:val="auto"/>
        </w:rPr>
      </w:pPr>
    </w:p>
    <w:p>
      <w:pPr>
        <w:ind w:left="220" w:right="60" w:hanging="215"/>
        <w:spacing w:after="0" w:line="264" w:lineRule="auto"/>
        <w:rPr>
          <w:sz w:val="20"/>
          <w:szCs w:val="20"/>
          <w:color w:val="auto"/>
        </w:rPr>
      </w:pPr>
      <w:r>
        <w:rPr>
          <w:rFonts w:ascii="Arial" w:cs="Arial" w:eastAsia="Arial" w:hAnsi="Arial"/>
          <w:sz w:val="18"/>
          <w:szCs w:val="18"/>
          <w:color w:val="auto"/>
        </w:rPr>
        <w:t>(1)“Audit Fees” consist of fees for the audit of our annual financial statements, the review of the interim financial statements included in our quarterly reports on Form 10-Q, our initial public offering which closed in May 2015 and other professional services provided in connection with regulatory filings or engagements.</w:t>
      </w:r>
    </w:p>
    <w:p>
      <w:pPr>
        <w:spacing w:after="0" w:line="46" w:lineRule="exact"/>
        <w:rPr>
          <w:sz w:val="20"/>
          <w:szCs w:val="20"/>
          <w:color w:val="auto"/>
        </w:rPr>
      </w:pPr>
    </w:p>
    <w:p>
      <w:pPr>
        <w:ind w:left="220" w:right="180" w:hanging="215"/>
        <w:spacing w:after="0" w:line="264" w:lineRule="auto"/>
        <w:rPr>
          <w:sz w:val="20"/>
          <w:szCs w:val="20"/>
          <w:color w:val="auto"/>
        </w:rPr>
      </w:pPr>
      <w:r>
        <w:rPr>
          <w:rFonts w:ascii="Arial" w:cs="Arial" w:eastAsia="Arial" w:hAnsi="Arial"/>
          <w:sz w:val="18"/>
          <w:szCs w:val="18"/>
          <w:color w:val="auto"/>
        </w:rPr>
        <w:t>(2)“Audit-Related Fees” consist of fees billed by Ernst &amp; Young LLP for assurance and related services that are reasonably related to the performance of the audit or review of our consolidated financial statements. There were no such fees incurred in 2015 or 2014.</w:t>
      </w:r>
    </w:p>
    <w:p>
      <w:pPr>
        <w:spacing w:after="0" w:line="46" w:lineRule="exact"/>
        <w:rPr>
          <w:sz w:val="20"/>
          <w:szCs w:val="20"/>
          <w:color w:val="auto"/>
        </w:rPr>
      </w:pPr>
    </w:p>
    <w:p>
      <w:pPr>
        <w:ind w:left="220" w:hanging="215"/>
        <w:spacing w:after="0" w:line="277" w:lineRule="auto"/>
        <w:rPr>
          <w:sz w:val="20"/>
          <w:szCs w:val="20"/>
          <w:color w:val="auto"/>
        </w:rPr>
      </w:pPr>
      <w:r>
        <w:rPr>
          <w:rFonts w:ascii="Arial" w:cs="Arial" w:eastAsia="Arial" w:hAnsi="Arial"/>
          <w:sz w:val="18"/>
          <w:szCs w:val="18"/>
          <w:color w:val="auto"/>
        </w:rPr>
        <w:t>(3)“Tax Fees” consist of fees for professional services, including tax consulting and compliance performed by Ernst &amp; Young LLP.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(4)“All Other Fees” consist of database subscription fees paid to Ernst &amp; Young LLP. There were no such fees incurred in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All such accountant services and fees were pre-approved by our audit committee in accordance with the “Pre-Approval Policies and Procedures”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w:t>
      </w:r>
    </w:p>
    <w:p>
      <w:pPr>
        <w:spacing w:after="0" w:line="16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16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OUR BOARD OF DIRECTORS RECOMMENDS THAT STOCKHOLDERS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THE RATIFICATION OF THE APPOINTMENT OF ERNST &amp; YOUNG LLP AS OUR INDEPENDENT REGISTERED PUBLIC ACCOUNTING FIRM FOR THE FISCAL YEAR ENDING DECEMBER 31, 2016.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STOCK OWNERSHIP AND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Unless otherwise provided below, the following table sets forth information regarding beneficial ownership of our common stock as of March 31, 2016 by:</w:t>
      </w:r>
    </w:p>
    <w:p>
      <w:pPr>
        <w:spacing w:after="0" w:line="157" w:lineRule="exact"/>
        <w:rPr>
          <w:sz w:val="20"/>
          <w:szCs w:val="20"/>
          <w:color w:val="auto"/>
        </w:rPr>
      </w:pPr>
    </w:p>
    <w:p>
      <w:pPr>
        <w:ind w:left="1020" w:right="560" w:hanging="53"/>
        <w:spacing w:after="0" w:line="277" w:lineRule="auto"/>
        <w:rPr>
          <w:sz w:val="20"/>
          <w:szCs w:val="20"/>
          <w:color w:val="auto"/>
        </w:rPr>
      </w:pPr>
      <w:r>
        <w:rPr>
          <w:rFonts w:ascii="Arial" w:cs="Arial" w:eastAsia="Arial" w:hAnsi="Arial"/>
          <w:sz w:val="18"/>
          <w:szCs w:val="18"/>
          <w:color w:val="auto"/>
        </w:rPr>
        <w:t>·each person, or group of affiliated persons, known to us to be the beneficial owner of 5% or more of the outstanding shares of our common stock;</w:t>
      </w:r>
    </w:p>
    <w:p>
      <w:pPr>
        <w:spacing w:after="0" w:line="49" w:lineRule="exact"/>
        <w:rPr>
          <w:sz w:val="20"/>
          <w:szCs w:val="20"/>
          <w:color w:val="auto"/>
        </w:rPr>
      </w:pPr>
    </w:p>
    <w:p>
      <w:pPr>
        <w:ind w:left="980"/>
        <w:spacing w:after="0"/>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of our current directors;</w:t>
      </w:r>
    </w:p>
    <w:p>
      <w:pPr>
        <w:spacing w:after="0" w:line="104" w:lineRule="exact"/>
        <w:rPr>
          <w:sz w:val="20"/>
          <w:szCs w:val="20"/>
          <w:color w:val="auto"/>
        </w:rPr>
      </w:pPr>
    </w:p>
    <w:p>
      <w:pPr>
        <w:ind w:left="1020" w:right="220" w:hanging="53"/>
        <w:spacing w:after="0" w:line="264" w:lineRule="auto"/>
        <w:rPr>
          <w:sz w:val="20"/>
          <w:szCs w:val="20"/>
          <w:color w:val="auto"/>
        </w:rPr>
      </w:pPr>
      <w:r>
        <w:rPr>
          <w:rFonts w:ascii="Arial" w:cs="Arial" w:eastAsia="Arial" w:hAnsi="Arial"/>
          <w:sz w:val="18"/>
          <w:szCs w:val="18"/>
          <w:color w:val="auto"/>
        </w:rPr>
        <w:t>·our principal executive officer and our two other executive officers who served during the year ended December 31, 2015 named in the Summary Compensation table above, whom we collectively refer to as our named executive officers; and</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all of our executive officers and directors as a group.</w:t>
      </w:r>
    </w:p>
    <w:p>
      <w:pPr>
        <w:spacing w:after="0" w:line="21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or restricted stock unit awards that are currently exercisable or will become exercisable within 60 days after March 31, 2016 are considered outstanding and beneficially owned by the person holding the options or restricted stock units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15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column entitled “Percentage of Shares Beneficially Owned” is based on a total of 27,231,723 shares of our common stock outstanding as of March 31, 2016. Except as otherwise set forth below, the address of the beneficial owner is c/o Blueprint Medicines Corporation, 38 Sidney Street, Suite 200, Cambridge, Massachusetts 02139. Beneficial ownership representing less than one percent of our outstanding common stock is denoted with an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beneficially</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85"/>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owned</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Entities affiliated with Third Rock Ventures II, L.P. (1)</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6,653,753</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Fidelity Management &amp; Research (2)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3,517,868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 (3)</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2,278,459</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8.37 %</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Albers (4)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288,659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Anthony L. Boral (5)</w:t>
            </w:r>
          </w:p>
        </w:tc>
        <w:tc>
          <w:tcPr>
            <w:tcW w:w="780" w:type="dxa"/>
            <w:vAlign w:val="bottom"/>
          </w:tcPr>
          <w:p>
            <w:pPr>
              <w:jc w:val="right"/>
              <w:spacing w:after="0"/>
              <w:rPr>
                <w:sz w:val="20"/>
                <w:szCs w:val="20"/>
                <w:color w:val="auto"/>
              </w:rPr>
            </w:pPr>
            <w:r>
              <w:rPr>
                <w:rFonts w:ascii="Arial" w:cs="Arial" w:eastAsia="Arial" w:hAnsi="Arial"/>
                <w:sz w:val="18"/>
                <w:szCs w:val="18"/>
                <w:color w:val="auto"/>
              </w:rPr>
              <w:t>35,166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Alexis Borisy (6)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Lonnel Coats (7)</w:t>
            </w:r>
          </w:p>
        </w:tc>
        <w:tc>
          <w:tcPr>
            <w:tcW w:w="780" w:type="dxa"/>
            <w:vAlign w:val="bottom"/>
          </w:tcPr>
          <w:p>
            <w:pPr>
              <w:jc w:val="right"/>
              <w:spacing w:after="0"/>
              <w:rPr>
                <w:sz w:val="20"/>
                <w:szCs w:val="20"/>
                <w:color w:val="auto"/>
              </w:rPr>
            </w:pPr>
            <w:r>
              <w:rPr>
                <w:rFonts w:ascii="Arial" w:cs="Arial" w:eastAsia="Arial" w:hAnsi="Arial"/>
                <w:sz w:val="18"/>
                <w:szCs w:val="18"/>
                <w:color w:val="auto"/>
              </w:rPr>
              <w:t>1,818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D. Demetri (8)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Mark Goldberg (9)</w:t>
            </w:r>
          </w:p>
        </w:tc>
        <w:tc>
          <w:tcPr>
            <w:tcW w:w="780" w:type="dxa"/>
            <w:vAlign w:val="bottom"/>
          </w:tcPr>
          <w:p>
            <w:pPr>
              <w:jc w:val="right"/>
              <w:spacing w:after="0"/>
              <w:rPr>
                <w:sz w:val="20"/>
                <w:szCs w:val="20"/>
                <w:color w:val="auto"/>
              </w:rPr>
            </w:pPr>
            <w:r>
              <w:rPr>
                <w:rFonts w:ascii="Arial" w:cs="Arial" w:eastAsia="Arial" w:hAnsi="Arial"/>
                <w:sz w:val="18"/>
                <w:szCs w:val="18"/>
                <w:color w:val="auto"/>
              </w:rPr>
              <w:t>6,666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 Lengauer (10)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Nicholas Lydon (11)</w:t>
            </w:r>
          </w:p>
        </w:tc>
        <w:tc>
          <w:tcPr>
            <w:tcW w:w="780" w:type="dxa"/>
            <w:vAlign w:val="bottom"/>
          </w:tcPr>
          <w:p>
            <w:pPr>
              <w:jc w:val="right"/>
              <w:spacing w:after="0"/>
              <w:rPr>
                <w:sz w:val="20"/>
                <w:szCs w:val="20"/>
                <w:color w:val="auto"/>
              </w:rPr>
            </w:pPr>
            <w:r>
              <w:rPr>
                <w:rFonts w:ascii="Arial" w:cs="Arial" w:eastAsia="Arial" w:hAnsi="Arial"/>
                <w:sz w:val="18"/>
                <w:szCs w:val="18"/>
                <w:color w:val="auto"/>
              </w:rPr>
              <w:t>272,727</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Lynch (12)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275,244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Charles A. Rowland, Jr. (13)</w:t>
            </w:r>
          </w:p>
        </w:tc>
        <w:tc>
          <w:tcPr>
            <w:tcW w:w="780" w:type="dxa"/>
            <w:vAlign w:val="bottom"/>
          </w:tcPr>
          <w:p>
            <w:pPr>
              <w:jc w:val="right"/>
              <w:spacing w:after="0"/>
              <w:rPr>
                <w:sz w:val="20"/>
                <w:szCs w:val="20"/>
                <w:color w:val="auto"/>
              </w:rPr>
            </w:pPr>
            <w:r>
              <w:rPr>
                <w:rFonts w:ascii="Arial" w:cs="Arial" w:eastAsia="Arial" w:hAnsi="Arial"/>
                <w:sz w:val="18"/>
                <w:szCs w:val="18"/>
                <w:color w:val="auto"/>
              </w:rPr>
              <w:t>8,484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Seely, M.D.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(13 persons) (14)</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1,081,863</w:t>
            </w:r>
          </w:p>
        </w:tc>
        <w:tc>
          <w:tcPr>
            <w:tcW w:w="2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220" w:right="140" w:hanging="215"/>
        <w:spacing w:after="0" w:line="273" w:lineRule="auto"/>
        <w:rPr>
          <w:sz w:val="20"/>
          <w:szCs w:val="20"/>
          <w:color w:val="auto"/>
        </w:rPr>
      </w:pPr>
      <w:r>
        <w:rPr>
          <w:rFonts w:ascii="Arial" w:cs="Arial" w:eastAsia="Arial" w:hAnsi="Arial"/>
          <w:sz w:val="17"/>
          <w:szCs w:val="17"/>
          <w:color w:val="auto"/>
        </w:rPr>
        <w:t>(1)Based solely on a schedule 13G filed with the SEC on February 20, 2016 by Third Rock Ventures II, L.P. (“TRV LP”). TRV LP directly owns 6,653,753 shares of common stock. Each of Third Rock Ventures II GP, LP (“TRV GP”), the general partner of TRV LP, and Third Rock Ventures GP, LLC (“TRV LLC”), the general partner of TRV GP, and Mark Levin, Kevin Starr and Robert Tepper, the managers of TRV LLC, may be deemed to share voting and investment power over the shares held of record by TRV LP. The address for TRV LP, TRV GP, TRV LLC and Messrs. Levin, Starr and Tepper is c/o Third Rock Ventures, LLC, 29 Newbury Street, 3rd Floor, Boston, MA 02116.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hanging="215"/>
        <w:spacing w:after="0" w:line="268" w:lineRule="auto"/>
        <w:rPr>
          <w:sz w:val="20"/>
          <w:szCs w:val="20"/>
          <w:color w:val="auto"/>
        </w:rPr>
      </w:pPr>
      <w:r>
        <w:rPr>
          <w:rFonts w:ascii="Arial" w:cs="Arial" w:eastAsia="Arial" w:hAnsi="Arial"/>
          <w:sz w:val="17"/>
          <w:szCs w:val="17"/>
          <w:color w:val="auto"/>
        </w:rPr>
        <w:t>(2)Based solely on a schedule 13G/A filed with the SEC on February 12, 2016 by Fidelity Management and Research LLC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address of FMR LLC is 245 Summer Street, Boston, MA 02210.</w:t>
      </w:r>
    </w:p>
    <w:p>
      <w:pPr>
        <w:spacing w:after="0" w:line="50" w:lineRule="exact"/>
        <w:rPr>
          <w:sz w:val="20"/>
          <w:szCs w:val="20"/>
          <w:color w:val="auto"/>
        </w:rPr>
      </w:pPr>
    </w:p>
    <w:p>
      <w:pPr>
        <w:ind w:left="220" w:hanging="215"/>
        <w:spacing w:after="0" w:line="286" w:lineRule="auto"/>
        <w:rPr>
          <w:sz w:val="20"/>
          <w:szCs w:val="20"/>
          <w:color w:val="auto"/>
        </w:rPr>
      </w:pPr>
      <w:r>
        <w:rPr>
          <w:rFonts w:ascii="Arial" w:cs="Arial" w:eastAsia="Arial" w:hAnsi="Arial"/>
          <w:sz w:val="16"/>
          <w:szCs w:val="16"/>
          <w:color w:val="auto"/>
        </w:rPr>
        <w:t>(3)Based solely upon a schedule 13G/A filed with the SEC on February 16, 2016 by Biotechnology Value Fund, L.P. (“BVF”). As of December 31, 2015, BVF beneficially owned 1,110,023 shares of common stock, Biotechnology Value Fund II, L.P. (“BVF II”) beneficially owned 606,454 shares of common stock and Biotechnology Value Trading Fund OS LP (“Trading Fund OS”) beneficially owned 129,448 shares of common stock, BVF Partners OS Ltd. (“Partners OS”), as the general partner of Trading Fund OS, may be deemed to beneficially own 129,448 shares of common stock beneficially owned by Trading Fund OS, BVF Partners L.P. (“Partners”), as the general partner of BVF, BVF II, the investment manager of Trading Fund OS, and the sole member of Partners OS, may be deemed to beneficially own 2,278,459 shares of common stock beneficially owned in the aggregate by BVF, BVF II, Trading Fund OS, and certain Partners management accounts (the “Partners Management Accounts”), including 432,534 shares of common stock held in the Partners Management Accounts, BVF Inc. (“BVF, Inc.”), as the general partner of Partners, may be deemed to beneficially own 2,278,459 shares of common stock beneficially owned by Partners and Mark N. Lampert, as a director and officer of BVF Inc., may be deemed to beneficially own 2,278,459 shares of common stock beneficially owned by BVF, Inc. Each of Partners, BVF Inc. and Mr. Lampert disclaims beneficial ownership of the shares beneficially owned by BVF, BVF II, Trading Fund OS and the Partners Management Accounts. The address for BVF, BVF II, Partners, BVF Inc. and Mr. Lampert is 1 Sansome Street, 30</w:t>
      </w:r>
      <w:r>
        <w:rPr>
          <w:rFonts w:ascii="Arial" w:cs="Arial" w:eastAsia="Arial" w:hAnsi="Arial"/>
          <w:sz w:val="7"/>
          <w:szCs w:val="7"/>
          <w:color w:val="auto"/>
        </w:rPr>
        <w:t>th</w:t>
      </w:r>
      <w:r>
        <w:rPr>
          <w:rFonts w:ascii="Arial" w:cs="Arial" w:eastAsia="Arial" w:hAnsi="Arial"/>
          <w:sz w:val="16"/>
          <w:szCs w:val="16"/>
          <w:color w:val="auto"/>
        </w:rPr>
        <w:t xml:space="preserve"> Floor, San Francisco, CA 94104. The address for Trading Fund OS and Partners OS is PO Box 309, Ugland House, Grand Cayman, KY1-1104, Cayman Islands.</w:t>
      </w:r>
    </w:p>
    <w:p>
      <w:pPr>
        <w:spacing w:after="0" w:line="250" w:lineRule="exact"/>
        <w:rPr>
          <w:sz w:val="20"/>
          <w:szCs w:val="20"/>
          <w:color w:val="auto"/>
        </w:rPr>
      </w:pPr>
    </w:p>
    <w:p>
      <w:pPr>
        <w:ind w:left="220" w:right="380" w:hanging="215"/>
        <w:spacing w:after="0" w:line="277" w:lineRule="auto"/>
        <w:rPr>
          <w:sz w:val="20"/>
          <w:szCs w:val="20"/>
          <w:color w:val="auto"/>
        </w:rPr>
      </w:pPr>
      <w:r>
        <w:rPr>
          <w:rFonts w:ascii="Arial" w:cs="Arial" w:eastAsia="Arial" w:hAnsi="Arial"/>
          <w:sz w:val="18"/>
          <w:szCs w:val="18"/>
          <w:color w:val="auto"/>
        </w:rPr>
        <w:t>(4)Consists of (i) 126,486 shares of common stock and (ii) 162,173 options to purchase shares of common stock that are exercisable as of March 31, 2016 or will become exercisable within 60 days after such date.</w:t>
      </w:r>
    </w:p>
    <w:p>
      <w:pPr>
        <w:spacing w:after="0" w:line="35" w:lineRule="exact"/>
        <w:rPr>
          <w:sz w:val="20"/>
          <w:szCs w:val="20"/>
          <w:color w:val="auto"/>
        </w:rPr>
      </w:pPr>
    </w:p>
    <w:p>
      <w:pPr>
        <w:ind w:left="220" w:right="120" w:hanging="215"/>
        <w:spacing w:after="0" w:line="277" w:lineRule="auto"/>
        <w:rPr>
          <w:sz w:val="20"/>
          <w:szCs w:val="20"/>
          <w:color w:val="auto"/>
        </w:rPr>
      </w:pPr>
      <w:r>
        <w:rPr>
          <w:rFonts w:ascii="Arial" w:cs="Arial" w:eastAsia="Arial" w:hAnsi="Arial"/>
          <w:sz w:val="18"/>
          <w:szCs w:val="18"/>
          <w:color w:val="auto"/>
        </w:rPr>
        <w:t>(5)Consists of 35,166 options to purchase shares of common stock that are exercisable as of March 31, 2016 or will become exercisable within 60 days after such date.</w:t>
      </w:r>
    </w:p>
    <w:p>
      <w:pPr>
        <w:spacing w:after="0" w:line="35" w:lineRule="exact"/>
        <w:rPr>
          <w:sz w:val="20"/>
          <w:szCs w:val="20"/>
          <w:color w:val="auto"/>
        </w:rPr>
      </w:pPr>
    </w:p>
    <w:p>
      <w:pPr>
        <w:ind w:left="580" w:hanging="57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26,742 shares of common stock.</w:t>
      </w:r>
    </w:p>
    <w:p>
      <w:pPr>
        <w:spacing w:after="0" w:line="90" w:lineRule="exact"/>
        <w:rPr>
          <w:sz w:val="20"/>
          <w:szCs w:val="20"/>
          <w:color w:val="auto"/>
        </w:rPr>
      </w:pPr>
    </w:p>
    <w:p>
      <w:pPr>
        <w:ind w:left="220" w:right="220" w:hanging="215"/>
        <w:spacing w:after="0" w:line="277" w:lineRule="auto"/>
        <w:rPr>
          <w:sz w:val="20"/>
          <w:szCs w:val="20"/>
          <w:color w:val="auto"/>
        </w:rPr>
      </w:pPr>
      <w:r>
        <w:rPr>
          <w:rFonts w:ascii="Arial" w:cs="Arial" w:eastAsia="Arial" w:hAnsi="Arial"/>
          <w:sz w:val="18"/>
          <w:szCs w:val="18"/>
          <w:color w:val="auto"/>
        </w:rPr>
        <w:t>(7)Consists of 1,818 options to purchase shares of common stock that are exercisable as of March 31, 2016 or will become exercisable within 60 days after such date.</w:t>
      </w:r>
    </w:p>
    <w:p>
      <w:pPr>
        <w:spacing w:after="0" w:line="35" w:lineRule="exact"/>
        <w:rPr>
          <w:sz w:val="20"/>
          <w:szCs w:val="20"/>
          <w:color w:val="auto"/>
        </w:rPr>
      </w:pPr>
    </w:p>
    <w:p>
      <w:pPr>
        <w:ind w:left="220" w:right="580" w:hanging="215"/>
        <w:spacing w:after="0" w:line="308" w:lineRule="auto"/>
        <w:rPr>
          <w:sz w:val="20"/>
          <w:szCs w:val="20"/>
          <w:color w:val="auto"/>
        </w:rPr>
      </w:pPr>
      <w:r>
        <w:rPr>
          <w:rFonts w:ascii="Arial" w:cs="Arial" w:eastAsia="Arial" w:hAnsi="Arial"/>
          <w:sz w:val="17"/>
          <w:szCs w:val="17"/>
          <w:color w:val="auto"/>
        </w:rPr>
        <w:t>(8)Consists of (i) 18,181 shares of common stock and (ii) 22,119 options to purchase shares of common stock that are exercisable as of March 31, 2016 or will become exercisable within 60 days after such date.</w:t>
      </w:r>
    </w:p>
    <w:p>
      <w:pPr>
        <w:spacing w:after="0" w:line="11" w:lineRule="exact"/>
        <w:rPr>
          <w:sz w:val="20"/>
          <w:szCs w:val="20"/>
          <w:color w:val="auto"/>
        </w:rPr>
      </w:pPr>
    </w:p>
    <w:p>
      <w:pPr>
        <w:ind w:left="220" w:right="220" w:hanging="215"/>
        <w:spacing w:after="0" w:line="277" w:lineRule="auto"/>
        <w:rPr>
          <w:sz w:val="20"/>
          <w:szCs w:val="20"/>
          <w:color w:val="auto"/>
        </w:rPr>
      </w:pPr>
      <w:r>
        <w:rPr>
          <w:rFonts w:ascii="Arial" w:cs="Arial" w:eastAsia="Arial" w:hAnsi="Arial"/>
          <w:sz w:val="18"/>
          <w:szCs w:val="18"/>
          <w:color w:val="auto"/>
        </w:rPr>
        <w:t>(9)Consists of 6,666 options to purchase shares of common stock that are exercisable as of March 31, 2016 or will become exercisable within 60 days after such date.</w:t>
      </w:r>
    </w:p>
    <w:p>
      <w:pPr>
        <w:spacing w:after="0" w:line="35" w:lineRule="exact"/>
        <w:rPr>
          <w:sz w:val="20"/>
          <w:szCs w:val="20"/>
          <w:color w:val="auto"/>
        </w:rPr>
      </w:pPr>
    </w:p>
    <w:p>
      <w:pPr>
        <w:ind w:left="320" w:right="480" w:hanging="317"/>
        <w:spacing w:after="0" w:line="308"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Consists of (i) 91,382 shares of common stock and (ii) 22,498 options to purchase shares of common stock that are exercisable as of March 31, 2016 or will become exercisable within 60 days after such date.</w:t>
      </w:r>
    </w:p>
    <w:p>
      <w:pPr>
        <w:spacing w:after="0" w:line="11" w:lineRule="exact"/>
        <w:rPr>
          <w:rFonts w:ascii="Arial" w:cs="Arial" w:eastAsia="Arial" w:hAnsi="Arial"/>
          <w:sz w:val="17"/>
          <w:szCs w:val="17"/>
          <w:color w:val="auto"/>
        </w:rPr>
      </w:pPr>
    </w:p>
    <w:p>
      <w:pPr>
        <w:ind w:left="740" w:hanging="737"/>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272,727 shares of common stock.</w:t>
      </w:r>
    </w:p>
    <w:p>
      <w:pPr>
        <w:spacing w:after="0" w:line="90" w:lineRule="exact"/>
        <w:rPr>
          <w:rFonts w:ascii="Arial" w:cs="Arial" w:eastAsia="Arial" w:hAnsi="Arial"/>
          <w:sz w:val="18"/>
          <w:szCs w:val="18"/>
          <w:color w:val="auto"/>
        </w:rPr>
      </w:pPr>
    </w:p>
    <w:p>
      <w:pPr>
        <w:ind w:left="780" w:hanging="777"/>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275,244 shares of common stock.</w:t>
      </w:r>
    </w:p>
    <w:p>
      <w:pPr>
        <w:spacing w:after="0" w:line="90" w:lineRule="exact"/>
        <w:rPr>
          <w:rFonts w:ascii="Arial" w:cs="Arial" w:eastAsia="Arial" w:hAnsi="Arial"/>
          <w:sz w:val="18"/>
          <w:szCs w:val="18"/>
          <w:color w:val="auto"/>
        </w:rPr>
      </w:pPr>
    </w:p>
    <w:p>
      <w:pPr>
        <w:ind w:left="320" w:right="120" w:hanging="317"/>
        <w:spacing w:after="0" w:line="308"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Consists of 8,484 options to purchase shares of common stock that are exercisable as of March 31, 2016 or will become exercisable within 60 days after such date.</w:t>
      </w:r>
    </w:p>
    <w:p>
      <w:pPr>
        <w:spacing w:after="0" w:line="11" w:lineRule="exact"/>
        <w:rPr>
          <w:rFonts w:ascii="Arial" w:cs="Arial" w:eastAsia="Arial" w:hAnsi="Arial"/>
          <w:sz w:val="17"/>
          <w:szCs w:val="17"/>
          <w:color w:val="auto"/>
        </w:rPr>
      </w:pPr>
    </w:p>
    <w:p>
      <w:pPr>
        <w:ind w:left="320" w:right="300" w:hanging="317"/>
        <w:spacing w:after="0" w:line="308"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Consists of (i) 810,762 shares of common stock and (ii) 271,101 options to purchase shares of common stock that are exercisable as of March 31, 2016 or will become exercisable within 60 days after such date.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2015 with the exception of the following inadvertent late filings: (i) Form 3 filings filed on April 30, 2015 to report initial statements of beneficial ownership for each of Charles A. Rowland, Jr., Nicholas Lydon, Ph.D., Kyle D. Kuvalanka, Daniel S. Lynch, Christoph Lengauer, Ph.D., Alexis Borisy, George D. Demetri, M.D., Jeffrey W. Albers and Anthony L. Boral; (ii) a Form 4 filing filed on May 12, 2015 to report the conversion of all shares of convertible preferred stock into common stock held by Third Rock Ventures II, L.P.; (iii) a Form 4 filing filed on December 2, 2015 to report the acquisition of shares of common stock by Alexis Borisy from a distribution of shares in kind by Third Rock Ventures GP II, L.P. to its partners and (iv) a Form 4 filing filed on December 2, 2015 to report the acquisition of shares of common stock by Daniel S. Lynch from a distribution of shares in kind by Third Rock Ventures GP II, L.P. to its partners.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our 2017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Included in Proxy Statement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order to be considered for inclusion in our proxy statement and proxy card relating to our 2017 annual meeting of stockholders, stockholder proposals must be received by us no later than December 29, 2016, which is 120 days prior to the first anniversary of the mailing date of this proxy, unless the date of the 2017 annual meeting of stockholders is changed by more than 30 days from the anniversary of our 2016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Not Included in Proxy Statement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2017 annual meeting of stockholders but not included in the proxy statement by March 23, 2017, but not before February 21, 2017, which is not less than 90 days nor more than 120 days prior to the anniversary date of the immediately preceding annual meeting. However, if the date of the annual meeting is more than 30 days before or more than 60 days after such anniversary date, notice must be received not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2017 annual meeting of stockholders may exercise discretionary voting power regarding any such proposal. Stockholders are advised to review our bylaws which also specify requirements as to the form and content of a stockholder’s notice.</w:t>
      </w:r>
    </w:p>
    <w:p>
      <w:pPr>
        <w:spacing w:after="0" w:line="17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Any proposals, notices or information about proposed director candidates should be sent to Blueprint Medicines Corporation, Attention: Nominating and Corporate Governance Committee, 38 Sidney Street, Suite 200, Cambridge, Massachusetts 02139.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2015 annual report to stockholders, which consists of our Annual Report on Form 10-K for the fiscal year ended December 31, 2015, to you if you contact us at Blueprint Medicines Corporation, 38 Sidney Street, Suite 200, Cambridge, Massachusetts 02139, Attn: Investor Relations, telephone: (617) 714-6674,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8141970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7395845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381000</wp:posOffset>
            </wp:positionV>
            <wp:extent cx="5556885" cy="6260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56885" cy="6260465"/>
                    </a:xfrm>
                    <a:prstGeom prst="rect">
                      <a:avLst/>
                    </a:prstGeom>
                    <a:noFill/>
                  </pic:spPr>
                </pic:pic>
              </a:graphicData>
            </a:graphic>
          </wp:anchor>
        </w:drawing>
      </w:r>
    </w:p>
    <w:sectPr>
      <w:pgSz w:w="11900" w:h="16838" w:orient="portrait"/>
      <w:cols w:equalWidth="0" w:num="1">
        <w:col w:w="9039"/>
      </w:cols>
      <w:pgMar w:left="14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2)"/>
      <w:numFmt w:val="decimal"/>
      <w:start w:val="1"/>
    </w:lvl>
  </w:abstractNum>
  <w:abstractNum w:abstractNumId="5">
    <w:nsid w:val="54E49EB4"/>
    <w:multiLevelType w:val="hybridMultilevel"/>
    <w:lvl w:ilvl="0">
      <w:lvlJc w:val="left"/>
      <w:lvlText w:val="(%1)"/>
      <w:numFmt w:val="decimal"/>
      <w:start w:val="617"/>
    </w:lvl>
  </w:abstractNum>
  <w:abstractNum w:abstractNumId="6">
    <w:nsid w:val="71F32454"/>
    <w:multiLevelType w:val="hybridMultilevel"/>
    <w:lvl w:ilvl="0">
      <w:lvlJc w:val="left"/>
      <w:lvlText w:val="%1."/>
      <w:numFmt w:val="upperLetter"/>
      <w:start w:val="17"/>
    </w:lvl>
  </w:abstractNum>
  <w:abstractNum w:abstractNumId="7">
    <w:nsid w:val="2CA88611"/>
    <w:multiLevelType w:val="hybridMultilevel"/>
    <w:lvl w:ilvl="0">
      <w:lvlJc w:val="left"/>
      <w:lvlText w:val="%1."/>
      <w:numFmt w:val="upperLetter"/>
      <w:start w:val="1"/>
    </w:lvl>
  </w:abstractNum>
  <w:abstractNum w:abstractNumId="8">
    <w:nsid w:val="836C40E"/>
    <w:multiLevelType w:val="hybridMultilevel"/>
    <w:lvl w:ilvl="0">
      <w:lvlJc w:val="left"/>
      <w:lvlText w:val="%1."/>
      <w:numFmt w:val="upperLetter"/>
      <w:start w:val="17"/>
    </w:lvl>
  </w:abstractNum>
  <w:abstractNum w:abstractNumId="9">
    <w:nsid w:val="2901D82"/>
    <w:multiLevelType w:val="hybridMultilevel"/>
    <w:lvl w:ilvl="0">
      <w:lvlJc w:val="left"/>
      <w:lvlText w:val="%1."/>
      <w:numFmt w:val="upperLetter"/>
      <w:start w:val="1"/>
    </w:lvl>
  </w:abstractNum>
  <w:abstractNum w:abstractNumId="10">
    <w:nsid w:val="3A95F874"/>
    <w:multiLevelType w:val="hybridMultilevel"/>
    <w:lvl w:ilvl="0">
      <w:lvlJc w:val="left"/>
      <w:lvlText w:val="%1."/>
      <w:numFmt w:val="upperLetter"/>
      <w:start w:val="17"/>
    </w:lvl>
  </w:abstractNum>
  <w:abstractNum w:abstractNumId="11">
    <w:nsid w:val="8138641"/>
    <w:multiLevelType w:val="hybridMultilevel"/>
    <w:lvl w:ilvl="0">
      <w:lvlJc w:val="left"/>
      <w:lvlText w:val="%1."/>
      <w:numFmt w:val="upperLetter"/>
      <w:start w:val="1"/>
    </w:lvl>
  </w:abstractNum>
  <w:abstractNum w:abstractNumId="12">
    <w:nsid w:val="1E7FF521"/>
    <w:multiLevelType w:val="hybridMultilevel"/>
    <w:lvl w:ilvl="0">
      <w:lvlJc w:val="left"/>
      <w:lvlText w:val="%1."/>
      <w:numFmt w:val="upperLetter"/>
      <w:start w:val="17"/>
    </w:lvl>
  </w:abstractNum>
  <w:abstractNum w:abstractNumId="13">
    <w:nsid w:val="7C3DBD3D"/>
    <w:multiLevelType w:val="hybridMultilevel"/>
    <w:lvl w:ilvl="0">
      <w:lvlJc w:val="left"/>
      <w:lvlText w:val="%1."/>
      <w:numFmt w:val="upperLetter"/>
      <w:start w:val="1"/>
    </w:lvl>
  </w:abstractNum>
  <w:abstractNum w:abstractNumId="14">
    <w:nsid w:val="737B8DDC"/>
    <w:multiLevelType w:val="hybridMultilevel"/>
    <w:lvl w:ilvl="0">
      <w:lvlJc w:val="left"/>
      <w:lvlText w:val="%1."/>
      <w:numFmt w:val="upperLetter"/>
      <w:start w:val="17"/>
    </w:lvl>
  </w:abstractNum>
  <w:abstractNum w:abstractNumId="15">
    <w:nsid w:val="6CEAF087"/>
    <w:multiLevelType w:val="hybridMultilevel"/>
    <w:lvl w:ilvl="0">
      <w:lvlJc w:val="left"/>
      <w:lvlText w:val="%1."/>
      <w:numFmt w:val="upperLetter"/>
      <w:start w:val="1"/>
    </w:lvl>
  </w:abstractNum>
  <w:abstractNum w:abstractNumId="16">
    <w:nsid w:val="22221A70"/>
    <w:multiLevelType w:val="hybridMultilevel"/>
    <w:lvl w:ilvl="0">
      <w:lvlJc w:val="left"/>
      <w:lvlText w:val="%1."/>
      <w:numFmt w:val="upperLetter"/>
      <w:start w:val="17"/>
    </w:lvl>
  </w:abstractNum>
  <w:abstractNum w:abstractNumId="17">
    <w:nsid w:val="4516DDE9"/>
    <w:multiLevelType w:val="hybridMultilevel"/>
    <w:lvl w:ilvl="0">
      <w:lvlJc w:val="left"/>
      <w:lvlText w:val="%1."/>
      <w:numFmt w:val="upperLetter"/>
      <w:start w:val="1"/>
    </w:lvl>
  </w:abstractNum>
  <w:abstractNum w:abstractNumId="18">
    <w:nsid w:val="3006C83E"/>
    <w:multiLevelType w:val="hybridMultilevel"/>
    <w:lvl w:ilvl="0">
      <w:lvlJc w:val="left"/>
      <w:lvlText w:val="%1."/>
      <w:numFmt w:val="upperLetter"/>
      <w:start w:val="17"/>
    </w:lvl>
  </w:abstractNum>
  <w:abstractNum w:abstractNumId="19">
    <w:nsid w:val="614FD4A1"/>
    <w:multiLevelType w:val="hybridMultilevel"/>
    <w:lvl w:ilvl="0">
      <w:lvlJc w:val="left"/>
      <w:lvlText w:val="%1."/>
      <w:numFmt w:val="upperLetter"/>
      <w:start w:val="1"/>
    </w:lvl>
  </w:abstractNum>
  <w:abstractNum w:abstractNumId="20">
    <w:nsid w:val="419AC241"/>
    <w:multiLevelType w:val="hybridMultilevel"/>
    <w:lvl w:ilvl="0">
      <w:lvlJc w:val="left"/>
      <w:lvlText w:val="%1."/>
      <w:numFmt w:val="upperLetter"/>
      <w:start w:val="17"/>
    </w:lvl>
  </w:abstractNum>
  <w:abstractNum w:abstractNumId="21">
    <w:nsid w:val="5577F8E1"/>
    <w:multiLevelType w:val="hybridMultilevel"/>
    <w:lvl w:ilvl="0">
      <w:lvlJc w:val="left"/>
      <w:lvlText w:val="%1."/>
      <w:numFmt w:val="upperLetter"/>
      <w:start w:val="1"/>
    </w:lvl>
  </w:abstractNum>
  <w:abstractNum w:abstractNumId="22">
    <w:nsid w:val="440BADFC"/>
    <w:multiLevelType w:val="hybridMultilevel"/>
    <w:lvl w:ilvl="0">
      <w:lvlJc w:val="left"/>
      <w:lvlText w:val="%1."/>
      <w:numFmt w:val="upperLetter"/>
      <w:start w:val="17"/>
    </w:lvl>
  </w:abstractNum>
  <w:abstractNum w:abstractNumId="23">
    <w:nsid w:val="5072367"/>
    <w:multiLevelType w:val="hybridMultilevel"/>
    <w:lvl w:ilvl="0">
      <w:lvlJc w:val="left"/>
      <w:lvlText w:val="%1."/>
      <w:numFmt w:val="upperLetter"/>
      <w:start w:val="1"/>
    </w:lvl>
  </w:abstractNum>
  <w:abstractNum w:abstractNumId="24">
    <w:nsid w:val="3804823E"/>
    <w:multiLevelType w:val="hybridMultilevel"/>
    <w:lvl w:ilvl="0">
      <w:lvlJc w:val="left"/>
      <w:lvlText w:val="%1."/>
      <w:numFmt w:val="upperLetter"/>
      <w:start w:val="17"/>
    </w:lvl>
  </w:abstractNum>
  <w:abstractNum w:abstractNumId="25">
    <w:nsid w:val="77465F01"/>
    <w:multiLevelType w:val="hybridMultilevel"/>
    <w:lvl w:ilvl="0">
      <w:lvlJc w:val="left"/>
      <w:lvlText w:val="%1."/>
      <w:numFmt w:val="upperLetter"/>
      <w:start w:val="1"/>
    </w:lvl>
  </w:abstractNum>
  <w:abstractNum w:abstractNumId="26">
    <w:nsid w:val="7724C67E"/>
    <w:multiLevelType w:val="hybridMultilevel"/>
    <w:lvl w:ilvl="0">
      <w:lvlJc w:val="left"/>
      <w:lvlText w:val="%1."/>
      <w:numFmt w:val="upperLetter"/>
      <w:start w:val="17"/>
    </w:lvl>
  </w:abstractNum>
  <w:abstractNum w:abstractNumId="27">
    <w:nsid w:val="5C482A97"/>
    <w:multiLevelType w:val="hybridMultilevel"/>
    <w:lvl w:ilvl="0">
      <w:lvlJc w:val="left"/>
      <w:lvlText w:val="%1."/>
      <w:numFmt w:val="upperLetter"/>
      <w:start w:val="1"/>
    </w:lvl>
  </w:abstractNum>
  <w:abstractNum w:abstractNumId="28">
    <w:nsid w:val="2463B9EA"/>
    <w:multiLevelType w:val="hybridMultilevel"/>
    <w:lvl w:ilvl="0">
      <w:lvlJc w:val="left"/>
      <w:lvlText w:val="%1."/>
      <w:numFmt w:val="upperLetter"/>
      <w:start w:val="17"/>
    </w:lvl>
  </w:abstractNum>
  <w:abstractNum w:abstractNumId="29">
    <w:nsid w:val="5E884ADC"/>
    <w:multiLevelType w:val="hybridMultilevel"/>
    <w:lvl w:ilvl="0">
      <w:lvlJc w:val="left"/>
      <w:lvlText w:val="%1."/>
      <w:numFmt w:val="upperLetter"/>
      <w:start w:val="1"/>
    </w:lvl>
  </w:abstractNum>
  <w:abstractNum w:abstractNumId="30">
    <w:nsid w:val="51EAD36B"/>
    <w:multiLevelType w:val="hybridMultilevel"/>
    <w:lvl w:ilvl="0">
      <w:lvlJc w:val="left"/>
      <w:lvlText w:val="%1."/>
      <w:numFmt w:val="upperLetter"/>
      <w:start w:val="17"/>
    </w:lvl>
  </w:abstractNum>
  <w:abstractNum w:abstractNumId="31">
    <w:nsid w:val="2D517796"/>
    <w:multiLevelType w:val="hybridMultilevel"/>
    <w:lvl w:ilvl="0">
      <w:lvlJc w:val="left"/>
      <w:lvlText w:val="%1."/>
      <w:numFmt w:val="upperLetter"/>
      <w:start w:val="1"/>
    </w:lvl>
  </w:abstractNum>
  <w:abstractNum w:abstractNumId="32">
    <w:nsid w:val="580BD78F"/>
    <w:multiLevelType w:val="hybridMultilevel"/>
    <w:lvl w:ilvl="0">
      <w:lvlJc w:val="left"/>
      <w:lvlText w:val="%1."/>
      <w:numFmt w:val="upperLetter"/>
      <w:start w:val="17"/>
    </w:lvl>
  </w:abstractNum>
  <w:abstractNum w:abstractNumId="33">
    <w:nsid w:val="153EA438"/>
    <w:multiLevelType w:val="hybridMultilevel"/>
    <w:lvl w:ilvl="0">
      <w:lvlJc w:val="left"/>
      <w:lvlText w:val="%1."/>
      <w:numFmt w:val="upperLetter"/>
      <w:start w:val="1"/>
    </w:lvl>
  </w:abstractNum>
  <w:abstractNum w:abstractNumId="34">
    <w:nsid w:val="3855585C"/>
    <w:multiLevelType w:val="hybridMultilevel"/>
    <w:lvl w:ilvl="0">
      <w:lvlJc w:val="left"/>
      <w:lvlText w:val="%1."/>
      <w:numFmt w:val="upperLetter"/>
      <w:start w:val="17"/>
    </w:lvl>
  </w:abstractNum>
  <w:abstractNum w:abstractNumId="35">
    <w:nsid w:val="70A64E2A"/>
    <w:multiLevelType w:val="hybridMultilevel"/>
    <w:lvl w:ilvl="0">
      <w:lvlJc w:val="left"/>
      <w:lvlText w:val="%1."/>
      <w:numFmt w:val="upperLetter"/>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1)"/>
      <w:numFmt w:val="lowerRoman"/>
      <w:start w:val="3"/>
    </w:lvl>
  </w:abstractNum>
  <w:abstractNum w:abstractNumId="39">
    <w:nsid w:val="725A06FB"/>
    <w:multiLevelType w:val="hybridMultilevel"/>
    <w:lvl w:ilvl="0">
      <w:lvlJc w:val="left"/>
      <w:lvlText w:val="(%1)"/>
      <w:numFmt w:val="decimal"/>
      <w:start w:val="10"/>
    </w:lvl>
  </w:abstractNum>
  <w:abstractNum w:abstractNumId="40">
    <w:nsid w:val="2CD89A32"/>
    <w:multiLevelType w:val="hybridMultilevel"/>
    <w:lvl w:ilvl="0">
      <w:lvlJc w:val="left"/>
      <w:lvlText w:val="(%1)"/>
      <w:numFmt w:val="decimal"/>
      <w:start w:val="12"/>
    </w:lvl>
  </w:abstractNum>
  <w:abstractNum w:abstractNumId="41">
    <w:nsid w:val="57E4CCAF"/>
    <w:multiLevelType w:val="hybridMultilevel"/>
    <w:lvl w:ilvl="0">
      <w:lvlJc w:val="left"/>
      <w:lvlText w:val="(%1)"/>
      <w:numFmt w:val="lowerRoman"/>
      <w:start w:val="2"/>
    </w:lvl>
  </w:abstractNum>
  <w:abstractNum w:abstractNumId="42">
    <w:nsid w:val="7A6D8D3C"/>
    <w:multiLevelType w:val="hybridMultilevel"/>
    <w:lvl w:ilvl="0">
      <w:lvlJc w:val="left"/>
      <w:lvlText w:val="(%1)"/>
      <w:numFmt w:val="decimal"/>
      <w:start w:val="6"/>
    </w:lvl>
  </w:abstractNum>
  <w:abstractNum w:abstractNumId="43">
    <w:nsid w:val="4B588F54"/>
    <w:multiLevelType w:val="hybridMultilevel"/>
    <w:lvl w:ilvl="0">
      <w:lvlJc w:val="left"/>
      <w:lvlText w:val="(%1)"/>
      <w:numFmt w:val="decimal"/>
      <w:start w:val="10"/>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6"/>
    </w:lvl>
  </w:abstractNum>
  <w:abstractNum w:abstractNumId="47">
    <w:nsid w:val="7644A45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2019-12-09T00:28:02Z</dcterms:created>
  <dcterms:modified xsi:type="dcterms:W3CDTF">2019-12-09T00:28:02Z</dcterms:modified>
</cp:coreProperties>
</file>