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02210</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Arial" w:cs="Arial" w:eastAsia="Arial" w:hAnsi="Arial"/>
                <w:sz w:val="18"/>
                <w:szCs w:val="18"/>
                <w:color w:val="0000FF"/>
              </w:rPr>
              <w:t>11/25/2015</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rPr>
                <w:sz w:val="20"/>
                <w:szCs w:val="20"/>
                <w:color w:val="auto"/>
              </w:rPr>
            </w:pPr>
            <w:r>
              <w:rPr>
                <w:rFonts w:ascii="Arial" w:cs="Arial" w:eastAsia="Arial" w:hAnsi="Arial"/>
                <w:sz w:val="18"/>
                <w:szCs w:val="18"/>
                <w:color w:val="0000FF"/>
                <w:w w:val="87"/>
              </w:rPr>
              <w:t>55,500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20.97</w:t>
            </w:r>
            <w:r>
              <w:rPr>
                <w:rFonts w:ascii="Arial" w:cs="Arial" w:eastAsia="Arial" w:hAnsi="Arial"/>
                <w:sz w:val="22"/>
                <w:szCs w:val="22"/>
                <w:color w:val="008000"/>
                <w:w w:val="84"/>
                <w:vertAlign w:val="superscript"/>
              </w:rPr>
              <w:t>(1)</w:t>
            </w:r>
          </w:p>
        </w:tc>
        <w:tc>
          <w:tcPr>
            <w:tcW w:w="1280" w:type="dxa"/>
            <w:vAlign w:val="bottom"/>
            <w:gridSpan w:val="3"/>
          </w:tcPr>
          <w:p>
            <w:pPr>
              <w:jc w:val="right"/>
              <w:ind w:right="299"/>
              <w:spacing w:after="0"/>
              <w:rPr>
                <w:sz w:val="20"/>
                <w:szCs w:val="20"/>
                <w:color w:val="auto"/>
              </w:rPr>
            </w:pPr>
            <w:r>
              <w:rPr>
                <w:rFonts w:ascii="Arial" w:cs="Arial" w:eastAsia="Arial" w:hAnsi="Arial"/>
                <w:sz w:val="18"/>
                <w:szCs w:val="18"/>
                <w:color w:val="0000FF"/>
              </w:rPr>
              <w:t>496,813</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Arial" w:cs="Arial" w:eastAsia="Arial" w:hAnsi="Arial"/>
                <w:sz w:val="18"/>
                <w:szCs w:val="18"/>
                <w:color w:val="0000FF"/>
              </w:rPr>
              <w:t>11/25/2015</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rPr>
                <w:sz w:val="20"/>
                <w:szCs w:val="20"/>
                <w:color w:val="auto"/>
              </w:rPr>
            </w:pPr>
            <w:r>
              <w:rPr>
                <w:rFonts w:ascii="Arial" w:cs="Arial" w:eastAsia="Arial" w:hAnsi="Arial"/>
                <w:sz w:val="18"/>
                <w:szCs w:val="18"/>
                <w:color w:val="0000FF"/>
                <w:w w:val="89"/>
              </w:rPr>
              <w:t>174,096</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21.48</w:t>
            </w:r>
            <w:r>
              <w:rPr>
                <w:rFonts w:ascii="Arial" w:cs="Arial" w:eastAsia="Arial" w:hAnsi="Arial"/>
                <w:sz w:val="22"/>
                <w:szCs w:val="22"/>
                <w:color w:val="008000"/>
                <w:w w:val="84"/>
                <w:vertAlign w:val="superscript"/>
              </w:rPr>
              <w:t>(2)</w:t>
            </w:r>
          </w:p>
        </w:tc>
        <w:tc>
          <w:tcPr>
            <w:tcW w:w="1280" w:type="dxa"/>
            <w:vAlign w:val="bottom"/>
            <w:gridSpan w:val="3"/>
          </w:tcPr>
          <w:p>
            <w:pPr>
              <w:jc w:val="right"/>
              <w:ind w:right="299"/>
              <w:spacing w:after="0"/>
              <w:rPr>
                <w:sz w:val="20"/>
                <w:szCs w:val="20"/>
                <w:color w:val="auto"/>
              </w:rPr>
            </w:pPr>
            <w:r>
              <w:rPr>
                <w:rFonts w:ascii="Arial" w:cs="Arial" w:eastAsia="Arial" w:hAnsi="Arial"/>
                <w:sz w:val="18"/>
                <w:szCs w:val="18"/>
                <w:color w:val="0000FF"/>
              </w:rPr>
              <w:t>322,717</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Arial" w:cs="Arial" w:eastAsia="Arial" w:hAnsi="Arial"/>
                <w:sz w:val="18"/>
                <w:szCs w:val="18"/>
                <w:color w:val="0000FF"/>
              </w:rPr>
              <w:t>11/27/2015</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rPr>
                <w:sz w:val="20"/>
                <w:szCs w:val="20"/>
                <w:color w:val="auto"/>
              </w:rPr>
            </w:pPr>
            <w:r>
              <w:rPr>
                <w:rFonts w:ascii="Arial" w:cs="Arial" w:eastAsia="Arial" w:hAnsi="Arial"/>
                <w:sz w:val="18"/>
                <w:szCs w:val="18"/>
                <w:color w:val="0000FF"/>
                <w:w w:val="88"/>
              </w:rPr>
              <w:t>2,400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21.86</w:t>
            </w:r>
            <w:r>
              <w:rPr>
                <w:rFonts w:ascii="Arial" w:cs="Arial" w:eastAsia="Arial" w:hAnsi="Arial"/>
                <w:sz w:val="22"/>
                <w:szCs w:val="22"/>
                <w:color w:val="008000"/>
                <w:w w:val="84"/>
                <w:vertAlign w:val="superscript"/>
              </w:rPr>
              <w:t>(3)</w:t>
            </w:r>
          </w:p>
        </w:tc>
        <w:tc>
          <w:tcPr>
            <w:tcW w:w="1280" w:type="dxa"/>
            <w:vAlign w:val="bottom"/>
            <w:gridSpan w:val="3"/>
          </w:tcPr>
          <w:p>
            <w:pPr>
              <w:jc w:val="right"/>
              <w:ind w:right="299"/>
              <w:spacing w:after="0"/>
              <w:rPr>
                <w:sz w:val="20"/>
                <w:szCs w:val="20"/>
                <w:color w:val="auto"/>
              </w:rPr>
            </w:pPr>
            <w:r>
              <w:rPr>
                <w:rFonts w:ascii="Arial" w:cs="Arial" w:eastAsia="Arial" w:hAnsi="Arial"/>
                <w:sz w:val="18"/>
                <w:szCs w:val="18"/>
                <w:color w:val="0000FF"/>
              </w:rPr>
              <w:t>320,317</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480" w:type="dxa"/>
            <w:vAlign w:val="bottom"/>
            <w:gridSpan w:val="2"/>
          </w:tcPr>
          <w:p>
            <w:pPr>
              <w:jc w:val="right"/>
              <w:ind w:right="119"/>
              <w:spacing w:after="0"/>
              <w:rPr>
                <w:sz w:val="20"/>
                <w:szCs w:val="20"/>
                <w:color w:val="auto"/>
              </w:rPr>
            </w:pPr>
            <w:r>
              <w:rPr>
                <w:rFonts w:ascii="Arial" w:cs="Arial" w:eastAsia="Arial" w:hAnsi="Arial"/>
                <w:sz w:val="18"/>
                <w:szCs w:val="18"/>
                <w:color w:val="0000FF"/>
              </w:rPr>
              <w:t>11/27/2015</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40" w:type="dxa"/>
            <w:vAlign w:val="bottom"/>
          </w:tcPr>
          <w:p>
            <w:pPr>
              <w:jc w:val="center"/>
              <w:spacing w:after="0"/>
              <w:rPr>
                <w:sz w:val="20"/>
                <w:szCs w:val="20"/>
                <w:color w:val="auto"/>
              </w:rPr>
            </w:pPr>
            <w:r>
              <w:rPr>
                <w:rFonts w:ascii="Arial" w:cs="Arial" w:eastAsia="Arial" w:hAnsi="Arial"/>
                <w:sz w:val="18"/>
                <w:szCs w:val="18"/>
                <w:color w:val="0000FF"/>
                <w:w w:val="87"/>
              </w:rPr>
              <w:t>55,419</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21.97</w:t>
            </w:r>
            <w:r>
              <w:rPr>
                <w:rFonts w:ascii="Arial" w:cs="Arial" w:eastAsia="Arial" w:hAnsi="Arial"/>
                <w:sz w:val="22"/>
                <w:szCs w:val="22"/>
                <w:color w:val="008000"/>
                <w:w w:val="84"/>
                <w:vertAlign w:val="superscript"/>
              </w:rPr>
              <w:t>(4)</w:t>
            </w:r>
          </w:p>
        </w:tc>
        <w:tc>
          <w:tcPr>
            <w:tcW w:w="1280" w:type="dxa"/>
            <w:vAlign w:val="bottom"/>
            <w:gridSpan w:val="3"/>
          </w:tcPr>
          <w:p>
            <w:pPr>
              <w:jc w:val="right"/>
              <w:ind w:right="299"/>
              <w:spacing w:after="0"/>
              <w:rPr>
                <w:sz w:val="20"/>
                <w:szCs w:val="20"/>
                <w:color w:val="auto"/>
              </w:rPr>
            </w:pPr>
            <w:r>
              <w:rPr>
                <w:rFonts w:ascii="Arial" w:cs="Arial" w:eastAsia="Arial" w:hAnsi="Arial"/>
                <w:sz w:val="18"/>
                <w:szCs w:val="18"/>
                <w:color w:val="0000FF"/>
              </w:rPr>
              <w:t>264,898</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jc w:val="right"/>
              <w:ind w:right="119"/>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jc w:val="right"/>
              <w:ind w:right="99"/>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77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77876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4Code.  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6Exercisable.DateExercisableDate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7Title.Title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1420" w:type="dxa"/>
            <w:vAlign w:val="bottom"/>
            <w:gridSpan w:val="12"/>
          </w:tcPr>
          <w:p>
            <w:pPr>
              <w:ind w:left="40"/>
              <w:spacing w:after="0" w:line="68" w:lineRule="exact"/>
              <w:rPr>
                <w:sz w:val="20"/>
                <w:szCs w:val="20"/>
                <w:color w:val="auto"/>
              </w:rPr>
            </w:pPr>
            <w:r>
              <w:rPr>
                <w:rFonts w:ascii="Arial" w:cs="Arial" w:eastAsia="Arial" w:hAnsi="Arial"/>
                <w:sz w:val="7"/>
                <w:szCs w:val="7"/>
                <w:color w:val="008000"/>
              </w:rPr>
              <w:t>1. The price reported for this transaction is the weighted average price of multiple trades at prices ranging from $20.31 to $21.30. FMR LLC hereby undertakes to provide upon request by the Commission staff,</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40" w:type="dxa"/>
            <w:vAlign w:val="bottom"/>
          </w:tcPr>
          <w:p>
            <w:pPr>
              <w:spacing w:after="0"/>
              <w:rPr>
                <w:sz w:val="5"/>
                <w:szCs w:val="5"/>
                <w:color w:val="auto"/>
              </w:rPr>
            </w:pPr>
          </w:p>
        </w:tc>
        <w:tc>
          <w:tcPr>
            <w:tcW w:w="11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2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820" w:type="dxa"/>
            <w:vAlign w:val="bottom"/>
          </w:tcPr>
          <w:p>
            <w:pPr>
              <w:ind w:left="12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8140" w:type="dxa"/>
            <w:vAlign w:val="bottom"/>
            <w:gridSpan w:val="8"/>
          </w:tcPr>
          <w:p>
            <w:pPr>
              <w:ind w:left="40"/>
              <w:spacing w:after="0" w:line="81" w:lineRule="exact"/>
              <w:rPr>
                <w:sz w:val="20"/>
                <w:szCs w:val="20"/>
                <w:color w:val="auto"/>
              </w:rPr>
            </w:pPr>
            <w:r>
              <w:rPr>
                <w:rFonts w:ascii="Arial" w:cs="Arial" w:eastAsia="Arial" w:hAnsi="Arial"/>
                <w:sz w:val="9"/>
                <w:szCs w:val="9"/>
                <w:color w:val="008000"/>
              </w:rPr>
              <w:t>the issuer, or a security holder of the issuer full information regarding the number of shares and prices at which the transaction was effected.</w:t>
            </w:r>
          </w:p>
        </w:tc>
        <w:tc>
          <w:tcPr>
            <w:tcW w:w="740" w:type="dxa"/>
            <w:vAlign w:val="bottom"/>
          </w:tcPr>
          <w:p>
            <w:pPr>
              <w:spacing w:after="0"/>
              <w:rPr>
                <w:sz w:val="7"/>
                <w:szCs w:val="7"/>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Following</w:t>
            </w: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tcPr>
          <w:p>
            <w:pPr>
              <w:spacing w:after="0"/>
              <w:rPr>
                <w:sz w:val="6"/>
                <w:szCs w:val="6"/>
                <w:color w:val="auto"/>
              </w:rPr>
            </w:pPr>
          </w:p>
        </w:tc>
        <w:tc>
          <w:tcPr>
            <w:tcW w:w="760" w:type="dxa"/>
            <w:vAlign w:val="bottom"/>
          </w:tcPr>
          <w:p>
            <w:pPr>
              <w:ind w:left="20"/>
              <w:spacing w:after="0" w:line="79" w:lineRule="exact"/>
              <w:rPr>
                <w:sz w:val="20"/>
                <w:szCs w:val="20"/>
                <w:color w:val="auto"/>
              </w:rPr>
            </w:pPr>
            <w:r>
              <w:rPr>
                <w:rFonts w:ascii="Arial" w:cs="Arial" w:eastAsia="Arial" w:hAnsi="Arial"/>
                <w:sz w:val="9"/>
                <w:szCs w:val="9"/>
                <w:b w:val="1"/>
                <w:bCs w:val="1"/>
                <w:color w:val="auto"/>
              </w:rPr>
              <w:t>Security</w:t>
            </w: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(A) or</w:t>
            </w:r>
          </w:p>
        </w:tc>
        <w:tc>
          <w:tcPr>
            <w:tcW w:w="1540" w:type="dxa"/>
            <w:vAlign w:val="bottom"/>
          </w:tcPr>
          <w:p>
            <w:pPr>
              <w:spacing w:after="0"/>
              <w:rPr>
                <w:sz w:val="6"/>
                <w:szCs w:val="6"/>
                <w:color w:val="auto"/>
              </w:rPr>
            </w:pPr>
          </w:p>
        </w:tc>
        <w:tc>
          <w:tcPr>
            <w:tcW w:w="1120" w:type="dxa"/>
            <w:vAlign w:val="bottom"/>
          </w:tcPr>
          <w:p>
            <w:pPr>
              <w:ind w:left="100"/>
              <w:spacing w:after="0" w:line="79"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1"/>
          <w:szCs w:val="11"/>
          <w:color w:val="008000"/>
        </w:rPr>
        <w:t>2. The price reported for this transaction is the weighted average price of multiple trades</w:t>
      </w:r>
      <w:r>
        <w:rPr>
          <w:rFonts w:ascii="Arial" w:cs="Arial" w:eastAsia="Arial" w:hAnsi="Arial"/>
          <w:sz w:val="10"/>
          <w:szCs w:val="10"/>
          <w:b w:val="1"/>
          <w:bCs w:val="1"/>
          <w:color w:val="000000"/>
        </w:rPr>
        <w:t>Dis</w:t>
      </w:r>
      <w:r>
        <w:rPr>
          <w:rFonts w:ascii="Arial" w:cs="Arial" w:eastAsia="Arial" w:hAnsi="Arial"/>
          <w:sz w:val="11"/>
          <w:szCs w:val="11"/>
          <w:color w:val="008000"/>
        </w:rPr>
        <w:t>atprices</w:t>
      </w:r>
      <w:r>
        <w:rPr>
          <w:rFonts w:ascii="Arial" w:cs="Arial" w:eastAsia="Arial" w:hAnsi="Arial"/>
          <w:sz w:val="10"/>
          <w:szCs w:val="10"/>
          <w:b w:val="1"/>
          <w:bCs w:val="1"/>
          <w:color w:val="000000"/>
        </w:rPr>
        <w:t>osd</w:t>
      </w:r>
      <w:r>
        <w:rPr>
          <w:rFonts w:ascii="Arial" w:cs="Arial" w:eastAsia="Arial" w:hAnsi="Arial"/>
          <w:sz w:val="11"/>
          <w:szCs w:val="11"/>
          <w:color w:val="008000"/>
        </w:rPr>
        <w:t xml:space="preserve"> ranging from $21.31 to $21.74. FMR</w:t>
      </w:r>
      <w:r>
        <w:rPr>
          <w:rFonts w:ascii="Arial" w:cs="Arial" w:eastAsia="Arial" w:hAnsi="Arial"/>
          <w:sz w:val="10"/>
          <w:szCs w:val="10"/>
          <w:b w:val="1"/>
          <w:bCs w:val="1"/>
          <w:color w:val="000000"/>
        </w:rPr>
        <w:t>and 4)</w:t>
      </w:r>
      <w:r>
        <w:rPr>
          <w:rFonts w:ascii="Arial" w:cs="Arial" w:eastAsia="Arial" w:hAnsi="Arial"/>
          <w:sz w:val="11"/>
          <w:szCs w:val="11"/>
          <w:color w:val="008000"/>
        </w:rPr>
        <w:t>LLC hereby undertakes to provide</w:t>
      </w:r>
      <w:r>
        <w:rPr>
          <w:rFonts w:ascii="Arial" w:cs="Arial" w:eastAsia="Arial" w:hAnsi="Arial"/>
          <w:sz w:val="10"/>
          <w:szCs w:val="10"/>
          <w:b w:val="1"/>
          <w:bCs w:val="1"/>
          <w:color w:val="000000"/>
        </w:rPr>
        <w:t>Reported</w:t>
      </w:r>
      <w:r>
        <w:rPr>
          <w:rFonts w:ascii="Arial" w:cs="Arial" w:eastAsia="Arial" w:hAnsi="Arial"/>
          <w:sz w:val="11"/>
          <w:szCs w:val="11"/>
          <w:color w:val="008000"/>
        </w:rPr>
        <w:t>upon request by the Commission staff,</w:t>
      </w:r>
    </w:p>
    <w:tbl>
      <w:tblPr>
        <w:tblLayout w:type="fixed"/>
        <w:tblInd w:w="40" w:type="dxa"/>
        <w:tblCellMar>
          <w:top w:w="0" w:type="dxa"/>
          <w:left w:w="0" w:type="dxa"/>
          <w:bottom w:w="0" w:type="dxa"/>
          <w:right w:w="0" w:type="dxa"/>
        </w:tblCellMar>
      </w:tblPr>
      <w:tr>
        <w:trPr>
          <w:trHeight w:val="119"/>
        </w:trPr>
        <w:tc>
          <w:tcPr>
            <w:tcW w:w="8240" w:type="dxa"/>
            <w:vAlign w:val="bottom"/>
          </w:tcPr>
          <w:p>
            <w:pPr>
              <w:ind w:left="4740"/>
              <w:spacing w:after="0" w:line="119"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ind w:left="660"/>
              <w:spacing w:after="0" w:line="119" w:lineRule="exact"/>
              <w:rPr>
                <w:sz w:val="20"/>
                <w:szCs w:val="20"/>
                <w:color w:val="auto"/>
              </w:rPr>
            </w:pPr>
            <w:r>
              <w:rPr>
                <w:rFonts w:ascii="Arial" w:cs="Arial" w:eastAsia="Arial" w:hAnsi="Arial"/>
                <w:sz w:val="12"/>
                <w:szCs w:val="12"/>
                <w:b w:val="1"/>
                <w:bCs w:val="1"/>
                <w:color w:val="auto"/>
                <w:w w:val="99"/>
              </w:rPr>
              <w:t>Transaction(s)</w:t>
            </w:r>
          </w:p>
        </w:tc>
        <w:tc>
          <w:tcPr>
            <w:tcW w:w="0" w:type="dxa"/>
            <w:vAlign w:val="bottom"/>
          </w:tcPr>
          <w:p>
            <w:pPr>
              <w:spacing w:after="0"/>
              <w:rPr>
                <w:sz w:val="1"/>
                <w:szCs w:val="1"/>
                <w:color w:val="auto"/>
              </w:rPr>
            </w:pPr>
          </w:p>
        </w:tc>
      </w:tr>
      <w:tr>
        <w:trPr>
          <w:trHeight w:val="27"/>
        </w:trPr>
        <w:tc>
          <w:tcPr>
            <w:tcW w:w="8240" w:type="dxa"/>
            <w:vAlign w:val="bottom"/>
          </w:tcPr>
          <w:p>
            <w:pPr>
              <w:spacing w:after="0" w:line="27" w:lineRule="exact"/>
              <w:rPr>
                <w:sz w:val="20"/>
                <w:szCs w:val="20"/>
                <w:color w:val="auto"/>
              </w:rPr>
            </w:pPr>
            <w:r>
              <w:rPr>
                <w:rFonts w:ascii="Arial" w:cs="Arial" w:eastAsia="Arial" w:hAnsi="Arial"/>
                <w:sz w:val="3"/>
                <w:szCs w:val="3"/>
                <w:color w:val="008000"/>
              </w:rPr>
              <w:t>the issuer, or a security holder of the issuer full information regarding the number of shares and prices at which the transaction was effected.</w:t>
            </w:r>
          </w:p>
        </w:tc>
        <w:tc>
          <w:tcPr>
            <w:tcW w:w="1500" w:type="dxa"/>
            <w:vAlign w:val="bottom"/>
            <w:vMerge w:val="restart"/>
          </w:tcPr>
          <w:p>
            <w:pPr>
              <w:ind w:left="660"/>
              <w:spacing w:after="0" w:line="11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82"/>
        </w:trPr>
        <w:tc>
          <w:tcPr>
            <w:tcW w:w="8240" w:type="dxa"/>
            <w:vAlign w:val="bottom"/>
          </w:tcPr>
          <w:p>
            <w:pPr>
              <w:ind w:left="4740"/>
              <w:spacing w:after="0" w:line="82" w:lineRule="exact"/>
              <w:rPr>
                <w:sz w:val="20"/>
                <w:szCs w:val="20"/>
                <w:color w:val="auto"/>
              </w:rPr>
            </w:pPr>
            <w:r>
              <w:rPr>
                <w:rFonts w:ascii="Arial" w:cs="Arial" w:eastAsia="Arial" w:hAnsi="Arial"/>
                <w:sz w:val="9"/>
                <w:szCs w:val="9"/>
                <w:b w:val="1"/>
                <w:bCs w:val="1"/>
                <w:color w:val="auto"/>
              </w:rPr>
              <w:t>(Instr. 3, 4</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780" w:right="60" w:hanging="4739"/>
        <w:spacing w:after="0"/>
        <w:rPr>
          <w:sz w:val="20"/>
          <w:szCs w:val="20"/>
          <w:color w:val="auto"/>
        </w:rPr>
      </w:pPr>
      <w:r>
        <w:rPr>
          <w:rFonts w:ascii="Arial" w:cs="Arial" w:eastAsia="Arial" w:hAnsi="Arial"/>
          <w:sz w:val="11"/>
          <w:szCs w:val="11"/>
          <w:color w:val="008000"/>
        </w:rPr>
        <w:t xml:space="preserve">3. The price reported for this transaction is the weighted average price of multiple trades at prices ranging from $21.39 to $22.02. FMR LLC hereby undertakes to provide upon request by the Commission staff, </w:t>
      </w:r>
      <w:r>
        <w:rPr>
          <w:rFonts w:ascii="Arial" w:cs="Arial" w:eastAsia="Arial" w:hAnsi="Arial"/>
          <w:sz w:val="10"/>
          <w:szCs w:val="10"/>
          <w:b w:val="1"/>
          <w:bCs w:val="1"/>
          <w:color w:val="000000"/>
        </w:rPr>
        <w:t>and 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issuer, or a security holder of the issuer full information regarding the number of shares and prices at which the transaction was effected.</w:t>
      </w:r>
    </w:p>
    <w:p>
      <w:pPr>
        <w:spacing w:after="0" w:line="30" w:lineRule="exact"/>
        <w:rPr>
          <w:sz w:val="20"/>
          <w:szCs w:val="20"/>
          <w:color w:val="auto"/>
        </w:rPr>
      </w:pPr>
    </w:p>
    <w:p>
      <w:pPr>
        <w:ind w:left="40" w:right="60" w:firstLine="9"/>
        <w:spacing w:after="0" w:line="190"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$21.80 to $22.15. FMR LLC hereby undertakes to provide upon request by the Commission staff, the issuer, or a security holder of the issuer full information regarding the number of shares and prices at which the transaction was effected</w:t>
      </w:r>
      <w:r>
        <w:rPr>
          <w:rFonts w:ascii="Arial" w:cs="Arial" w:eastAsia="Arial" w:hAnsi="Arial"/>
          <w:sz w:val="24"/>
          <w:szCs w:val="24"/>
          <w:b w:val="1"/>
          <w:bCs w:val="1"/>
          <w:color w:val="000000"/>
          <w:vertAlign w:val="subscript"/>
        </w:rPr>
        <w:t>Amount</w:t>
      </w:r>
      <w:r>
        <w:rPr>
          <w:rFonts w:ascii="Arial" w:cs="Arial" w:eastAsia="Arial" w:hAnsi="Arial"/>
          <w:sz w:val="14"/>
          <w:szCs w:val="14"/>
          <w:color w:val="008000"/>
        </w:rPr>
        <w:t>.</w:t>
      </w:r>
    </w:p>
    <w:tbl>
      <w:tblPr>
        <w:tblLayout w:type="fixed"/>
        <w:tblInd w:w="40" w:type="dxa"/>
        <w:tblCellMar>
          <w:top w:w="0" w:type="dxa"/>
          <w:left w:w="0" w:type="dxa"/>
          <w:bottom w:w="0" w:type="dxa"/>
          <w:right w:w="0" w:type="dxa"/>
        </w:tblCellMar>
      </w:tblPr>
      <w:tr>
        <w:trPr>
          <w:trHeight w:val="122"/>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Remarks:</w:t>
            </w:r>
          </w:p>
        </w:tc>
        <w:tc>
          <w:tcPr>
            <w:tcW w:w="3820" w:type="dxa"/>
            <w:vAlign w:val="bottom"/>
          </w:tcPr>
          <w:p>
            <w:pPr>
              <w:ind w:left="3360"/>
              <w:spacing w:after="0" w:line="122"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12"/>
        </w:trPr>
        <w:tc>
          <w:tcPr>
            <w:tcW w:w="4180" w:type="dxa"/>
            <w:vAlign w:val="bottom"/>
            <w:vMerge w:val="continue"/>
          </w:tcPr>
          <w:p>
            <w:pPr>
              <w:spacing w:after="0"/>
              <w:rPr>
                <w:sz w:val="9"/>
                <w:szCs w:val="9"/>
                <w:color w:val="auto"/>
              </w:rPr>
            </w:pPr>
          </w:p>
        </w:tc>
        <w:tc>
          <w:tcPr>
            <w:tcW w:w="3820" w:type="dxa"/>
            <w:vAlign w:val="bottom"/>
            <w:vMerge w:val="restart"/>
          </w:tcPr>
          <w:p>
            <w:pPr>
              <w:ind w:left="336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37"/>
        </w:trPr>
        <w:tc>
          <w:tcPr>
            <w:tcW w:w="4180" w:type="dxa"/>
            <w:vAlign w:val="bottom"/>
          </w:tcPr>
          <w:p>
            <w:pPr>
              <w:spacing w:after="0"/>
              <w:rPr>
                <w:sz w:val="3"/>
                <w:szCs w:val="3"/>
                <w:color w:val="auto"/>
              </w:rPr>
            </w:pPr>
          </w:p>
        </w:tc>
        <w:tc>
          <w:tcPr>
            <w:tcW w:w="3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1"/>
          <w:szCs w:val="11"/>
          <w:color w:val="008000"/>
        </w:rPr>
        <w:t>Remark 1: Edward C. Johnson 3d is a Director and the Chairman of FMR LLC and Abigail P. Johnson</w:t>
      </w:r>
      <w:r>
        <w:rPr>
          <w:rFonts w:ascii="Arial" w:cs="Arial" w:eastAsia="Arial" w:hAnsi="Arial"/>
          <w:sz w:val="10"/>
          <w:szCs w:val="10"/>
          <w:b w:val="1"/>
          <w:bCs w:val="1"/>
          <w:color w:val="000000"/>
        </w:rPr>
        <w:t>Date</w:t>
      </w:r>
      <w:r>
        <w:rPr>
          <w:rFonts w:ascii="Arial" w:cs="Arial" w:eastAsia="Arial" w:hAnsi="Arial"/>
          <w:sz w:val="11"/>
          <w:szCs w:val="11"/>
          <w:color w:val="008000"/>
        </w:rPr>
        <w:t>isa Director, the</w:t>
      </w:r>
      <w:r>
        <w:rPr>
          <w:rFonts w:ascii="Arial" w:cs="Arial" w:eastAsia="Arial" w:hAnsi="Arial"/>
          <w:sz w:val="10"/>
          <w:szCs w:val="10"/>
          <w:b w:val="1"/>
          <w:bCs w:val="1"/>
          <w:color w:val="000000"/>
        </w:rPr>
        <w:t>Expiration</w:t>
      </w:r>
      <w:r>
        <w:rPr>
          <w:rFonts w:ascii="Arial" w:cs="Arial" w:eastAsia="Arial" w:hAnsi="Arial"/>
          <w:sz w:val="11"/>
          <w:szCs w:val="11"/>
          <w:color w:val="008000"/>
        </w:rPr>
        <w:t>ViceChairman, the</w:t>
      </w:r>
      <w:r>
        <w:rPr>
          <w:rFonts w:ascii="Arial" w:cs="Arial" w:eastAsia="Arial" w:hAnsi="Arial"/>
          <w:sz w:val="10"/>
          <w:szCs w:val="10"/>
          <w:b w:val="1"/>
          <w:bCs w:val="1"/>
          <w:color w:val="000000"/>
        </w:rPr>
        <w:t>of</w:t>
      </w:r>
      <w:r>
        <w:rPr>
          <w:rFonts w:ascii="Arial" w:cs="Arial" w:eastAsia="Arial" w:hAnsi="Arial"/>
          <w:sz w:val="11"/>
          <w:szCs w:val="11"/>
          <w:color w:val="008000"/>
        </w:rPr>
        <w:t>Chief Executive Officer and the President of FMR LLC. Members of</w:t>
      </w:r>
    </w:p>
    <w:p>
      <w:pPr>
        <w:spacing w:after="0" w:line="9" w:lineRule="exact"/>
        <w:rPr>
          <w:sz w:val="20"/>
          <w:szCs w:val="20"/>
          <w:color w:val="auto"/>
        </w:rPr>
      </w:pPr>
    </w:p>
    <w:p>
      <w:pPr>
        <w:ind w:left="40" w:right="100"/>
        <w:spacing w:after="0" w:line="225" w:lineRule="auto"/>
        <w:rPr>
          <w:sz w:val="20"/>
          <w:szCs w:val="20"/>
          <w:color w:val="auto"/>
        </w:rPr>
      </w:pPr>
      <w:r>
        <w:rPr>
          <w:rFonts w:ascii="Arial" w:cs="Arial" w:eastAsia="Arial" w:hAnsi="Arial"/>
          <w:sz w:val="13"/>
          <w:szCs w:val="13"/>
          <w:color w:val="008000"/>
        </w:rPr>
        <w:t>the family of Edward C. Johnson 3d, including Abigail P. Johnson, are the</w:t>
      </w:r>
      <w:r>
        <w:rPr>
          <w:rFonts w:ascii="Arial" w:cs="Arial" w:eastAsia="Arial" w:hAnsi="Arial"/>
          <w:sz w:val="23"/>
          <w:szCs w:val="23"/>
          <w:b w:val="1"/>
          <w:bCs w:val="1"/>
          <w:color w:val="000000"/>
          <w:vertAlign w:val="superscript"/>
        </w:rPr>
        <w:t>Code</w:t>
      </w:r>
      <w:r>
        <w:rPr>
          <w:rFonts w:ascii="Arial" w:cs="Arial" w:eastAsia="Arial" w:hAnsi="Arial"/>
          <w:sz w:val="13"/>
          <w:szCs w:val="13"/>
          <w:color w:val="008000"/>
        </w:rPr>
        <w:t>predominant</w:t>
      </w:r>
      <w:r>
        <w:rPr>
          <w:rFonts w:ascii="Arial" w:cs="Arial" w:eastAsia="Arial" w:hAnsi="Arial"/>
          <w:sz w:val="23"/>
          <w:szCs w:val="23"/>
          <w:b w:val="1"/>
          <w:bCs w:val="1"/>
          <w:color w:val="000000"/>
          <w:vertAlign w:val="superscript"/>
        </w:rPr>
        <w:t>V (A)</w:t>
      </w:r>
      <w:r>
        <w:rPr>
          <w:rFonts w:ascii="Arial" w:cs="Arial" w:eastAsia="Arial" w:hAnsi="Arial"/>
          <w:sz w:val="13"/>
          <w:szCs w:val="13"/>
          <w:color w:val="008000"/>
        </w:rPr>
        <w:t>owners,</w:t>
      </w:r>
      <w:r>
        <w:rPr>
          <w:rFonts w:ascii="Arial" w:cs="Arial" w:eastAsia="Arial" w:hAnsi="Arial"/>
          <w:sz w:val="23"/>
          <w:szCs w:val="23"/>
          <w:b w:val="1"/>
          <w:bCs w:val="1"/>
          <w:color w:val="000000"/>
          <w:vertAlign w:val="superscript"/>
        </w:rPr>
        <w:t>(D)</w:t>
      </w:r>
      <w:r>
        <w:rPr>
          <w:rFonts w:ascii="Arial" w:cs="Arial" w:eastAsia="Arial" w:hAnsi="Arial"/>
          <w:sz w:val="13"/>
          <w:szCs w:val="13"/>
          <w:color w:val="008000"/>
        </w:rPr>
        <w:t>directly</w:t>
      </w:r>
      <w:r>
        <w:rPr>
          <w:rFonts w:ascii="Arial" w:cs="Arial" w:eastAsia="Arial" w:hAnsi="Arial"/>
          <w:sz w:val="23"/>
          <w:szCs w:val="23"/>
          <w:b w:val="1"/>
          <w:bCs w:val="1"/>
          <w:color w:val="000000"/>
          <w:vertAlign w:val="superscript"/>
        </w:rPr>
        <w:t>Exe</w:t>
      </w:r>
      <w:r>
        <w:rPr>
          <w:rFonts w:ascii="Arial" w:cs="Arial" w:eastAsia="Arial" w:hAnsi="Arial"/>
          <w:sz w:val="13"/>
          <w:szCs w:val="13"/>
          <w:color w:val="008000"/>
        </w:rPr>
        <w:t>or</w:t>
      </w:r>
      <w:r>
        <w:rPr>
          <w:rFonts w:ascii="Arial" w:cs="Arial" w:eastAsia="Arial" w:hAnsi="Arial"/>
          <w:sz w:val="23"/>
          <w:szCs w:val="23"/>
          <w:b w:val="1"/>
          <w:bCs w:val="1"/>
          <w:color w:val="000000"/>
          <w:vertAlign w:val="superscript"/>
        </w:rPr>
        <w:t>cisable</w:t>
      </w:r>
      <w:r>
        <w:rPr>
          <w:rFonts w:ascii="Arial" w:cs="Arial" w:eastAsia="Arial" w:hAnsi="Arial"/>
          <w:sz w:val="13"/>
          <w:szCs w:val="13"/>
          <w:color w:val="008000"/>
        </w:rPr>
        <w:t>through trusts,</w:t>
      </w:r>
      <w:r>
        <w:rPr>
          <w:rFonts w:ascii="Arial" w:cs="Arial" w:eastAsia="Arial" w:hAnsi="Arial"/>
          <w:sz w:val="23"/>
          <w:szCs w:val="23"/>
          <w:b w:val="1"/>
          <w:bCs w:val="1"/>
          <w:color w:val="000000"/>
          <w:vertAlign w:val="superscript"/>
        </w:rPr>
        <w:t>Date</w:t>
      </w:r>
      <w:r>
        <w:rPr>
          <w:rFonts w:ascii="Arial" w:cs="Arial" w:eastAsia="Arial" w:hAnsi="Arial"/>
          <w:sz w:val="13"/>
          <w:szCs w:val="13"/>
          <w:color w:val="008000"/>
        </w:rPr>
        <w:t xml:space="preserve"> of Series</w:t>
      </w:r>
      <w:r>
        <w:rPr>
          <w:rFonts w:ascii="Arial" w:cs="Arial" w:eastAsia="Arial" w:hAnsi="Arial"/>
          <w:sz w:val="23"/>
          <w:szCs w:val="23"/>
          <w:b w:val="1"/>
          <w:bCs w:val="1"/>
          <w:color w:val="000000"/>
          <w:vertAlign w:val="superscript"/>
        </w:rPr>
        <w:t>Title</w:t>
      </w:r>
      <w:r>
        <w:rPr>
          <w:rFonts w:ascii="Arial" w:cs="Arial" w:eastAsia="Arial" w:hAnsi="Arial"/>
          <w:sz w:val="13"/>
          <w:szCs w:val="13"/>
          <w:color w:val="008000"/>
        </w:rPr>
        <w:t>Bvoting</w:t>
      </w:r>
      <w:r>
        <w:rPr>
          <w:rFonts w:ascii="Arial" w:cs="Arial" w:eastAsia="Arial" w:hAnsi="Arial"/>
          <w:sz w:val="23"/>
          <w:szCs w:val="23"/>
          <w:b w:val="1"/>
          <w:bCs w:val="1"/>
          <w:color w:val="000000"/>
          <w:vertAlign w:val="superscript"/>
        </w:rPr>
        <w:t>Shares</w:t>
      </w:r>
      <w:r>
        <w:rPr>
          <w:rFonts w:ascii="Arial" w:cs="Arial" w:eastAsia="Arial" w:hAnsi="Arial"/>
          <w:sz w:val="13"/>
          <w:szCs w:val="13"/>
          <w:color w:val="008000"/>
        </w:rPr>
        <w:t>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FMR Co., Inc. (FMRC), Pyramis Global Advisors, LLC (PGALLC), and Strategic Advisers, Inc. (SAI), each a direct or indirect wholly-owned subsidiary of FMR LLC and an investment adviser registered under the Investment Advisers Act of 1940, and Pyramis Global Advisors Trust Company (PGATC), an indirect wholly-owned subsidiary of FMR LLC and a bank as defined in Section 3(a)(6) of the Securities Exchange Act of 1934 (Exchange Act), are the beneficial owners of Common Stock of Blueprint Medicines Corp. as a result of acting as investment adviser to various client funds and accounts. FMR LLC, Edward C. Johnson 3d and Abigail P. Johnson have no pecuniary interest in the Common Stock beneficially owned by FMRC, PGALLC, SAI and PGATC. Remark 3: The filing of this statement shall not be deemed to be an admission that, for purposes of Section 16 of the Exchange Act or otherwise, the undersigned are the beneficial owners of any securities reported herein.</w:t>
      </w:r>
    </w:p>
    <w:p>
      <w:pPr>
        <w:spacing w:after="0" w:line="6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Marc R. Bryant,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5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8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11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11/30/2015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7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2019-12-09T03:02:23Z</dcterms:created>
  <dcterms:modified xsi:type="dcterms:W3CDTF">2019-12-09T03:02:23Z</dcterms:modified>
</cp:coreProperties>
</file>