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80" w:type="dxa"/>
            <w:vAlign w:val="bottom"/>
            <w:gridSpan w:val="2"/>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Haviland Kate</w:t>
              </w:r>
            </w:hyperlink>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(Last)</w:t>
            </w:r>
          </w:p>
        </w:tc>
        <w:tc>
          <w:tcPr>
            <w:tcW w:w="820" w:type="dxa"/>
            <w:vAlign w:val="bottom"/>
          </w:tcPr>
          <w:p>
            <w:pPr>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8"/>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8"/>
                <w:szCs w:val="18"/>
                <w:color w:val="0000FF"/>
              </w:rPr>
              <w:t>09/18/2017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43"/>
        <w:spacing w:after="0"/>
        <w:rPr>
          <w:sz w:val="20"/>
          <w:szCs w:val="20"/>
          <w:color w:val="auto"/>
        </w:rPr>
      </w:pPr>
      <w:r>
        <w:rPr>
          <w:rFonts w:ascii="Arial" w:cs="Arial" w:eastAsia="Arial" w:hAnsi="Arial"/>
          <w:sz w:val="18"/>
          <w:szCs w:val="18"/>
          <w:color w:val="0000FF"/>
        </w:rPr>
        <w:t>Chief Business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09/18/2017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6,356</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16.28</w:t>
            </w:r>
          </w:p>
        </w:tc>
        <w:tc>
          <w:tcPr>
            <w:tcW w:w="1380" w:type="dxa"/>
            <w:vAlign w:val="bottom"/>
            <w:tcBorders>
              <w:bottom w:val="single" w:sz="8" w:color="2C2C2C"/>
            </w:tcBorders>
            <w:gridSpan w:val="3"/>
          </w:tcPr>
          <w:p>
            <w:pPr>
              <w:jc w:val="right"/>
              <w:ind w:right="396"/>
              <w:spacing w:after="0"/>
              <w:rPr>
                <w:sz w:val="20"/>
                <w:szCs w:val="20"/>
                <w:color w:val="auto"/>
              </w:rPr>
            </w:pPr>
            <w:r>
              <w:rPr>
                <w:rFonts w:ascii="Arial" w:cs="Arial" w:eastAsia="Arial" w:hAnsi="Arial"/>
                <w:sz w:val="18"/>
                <w:szCs w:val="18"/>
                <w:color w:val="0000FF"/>
              </w:rPr>
              <w:t>6,356</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09/18/2017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6,356</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60.03</w:t>
            </w:r>
            <w:r>
              <w:rPr>
                <w:rFonts w:ascii="Arial" w:cs="Arial" w:eastAsia="Arial" w:hAnsi="Arial"/>
                <w:sz w:val="22"/>
                <w:szCs w:val="22"/>
                <w:color w:val="008000"/>
                <w:w w:val="93"/>
                <w:vertAlign w:val="superscript"/>
              </w:rPr>
              <w:t>(3)</w:t>
            </w: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556"/>
              <w:spacing w:after="0"/>
              <w:rPr>
                <w:sz w:val="20"/>
                <w:szCs w:val="20"/>
                <w:color w:val="auto"/>
              </w:rPr>
            </w:pPr>
            <w:r>
              <w:rPr>
                <w:rFonts w:ascii="Arial" w:cs="Arial" w:eastAsia="Arial" w:hAnsi="Arial"/>
                <w:sz w:val="18"/>
                <w:szCs w:val="18"/>
                <w:color w:val="0000FF"/>
                <w:w w:val="99"/>
              </w:rPr>
              <w:t>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0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jc w:val="center"/>
              <w:ind w:left="4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16.28</w:t>
            </w:r>
          </w:p>
        </w:tc>
        <w:tc>
          <w:tcPr>
            <w:tcW w:w="1080" w:type="dxa"/>
            <w:vAlign w:val="bottom"/>
          </w:tcPr>
          <w:p>
            <w:pPr>
              <w:ind w:left="260"/>
              <w:spacing w:after="0"/>
              <w:rPr>
                <w:sz w:val="20"/>
                <w:szCs w:val="20"/>
                <w:color w:val="auto"/>
              </w:rPr>
            </w:pPr>
            <w:r>
              <w:rPr>
                <w:rFonts w:ascii="Arial" w:cs="Arial" w:eastAsia="Arial" w:hAnsi="Arial"/>
                <w:sz w:val="14"/>
                <w:szCs w:val="14"/>
                <w:color w:val="0000FF"/>
              </w:rPr>
              <w:t>09/18/2017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6,356</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02/01/2026</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6,356</w:t>
            </w:r>
          </w:p>
        </w:tc>
        <w:tc>
          <w:tcPr>
            <w:tcW w:w="6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tcPr>
          <w:p>
            <w:pPr>
              <w:ind w:left="280"/>
              <w:spacing w:after="0"/>
              <w:rPr>
                <w:sz w:val="20"/>
                <w:szCs w:val="20"/>
                <w:color w:val="auto"/>
              </w:rPr>
            </w:pPr>
            <w:r>
              <w:rPr>
                <w:rFonts w:ascii="Arial" w:cs="Arial" w:eastAsia="Arial" w:hAnsi="Arial"/>
                <w:sz w:val="14"/>
                <w:szCs w:val="14"/>
                <w:color w:val="0000FF"/>
                <w:w w:val="86"/>
              </w:rPr>
              <w:t>107,308</w:t>
            </w:r>
          </w:p>
        </w:tc>
        <w:tc>
          <w:tcPr>
            <w:tcW w:w="26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jc w:val="right"/>
              <w:ind w:right="154"/>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exercise reported on this Form 4 was effected pursuant to a trading plan adopted on December 20, 2016 pursuant to Rule 10b5-1 under the Securities Exchange Act of 1934, as amended (the "Exchange Act").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trading plan adopted on December 20, 2016 pursuant to Rule 10b5-1 under the Exchange Act.</w:t>
      </w:r>
    </w:p>
    <w:p>
      <w:pPr>
        <w:spacing w:after="0" w:line="41" w:lineRule="exact"/>
        <w:rPr>
          <w:rFonts w:ascii="Arial" w:cs="Arial" w:eastAsia="Arial" w:hAnsi="Arial"/>
          <w:sz w:val="14"/>
          <w:szCs w:val="14"/>
          <w:color w:val="008000"/>
        </w:rPr>
      </w:pPr>
    </w:p>
    <w:p>
      <w:pPr>
        <w:ind w:left="40" w:right="3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These shares were sold in multiple transactions at prices ranging from $60.00 to $60.20 per share.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was granted on February 1, 2016. This option vested with respect to 25% of the shares underlying the option on January 5, 2017 and as to an additional 1/48th of the shares underlying the option each month thereafter.</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09/18/2017</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2019-12-04T02:31:20Z</dcterms:created>
  <dcterms:modified xsi:type="dcterms:W3CDTF">2019-12-04T02:31:20Z</dcterms:modified>
</cp:coreProperties>
</file>