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60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Hurley Ariel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1.87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10/08/2024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9,954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-3371850</wp:posOffset>
            </wp:positionV>
            <wp:extent cx="7033260" cy="3512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1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Effected pursuant to a trading plan adopted on March 17, 2020 pursuant to Rule 10b5-1 under the Securities Exchange Act of 1934, as amended.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on October 8, 2014. This option vested with respect to 25% of the shares underlying the option on September 15, 2015 and vested as to an additional 1/48th of the shares underlying the option each month thereafter.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74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2020-08-19T15:53:38Z</dcterms:created>
  <dcterms:modified xsi:type="dcterms:W3CDTF">2020-08-19T15:53:38Z</dcterms:modified>
</cp:coreProperties>
</file>