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40" w:type="dxa"/>
            <w:vAlign w:val="bottom"/>
            <w:vMerge w:val="restart"/>
          </w:tcPr>
          <w:p>
            <w:pPr>
              <w:ind w:left="20"/>
              <w:spacing w:after="0"/>
              <w:rPr>
                <w:rFonts w:ascii="Arial" w:cs="Arial" w:eastAsia="Arial" w:hAnsi="Arial"/>
                <w:sz w:val="21"/>
                <w:szCs w:val="21"/>
                <w:u w:val="single" w:color="auto"/>
                <w:color w:val="0000EE"/>
                <w:w w:val="91"/>
              </w:rPr>
            </w:pPr>
            <w:hyperlink r:id="rId13">
              <w:r>
                <w:rPr>
                  <w:rFonts w:ascii="Arial" w:cs="Arial" w:eastAsia="Arial" w:hAnsi="Arial"/>
                  <w:sz w:val="21"/>
                  <w:szCs w:val="21"/>
                  <w:u w:val="single" w:color="auto"/>
                  <w:color w:val="0000EE"/>
                  <w:w w:val="91"/>
                </w:rPr>
                <w:t>Haviland Kate</w:t>
              </w:r>
            </w:hyperlink>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Blueprint Medicines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BLUEPRINT MEDICINES CORPORATION</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10/16/2020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80"/>
        <w:spacing w:after="0"/>
        <w:rPr>
          <w:sz w:val="20"/>
          <w:szCs w:val="20"/>
          <w:color w:val="auto"/>
        </w:rPr>
      </w:pPr>
      <w:r>
        <w:rPr>
          <w:rFonts w:ascii="Arial" w:cs="Arial" w:eastAsia="Arial" w:hAnsi="Arial"/>
          <w:sz w:val="17"/>
          <w:szCs w:val="17"/>
          <w:color w:val="0000FF"/>
        </w:rPr>
        <w:t>Chief Operating Officer</w:t>
      </w:r>
    </w:p>
    <w:p>
      <w:pPr>
        <w:spacing w:after="0" w:line="387"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1"/>
          </w:tcPr>
          <w:p>
            <w:pPr>
              <w:ind w:left="38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20" w:type="dxa"/>
            <w:vAlign w:val="bottom"/>
            <w:gridSpan w:val="11"/>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45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10/16/2020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13,334</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36.05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56,172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10/16/2020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3,009</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102.53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53,163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10/16/2020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3,125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101.56</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50,038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450"/>
              <w:spacing w:after="0"/>
              <w:rPr>
                <w:sz w:val="20"/>
                <w:szCs w:val="20"/>
                <w:color w:val="auto"/>
              </w:rPr>
            </w:pPr>
            <w:r>
              <w:rPr>
                <w:rFonts w:ascii="Arial" w:cs="Arial" w:eastAsia="Arial" w:hAnsi="Arial"/>
                <w:sz w:val="17"/>
                <w:szCs w:val="17"/>
                <w:color w:val="0000FF"/>
                <w:w w:val="89"/>
              </w:rPr>
              <w:t>10/16/2020</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7,200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100.55</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42,838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36.05</w:t>
            </w:r>
          </w:p>
        </w:tc>
        <w:tc>
          <w:tcPr>
            <w:tcW w:w="1040" w:type="dxa"/>
            <w:vAlign w:val="bottom"/>
          </w:tcPr>
          <w:p>
            <w:pPr>
              <w:jc w:val="right"/>
              <w:ind w:right="136"/>
              <w:spacing w:after="0"/>
              <w:rPr>
                <w:sz w:val="20"/>
                <w:szCs w:val="20"/>
                <w:color w:val="auto"/>
              </w:rPr>
            </w:pPr>
            <w:r>
              <w:rPr>
                <w:rFonts w:ascii="Arial" w:cs="Arial" w:eastAsia="Arial" w:hAnsi="Arial"/>
                <w:sz w:val="13"/>
                <w:szCs w:val="13"/>
                <w:color w:val="0000FF"/>
              </w:rPr>
              <w:t>10/16/2020</w:t>
            </w:r>
          </w:p>
        </w:tc>
        <w:tc>
          <w:tcPr>
            <w:tcW w:w="1140" w:type="dxa"/>
            <w:vAlign w:val="bottom"/>
          </w:tcPr>
          <w:p>
            <w:pPr>
              <w:spacing w:after="0"/>
              <w:rPr>
                <w:sz w:val="17"/>
                <w:szCs w:val="17"/>
                <w:color w:val="auto"/>
              </w:rPr>
            </w:pPr>
          </w:p>
        </w:tc>
        <w:tc>
          <w:tcPr>
            <w:tcW w:w="580" w:type="dxa"/>
            <w:vAlign w:val="bottom"/>
            <w:gridSpan w:val="2"/>
          </w:tcPr>
          <w:p>
            <w:pPr>
              <w:ind w:left="80"/>
              <w:spacing w:after="0" w:line="202"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13,334</w:t>
            </w:r>
          </w:p>
        </w:tc>
        <w:tc>
          <w:tcPr>
            <w:tcW w:w="78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02/16/2027</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20" w:type="dxa"/>
            <w:vAlign w:val="bottom"/>
          </w:tcPr>
          <w:p>
            <w:pPr>
              <w:ind w:left="80"/>
              <w:spacing w:after="0"/>
              <w:rPr>
                <w:sz w:val="20"/>
                <w:szCs w:val="20"/>
                <w:color w:val="auto"/>
              </w:rPr>
            </w:pPr>
            <w:r>
              <w:rPr>
                <w:rFonts w:ascii="Arial" w:cs="Arial" w:eastAsia="Arial" w:hAnsi="Arial"/>
                <w:sz w:val="17"/>
                <w:szCs w:val="17"/>
                <w:color w:val="0000FF"/>
                <w:w w:val="99"/>
              </w:rPr>
              <w:t>13,334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5,000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2"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-3684905</wp:posOffset>
            </wp:positionV>
            <wp:extent cx="7033895" cy="382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82397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April 19, 2019 pursuant to Rule 10b5-1 under the Securities Exchange Act of 1934, as amended.</w:t>
      </w:r>
    </w:p>
    <w:p>
      <w:pPr>
        <w:spacing w:after="0" w:line="43" w:lineRule="exact"/>
        <w:rPr>
          <w:rFonts w:ascii="Arial" w:cs="Arial" w:eastAsia="Arial" w:hAnsi="Arial"/>
          <w:sz w:val="13"/>
          <w:szCs w:val="13"/>
          <w:color w:val="008000"/>
        </w:rPr>
      </w:pPr>
    </w:p>
    <w:p>
      <w:pPr>
        <w:ind w:left="40" w:right="28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$102.40 to $102.73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through (4) of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$101.28 to $102.24 per share.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$100.24 to $101.235 per share.</w:t>
      </w:r>
    </w:p>
    <w:p>
      <w:pPr>
        <w:spacing w:after="0" w:line="43" w:lineRule="exact"/>
        <w:rPr>
          <w:rFonts w:ascii="Arial" w:cs="Arial" w:eastAsia="Arial" w:hAnsi="Arial"/>
          <w:sz w:val="13"/>
          <w:szCs w:val="13"/>
          <w:color w:val="008000"/>
        </w:rPr>
      </w:pPr>
    </w:p>
    <w:p>
      <w:pPr>
        <w:ind w:left="40" w:right="5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16, 2017. This option vested with respect to 1/48th of the shares underlying the option on March 16, 2017 and as to an additional 1/48th of the shares underlying the option each month thereafter.</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Christopher Frankenfield,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10/20/2020</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0"/>
              </w:rPr>
              <w:t>Attorney-in-Fact</w:t>
            </w:r>
          </w:p>
        </w:tc>
        <w:tc>
          <w:tcPr>
            <w:tcW w:w="8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022"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2020-10-20T15:10:25Z</dcterms:created>
  <dcterms:modified xsi:type="dcterms:W3CDTF">2020-10-20T15:10:25Z</dcterms:modified>
</cp:coreProperties>
</file>