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17, 2023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175895</wp:posOffset>
            </wp:positionV>
            <wp:extent cx="1789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176530</wp:posOffset>
            </wp:positionV>
            <wp:extent cx="1789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Blueprint Medicines Corporation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175895</wp:posOffset>
            </wp:positionV>
            <wp:extent cx="1789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6060" w:type="dxa"/>
            <w:vAlign w:val="bottom"/>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26-3632015</w:t>
            </w:r>
          </w:p>
        </w:tc>
      </w:tr>
      <w:tr>
        <w:trPr>
          <w:trHeight w:val="216"/>
        </w:trPr>
        <w:tc>
          <w:tcPr>
            <w:tcW w:w="6060" w:type="dxa"/>
            <w:vAlign w:val="bottom"/>
          </w:tcPr>
          <w:p>
            <w:pPr>
              <w:jc w:val="center"/>
              <w:ind w:right="31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12"/>
        </w:trPr>
        <w:tc>
          <w:tcPr>
            <w:tcW w:w="6060" w:type="dxa"/>
            <w:vAlign w:val="bottom"/>
          </w:tcPr>
          <w:p>
            <w:pPr>
              <w:jc w:val="center"/>
              <w:ind w:right="3130"/>
              <w:spacing w:after="0"/>
              <w:rPr>
                <w:sz w:val="20"/>
                <w:szCs w:val="20"/>
                <w:color w:val="auto"/>
              </w:rPr>
            </w:pPr>
            <w:r>
              <w:rPr>
                <w:rFonts w:ascii="Times New Roman" w:cs="Times New Roman" w:eastAsia="Times New Roman" w:hAnsi="Times New Roman"/>
                <w:sz w:val="18"/>
                <w:szCs w:val="18"/>
                <w:color w:val="auto"/>
              </w:rPr>
              <w:t>of incorporation)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6060" w:type="dxa"/>
            <w:vAlign w:val="bottom"/>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9"/>
              </w:rPr>
              <w:t>45 Sidney Street</w:t>
            </w:r>
          </w:p>
        </w:tc>
        <w:tc>
          <w:tcPr>
            <w:tcW w:w="1700" w:type="dxa"/>
            <w:vAlign w:val="bottom"/>
          </w:tcPr>
          <w:p>
            <w:pPr>
              <w:spacing w:after="0"/>
              <w:rPr>
                <w:sz w:val="18"/>
                <w:szCs w:val="18"/>
                <w:color w:val="auto"/>
              </w:rPr>
            </w:pPr>
          </w:p>
        </w:tc>
      </w:tr>
      <w:tr>
        <w:trPr>
          <w:trHeight w:val="220"/>
        </w:trPr>
        <w:tc>
          <w:tcPr>
            <w:tcW w:w="6060" w:type="dxa"/>
            <w:vAlign w:val="bottom"/>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234"/>
        </w:trPr>
        <w:tc>
          <w:tcPr>
            <w:tcW w:w="6060" w:type="dxa"/>
            <w:vAlign w:val="bottom"/>
          </w:tcPr>
          <w:p>
            <w:pPr>
              <w:jc w:val="center"/>
              <w:ind w:right="31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09"/>
        </w:trPr>
        <w:tc>
          <w:tcPr>
            <w:tcW w:w="6060" w:type="dxa"/>
            <w:vAlign w:val="bottom"/>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w w:val="99"/>
              </w:rPr>
              <w:t>2015 Stock Option and Incentive Plan</w:t>
            </w:r>
          </w:p>
        </w:tc>
        <w:tc>
          <w:tcPr>
            <w:tcW w:w="1700" w:type="dxa"/>
            <w:vAlign w:val="bottom"/>
          </w:tcPr>
          <w:p>
            <w:pPr>
              <w:spacing w:after="0"/>
              <w:rPr>
                <w:sz w:val="24"/>
                <w:szCs w:val="24"/>
                <w:color w:val="auto"/>
              </w:rPr>
            </w:pPr>
          </w:p>
        </w:tc>
      </w:tr>
      <w:tr>
        <w:trPr>
          <w:trHeight w:val="220"/>
        </w:trPr>
        <w:tc>
          <w:tcPr>
            <w:tcW w:w="6060" w:type="dxa"/>
            <w:vAlign w:val="bottom"/>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w w:val="99"/>
              </w:rPr>
              <w:t>2015 Employee Stock Purchase Plan</w:t>
            </w:r>
          </w:p>
        </w:tc>
        <w:tc>
          <w:tcPr>
            <w:tcW w:w="1700" w:type="dxa"/>
            <w:vAlign w:val="bottom"/>
          </w:tcPr>
          <w:p>
            <w:pPr>
              <w:spacing w:after="0"/>
              <w:rPr>
                <w:sz w:val="19"/>
                <w:szCs w:val="19"/>
                <w:color w:val="auto"/>
              </w:rPr>
            </w:pPr>
          </w:p>
        </w:tc>
      </w:tr>
      <w:tr>
        <w:trPr>
          <w:trHeight w:val="234"/>
        </w:trPr>
        <w:tc>
          <w:tcPr>
            <w:tcW w:w="6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99"/>
              </w:rPr>
              <w:t>(Full titles of the plans)</w:t>
            </w:r>
          </w:p>
        </w:tc>
        <w:tc>
          <w:tcPr>
            <w:tcW w:w="1700" w:type="dxa"/>
            <w:vAlign w:val="bottom"/>
          </w:tcPr>
          <w:p>
            <w:pPr>
              <w:spacing w:after="0"/>
              <w:rPr>
                <w:sz w:val="20"/>
                <w:szCs w:val="20"/>
                <w:color w:val="auto"/>
              </w:rPr>
            </w:pPr>
          </w:p>
        </w:tc>
      </w:tr>
      <w:tr>
        <w:trPr>
          <w:trHeight w:val="409"/>
        </w:trPr>
        <w:tc>
          <w:tcPr>
            <w:tcW w:w="6060" w:type="dxa"/>
            <w:vAlign w:val="bottom"/>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rPr>
              <w:t>Kathryn Haviland</w:t>
            </w:r>
          </w:p>
        </w:tc>
        <w:tc>
          <w:tcPr>
            <w:tcW w:w="1700" w:type="dxa"/>
            <w:vAlign w:val="bottom"/>
          </w:tcPr>
          <w:p>
            <w:pPr>
              <w:spacing w:after="0"/>
              <w:rPr>
                <w:sz w:val="24"/>
                <w:szCs w:val="24"/>
                <w:color w:val="auto"/>
              </w:rPr>
            </w:pPr>
          </w:p>
        </w:tc>
      </w:tr>
      <w:tr>
        <w:trPr>
          <w:trHeight w:val="216"/>
        </w:trPr>
        <w:tc>
          <w:tcPr>
            <w:tcW w:w="606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1700" w:type="dxa"/>
            <w:vAlign w:val="bottom"/>
          </w:tcPr>
          <w:p>
            <w:pPr>
              <w:spacing w:after="0"/>
              <w:rPr>
                <w:sz w:val="18"/>
                <w:szCs w:val="18"/>
                <w:color w:val="auto"/>
              </w:rPr>
            </w:pPr>
          </w:p>
        </w:tc>
      </w:tr>
      <w:tr>
        <w:trPr>
          <w:trHeight w:val="216"/>
        </w:trPr>
        <w:tc>
          <w:tcPr>
            <w:tcW w:w="606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Blueprint Medicines Corporation</w:t>
            </w:r>
          </w:p>
        </w:tc>
        <w:tc>
          <w:tcPr>
            <w:tcW w:w="1700" w:type="dxa"/>
            <w:vAlign w:val="bottom"/>
          </w:tcPr>
          <w:p>
            <w:pPr>
              <w:spacing w:after="0"/>
              <w:rPr>
                <w:sz w:val="18"/>
                <w:szCs w:val="18"/>
                <w:color w:val="auto"/>
              </w:rPr>
            </w:pPr>
          </w:p>
        </w:tc>
      </w:tr>
      <w:tr>
        <w:trPr>
          <w:trHeight w:val="216"/>
        </w:trPr>
        <w:tc>
          <w:tcPr>
            <w:tcW w:w="606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45 Sidney Street</w:t>
            </w:r>
          </w:p>
        </w:tc>
        <w:tc>
          <w:tcPr>
            <w:tcW w:w="1700" w:type="dxa"/>
            <w:vAlign w:val="bottom"/>
          </w:tcPr>
          <w:p>
            <w:pPr>
              <w:spacing w:after="0"/>
              <w:rPr>
                <w:sz w:val="18"/>
                <w:szCs w:val="18"/>
                <w:color w:val="auto"/>
              </w:rPr>
            </w:pPr>
          </w:p>
        </w:tc>
      </w:tr>
      <w:tr>
        <w:trPr>
          <w:trHeight w:val="220"/>
        </w:trPr>
        <w:tc>
          <w:tcPr>
            <w:tcW w:w="606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Cambridge, Massachusetts 02139</w:t>
            </w:r>
          </w:p>
        </w:tc>
        <w:tc>
          <w:tcPr>
            <w:tcW w:w="1700" w:type="dxa"/>
            <w:vAlign w:val="bottom"/>
          </w:tcPr>
          <w:p>
            <w:pPr>
              <w:spacing w:after="0"/>
              <w:rPr>
                <w:sz w:val="19"/>
                <w:szCs w:val="19"/>
                <w:color w:val="auto"/>
              </w:rPr>
            </w:pPr>
          </w:p>
        </w:tc>
      </w:tr>
      <w:tr>
        <w:trPr>
          <w:trHeight w:val="234"/>
        </w:trPr>
        <w:tc>
          <w:tcPr>
            <w:tcW w:w="6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(Name and address of agent for service)</w:t>
            </w:r>
          </w:p>
        </w:tc>
        <w:tc>
          <w:tcPr>
            <w:tcW w:w="1700" w:type="dxa"/>
            <w:vAlign w:val="bottom"/>
          </w:tcPr>
          <w:p>
            <w:pPr>
              <w:spacing w:after="0"/>
              <w:rPr>
                <w:sz w:val="20"/>
                <w:szCs w:val="20"/>
                <w:color w:val="auto"/>
              </w:rPr>
            </w:pPr>
          </w:p>
        </w:tc>
      </w:tr>
    </w:tbl>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374-7580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send copies of all communications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Kingsley L. Taft,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Danielle M. Lauzon,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Yasin Akbari,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Northern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176530</wp:posOffset>
            </wp:positionV>
            <wp:extent cx="1789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right="120" w:firstLine="647"/>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1440" w:gutter="0" w:footer="0" w:header="0"/>
        </w:sectPr>
      </w:pPr>
    </w:p>
    <w:p>
      <w:pPr>
        <w:spacing w:after="0" w:line="177"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w:cs="Arial" w:eastAsia="Arial" w:hAnsi="Arial"/>
          <w:sz w:val="18"/>
          <w:szCs w:val="18"/>
          <w:b w:val="1"/>
          <w:bCs w:val="1"/>
          <w:color w:val="auto"/>
        </w:rPr>
        <w:t>þ</w:t>
      </w:r>
    </w:p>
    <w:p>
      <w:pPr>
        <w:spacing w:after="0" w:line="26" w:lineRule="exact"/>
        <w:rPr>
          <w:sz w:val="24"/>
          <w:szCs w:val="24"/>
          <w:color w:val="auto"/>
        </w:rPr>
      </w:pPr>
    </w:p>
    <w:p>
      <w:pPr>
        <w:ind w:left="19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172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7" w:lineRule="exact"/>
        <w:rPr>
          <w:sz w:val="24"/>
          <w:szCs w:val="24"/>
          <w:color w:val="auto"/>
        </w:rPr>
      </w:pPr>
    </w:p>
    <w:p>
      <w:pPr>
        <w:jc w:val="center"/>
        <w:ind w:right="172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p>
    <w:p>
      <w:pPr>
        <w:jc w:val="center"/>
        <w:ind w:right="17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620" w:space="720"/>
            <w:col w:w="3900"/>
          </w:cols>
          <w:pgMar w:left="320" w:top="468" w:right="339" w:bottom="1440" w:gutter="0" w:footer="0" w:header="0"/>
          <w:type w:val="continuous"/>
        </w:sectPr>
      </w:pPr>
    </w:p>
    <w:p>
      <w:pPr>
        <w:spacing w:after="0" w:line="16" w:lineRule="exact"/>
        <w:rPr>
          <w:sz w:val="24"/>
          <w:szCs w:val="24"/>
          <w:color w:val="auto"/>
        </w:rPr>
      </w:pPr>
    </w:p>
    <w:p>
      <w:pPr>
        <w:ind w:right="180" w:firstLine="647"/>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604520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69"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This Registration Statement on Form S-8 relating to the 2015 Stock Option and Incentive Plan (as amended, the “2015 Plan”) and the 2015 Employee Stock Purchase Plan (as amended, the “2015 ESPP”) of Blueprint Medicines Corporation (the “Registrant”) is being filed for the purpose of registering additional securities of the same class as other securities for which a Registration Statement on Form S-8 has previously been filed and is effective. </w:t>
      </w:r>
      <w:hyperlink r:id="rId17">
        <w:r>
          <w:rPr>
            <w:rFonts w:ascii="Times New Roman" w:cs="Times New Roman" w:eastAsia="Times New Roman" w:hAnsi="Times New Roman"/>
            <w:sz w:val="17"/>
            <w:szCs w:val="17"/>
            <w:color w:val="auto"/>
          </w:rPr>
          <w:t xml:space="preserve">Accordingly, this Registration Statement on Form S-8 incorporates by reference the contents of (i) the </w:t>
        </w:r>
        <w:r>
          <w:rPr>
            <w:rFonts w:ascii="Times New Roman" w:cs="Times New Roman" w:eastAsia="Times New Roman" w:hAnsi="Times New Roman"/>
            <w:sz w:val="17"/>
            <w:szCs w:val="17"/>
            <w:u w:val="single" w:color="auto"/>
            <w:color w:val="0000EE"/>
          </w:rPr>
          <w:t>Registration Statement on Form S-8 (File No. 333-</w:t>
        </w:r>
      </w:hyperlink>
      <w:hyperlink r:id="rId17">
        <w:r>
          <w:rPr>
            <w:rFonts w:ascii="Times New Roman" w:cs="Times New Roman" w:eastAsia="Times New Roman" w:hAnsi="Times New Roman"/>
            <w:sz w:val="17"/>
            <w:szCs w:val="17"/>
            <w:u w:val="single" w:color="auto"/>
            <w:color w:val="0000EE"/>
          </w:rPr>
          <w:t>203749) filed with the Securities and Exchange Commission (the “SEC”) on April 30, 2015</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by the Registrant, relating to the 2015 Plan and the 2015 ESPP,</w:t>
        </w:r>
      </w:hyperlink>
    </w:p>
    <w:p>
      <w:pPr>
        <w:spacing w:after="0" w:line="2" w:lineRule="exact"/>
        <w:rPr>
          <w:sz w:val="20"/>
          <w:szCs w:val="20"/>
          <w:color w:val="auto"/>
        </w:rPr>
      </w:pPr>
    </w:p>
    <w:p>
      <w:pPr>
        <w:ind w:right="20" w:firstLine="8"/>
        <w:spacing w:after="0" w:line="251" w:lineRule="auto"/>
        <w:tabs>
          <w:tab w:leader="none" w:pos="265"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w:t>
      </w:r>
      <w:hyperlink r:id="rId18">
        <w:r>
          <w:rPr>
            <w:rFonts w:ascii="Times New Roman" w:cs="Times New Roman" w:eastAsia="Times New Roman" w:hAnsi="Times New Roman"/>
            <w:sz w:val="18"/>
            <w:szCs w:val="18"/>
            <w:u w:val="single" w:color="auto"/>
            <w:color w:val="0000EE"/>
          </w:rPr>
          <w:t>Registration Statement on Form S-8 (File No. 333-210125) filed with the SEC on March 11, 2016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by the Registrant, relating to the 2015 Plan and the 2015 ESPP, (iii) the </w:t>
      </w:r>
      <w:hyperlink r:id="rId19">
        <w:r>
          <w:rPr>
            <w:rFonts w:ascii="Times New Roman" w:cs="Times New Roman" w:eastAsia="Times New Roman" w:hAnsi="Times New Roman"/>
            <w:sz w:val="18"/>
            <w:szCs w:val="18"/>
            <w:u w:val="single" w:color="auto"/>
            <w:color w:val="0000EE"/>
          </w:rPr>
          <w:t>Registration Statement on Form S-8 (File No. 333-216575) filed with the SEC on March 9, 2017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by the Registrant, relating to the 2015 Plan and the 2015 ESPP, (iv) the </w:t>
      </w:r>
      <w:hyperlink r:id="rId20">
        <w:r>
          <w:rPr>
            <w:rFonts w:ascii="Times New Roman" w:cs="Times New Roman" w:eastAsia="Times New Roman" w:hAnsi="Times New Roman"/>
            <w:sz w:val="18"/>
            <w:szCs w:val="18"/>
            <w:u w:val="single" w:color="auto"/>
            <w:color w:val="0000EE"/>
          </w:rPr>
          <w:t>Registration Statement on Form S-8 (File No. 333-223131) filed with the SEC on February 21, 2018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by the </w:t>
      </w:r>
      <w:hyperlink r:id="rId21">
        <w:r>
          <w:rPr>
            <w:rFonts w:ascii="Times New Roman" w:cs="Times New Roman" w:eastAsia="Times New Roman" w:hAnsi="Times New Roman"/>
            <w:sz w:val="18"/>
            <w:szCs w:val="18"/>
            <w:color w:val="auto"/>
          </w:rPr>
          <w:t xml:space="preserve">Registrant, relating to the 2015 Plan and the 2015 ESPP, (v) the </w:t>
        </w:r>
        <w:r>
          <w:rPr>
            <w:rFonts w:ascii="Times New Roman" w:cs="Times New Roman" w:eastAsia="Times New Roman" w:hAnsi="Times New Roman"/>
            <w:sz w:val="18"/>
            <w:szCs w:val="18"/>
            <w:u w:val="single" w:color="auto"/>
            <w:color w:val="0000EE"/>
          </w:rPr>
          <w:t>Registration Statement on Form S-8 (File No. 333-229885) filed with the SEC on February</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26, 2019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the Registrant, relating to the 2015 Plan and the 2015 ESPP, (vi)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Registration Statement on Form S-8 (File No. 333-236421) filed with the</w:t>
        </w:r>
      </w:hyperlink>
      <w:r>
        <w:rPr>
          <w:rFonts w:ascii="Times New Roman" w:cs="Times New Roman" w:eastAsia="Times New Roman" w:hAnsi="Times New Roman"/>
          <w:sz w:val="18"/>
          <w:szCs w:val="18"/>
          <w:color w:val="0000EE"/>
        </w:rPr>
        <w:t xml:space="preserve"> </w:t>
      </w:r>
      <w:hyperlink r:id="rId23">
        <w:r>
          <w:rPr>
            <w:rFonts w:ascii="Times New Roman" w:cs="Times New Roman" w:eastAsia="Times New Roman" w:hAnsi="Times New Roman"/>
            <w:sz w:val="18"/>
            <w:szCs w:val="18"/>
            <w:u w:val="single" w:color="auto"/>
            <w:color w:val="0000EE"/>
          </w:rPr>
          <w:t>SEC on February 13, 2020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the Registrant, relating to the 2015 Plan and the 2015 ESPP, (vii)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Registration Statement on Form S-8 (File No. 333-</w:t>
        </w:r>
      </w:hyperlink>
      <w:hyperlink r:id="rId24">
        <w:r>
          <w:rPr>
            <w:rFonts w:ascii="Times New Roman" w:cs="Times New Roman" w:eastAsia="Times New Roman" w:hAnsi="Times New Roman"/>
            <w:sz w:val="18"/>
            <w:szCs w:val="18"/>
            <w:u w:val="single" w:color="auto"/>
            <w:color w:val="0000EE"/>
          </w:rPr>
          <w:t>253215) filed with the SEC on February 17,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the Registrant, relating to the 2015 Plan and the 2015 ESPP, (viii)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Registration Statement on Form</w:t>
        </w:r>
      </w:hyperlink>
      <w:r>
        <w:rPr>
          <w:rFonts w:ascii="Times New Roman" w:cs="Times New Roman" w:eastAsia="Times New Roman" w:hAnsi="Times New Roman"/>
          <w:sz w:val="18"/>
          <w:szCs w:val="18"/>
          <w:color w:val="0000EE"/>
        </w:rPr>
        <w:t xml:space="preserve"> </w:t>
      </w:r>
      <w:hyperlink r:id="rId24">
        <w:r>
          <w:rPr>
            <w:rFonts w:ascii="Times New Roman" w:cs="Times New Roman" w:eastAsia="Times New Roman" w:hAnsi="Times New Roman"/>
            <w:sz w:val="18"/>
            <w:szCs w:val="18"/>
            <w:u w:val="single" w:color="auto"/>
            <w:color w:val="0000EE"/>
          </w:rPr>
          <w:t>S-8 (File No. 333-262800) filed with the SEC on February 17,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the Registrant, relating to the 2015 Plan and the 2015 ESPP in each case, except for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“Item 8. Exhibits” with respect to which the Exhibit Index set forth below is incorporated herein by reference.</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99"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60" w:type="dxa"/>
            <w:vAlign w:val="bottom"/>
            <w:gridSpan w:val="8"/>
          </w:tcPr>
          <w:p>
            <w:pPr>
              <w:ind w:left="13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20" w:type="dxa"/>
            <w:vAlign w:val="bottom"/>
            <w:gridSpan w:val="9"/>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5620" w:type="dxa"/>
            <w:vAlign w:val="bottom"/>
            <w:tcBorders>
              <w:top w:val="single" w:sz="8" w:color="auto"/>
            </w:tcBorders>
            <w:gridSpan w:val="13"/>
          </w:tcPr>
          <w:p>
            <w:pPr>
              <w:spacing w:after="0" w:line="169"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Fifth Amended and Restated Certificate of Incorporation of the Registrant</w:t>
              </w:r>
            </w:hyperlink>
          </w:p>
        </w:tc>
        <w:tc>
          <w:tcPr>
            <w:tcW w:w="120" w:type="dxa"/>
            <w:vAlign w:val="bottom"/>
          </w:tcPr>
          <w:p>
            <w:pPr>
              <w:spacing w:after="0"/>
              <w:rPr>
                <w:sz w:val="14"/>
                <w:szCs w:val="14"/>
                <w:color w:val="auto"/>
              </w:rPr>
            </w:pPr>
          </w:p>
        </w:tc>
        <w:tc>
          <w:tcPr>
            <w:tcW w:w="5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10-Q</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001-37359</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4"/>
                <w:szCs w:val="14"/>
                <w:color w:val="auto"/>
              </w:rPr>
            </w:pPr>
          </w:p>
        </w:tc>
        <w:tc>
          <w:tcPr>
            <w:tcW w:w="168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November 9, 2015</w:t>
            </w: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Amended and Restated Bylaws, as amended on November 30, 2022, of the</w:t>
              </w:r>
            </w:hyperlink>
          </w:p>
        </w:tc>
        <w:tc>
          <w:tcPr>
            <w:tcW w:w="340" w:type="dxa"/>
            <w:vAlign w:val="bottom"/>
            <w:gridSpan w:val="3"/>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December 6,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14"/>
          </w:tcPr>
          <w:p>
            <w:pPr>
              <w:spacing w:after="0" w:line="195"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Registrant</w:t>
              </w:r>
            </w:hyperlink>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5740" w:type="dxa"/>
            <w:vAlign w:val="bottom"/>
            <w:gridSpan w:val="14"/>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Specimen Common Stock Certificate</w:t>
              </w:r>
            </w:hyperlink>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333-202938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April 20, 2015</w:t>
            </w: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57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Opinion of Goodwin Procter LLP, counsel to the Registrant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57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Ernst &amp; Young LLP, an independent registered public accounting</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88"/>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5" w:lineRule="exact"/>
              <w:rPr>
                <w:sz w:val="20"/>
                <w:szCs w:val="20"/>
                <w:color w:val="auto"/>
              </w:rPr>
            </w:pPr>
            <w:r>
              <w:rPr>
                <w:rFonts w:ascii="Times New Roman" w:cs="Times New Roman" w:eastAsia="Times New Roman" w:hAnsi="Times New Roman"/>
                <w:sz w:val="18"/>
                <w:szCs w:val="18"/>
                <w:color w:val="0000EE"/>
                <w:w w:val="96"/>
              </w:rPr>
              <w:t>firm</w:t>
            </w:r>
          </w:p>
        </w:tc>
        <w:tc>
          <w:tcPr>
            <w:tcW w:w="5200" w:type="dxa"/>
            <w:vAlign w:val="bottom"/>
            <w:tcBorders>
              <w:top w:val="single" w:sz="8" w:color="0000EE"/>
            </w:tcBorders>
            <w:gridSpan w:val="11"/>
          </w:tcPr>
          <w:p>
            <w:pPr>
              <w:spacing w:after="0"/>
              <w:rPr>
                <w:sz w:val="17"/>
                <w:szCs w:val="17"/>
                <w:color w:val="auto"/>
              </w:rPr>
            </w:pPr>
          </w:p>
        </w:tc>
        <w:tc>
          <w:tcPr>
            <w:tcW w:w="22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4"/>
                <w:szCs w:val="24"/>
                <w:color w:val="auto"/>
              </w:rPr>
            </w:pPr>
          </w:p>
        </w:tc>
        <w:tc>
          <w:tcPr>
            <w:tcW w:w="57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Goodwin Procter LLP (included in Exhibit 5.1)</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4"/>
                <w:szCs w:val="24"/>
                <w:color w:val="auto"/>
              </w:rPr>
            </w:pPr>
          </w:p>
        </w:tc>
        <w:tc>
          <w:tcPr>
            <w:tcW w:w="57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pages of this registration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bottom w:val="single" w:sz="8" w:color="0000EE"/>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98"/>
              </w:rPr>
              <w:t>statement)</w:t>
            </w:r>
          </w:p>
        </w:tc>
        <w:tc>
          <w:tcPr>
            <w:tcW w:w="4260" w:type="dxa"/>
            <w:vAlign w:val="bottom"/>
            <w:tcBorders>
              <w:top w:val="single" w:sz="8" w:color="0000EE"/>
            </w:tcBorders>
            <w:gridSpan w:val="5"/>
          </w:tcPr>
          <w:p>
            <w:pPr>
              <w:spacing w:after="0"/>
              <w:rPr>
                <w:sz w:val="17"/>
                <w:szCs w:val="17"/>
                <w:color w:val="auto"/>
              </w:rPr>
            </w:pPr>
          </w:p>
        </w:tc>
        <w:tc>
          <w:tcPr>
            <w:tcW w:w="72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50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2015 Stock Option and Incentive Plan and forms of award agreements</w:t>
              </w:r>
            </w:hyperlink>
          </w:p>
        </w:tc>
        <w:tc>
          <w:tcPr>
            <w:tcW w:w="680" w:type="dxa"/>
            <w:vAlign w:val="bottom"/>
            <w:gridSpan w:val="5"/>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February 13,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0000EE"/>
            </w:tcBorders>
            <w:gridSpan w:val="4"/>
          </w:tcPr>
          <w:p>
            <w:pPr>
              <w:spacing w:after="0" w:line="195" w:lineRule="exact"/>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thereunder</w:t>
              </w:r>
            </w:hyperlink>
          </w:p>
        </w:tc>
        <w:tc>
          <w:tcPr>
            <w:tcW w:w="4960" w:type="dxa"/>
            <w:vAlign w:val="bottom"/>
            <w:gridSpan w:val="10"/>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4"/>
                <w:szCs w:val="24"/>
                <w:color w:val="auto"/>
              </w:rPr>
            </w:pPr>
          </w:p>
        </w:tc>
        <w:tc>
          <w:tcPr>
            <w:tcW w:w="5740" w:type="dxa"/>
            <w:vAlign w:val="bottom"/>
            <w:gridSpan w:val="14"/>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2015 Employee Stock Purchase Plan</w:t>
              </w:r>
            </w:hyperlink>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February 13, 2020</w:t>
            </w:r>
          </w:p>
        </w:tc>
        <w:tc>
          <w:tcPr>
            <w:tcW w:w="0" w:type="dxa"/>
            <w:vAlign w:val="bottom"/>
          </w:tcPr>
          <w:p>
            <w:pPr>
              <w:spacing w:after="0"/>
              <w:rPr>
                <w:sz w:val="1"/>
                <w:szCs w:val="1"/>
                <w:color w:val="auto"/>
              </w:rPr>
            </w:pPr>
          </w:p>
        </w:tc>
      </w:tr>
      <w:tr>
        <w:trPr>
          <w:trHeight w:val="41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Filing Fee Exhibit</w:t>
            </w:r>
          </w:p>
        </w:tc>
        <w:tc>
          <w:tcPr>
            <w:tcW w:w="1360" w:type="dxa"/>
            <w:vAlign w:val="bottom"/>
            <w:tcBorders>
              <w:top w:val="single" w:sz="8" w:color="0000EE"/>
            </w:tcBorders>
          </w:tcPr>
          <w:p>
            <w:pPr>
              <w:spacing w:after="0"/>
              <w:rPr>
                <w:sz w:val="24"/>
                <w:szCs w:val="24"/>
                <w:color w:val="auto"/>
              </w:rPr>
            </w:pPr>
          </w:p>
        </w:tc>
        <w:tc>
          <w:tcPr>
            <w:tcW w:w="306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1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647"/>
        <w:spacing w:after="0" w:line="26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17th day of February, 2023.</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17145</wp:posOffset>
            </wp:positionV>
            <wp:extent cx="33477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2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180" w:firstLine="647"/>
        <w:spacing w:after="0" w:line="255" w:lineRule="auto"/>
        <w:rPr>
          <w:sz w:val="20"/>
          <w:szCs w:val="20"/>
          <w:color w:val="auto"/>
        </w:rPr>
      </w:pPr>
      <w:r>
        <w:rPr>
          <w:rFonts w:ascii="Times New Roman" w:cs="Times New Roman" w:eastAsia="Times New Roman" w:hAnsi="Times New Roman"/>
          <w:sz w:val="18"/>
          <w:szCs w:val="18"/>
          <w:color w:val="auto"/>
        </w:rPr>
        <w:t>We, the undersigned officers and directors of Blueprint Medicines Corporation, hereby severally constitute and appoint Kathryn Haviland and Michael Landsittel, and each of them singly, our true and lawful attorneys with full power to any of them, and to each of them singly, to sign for us and in our names in the capacities indicated below the Registration Statement on Form S-8 filed herewith and any and all amendments to said Registration Statement, and generally to do all such things in our name and on our behalf in our capacities as officers and directors to enable Blueprint Medicines Corporation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7" w:lineRule="exact"/>
        <w:rPr>
          <w:sz w:val="20"/>
          <w:szCs w:val="20"/>
          <w:color w:val="auto"/>
        </w:rPr>
      </w:pPr>
    </w:p>
    <w:p>
      <w:pPr>
        <w:ind w:right="60" w:firstLine="647"/>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84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20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5"/>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Kathryn Haviland</w:t>
            </w:r>
          </w:p>
        </w:tc>
        <w:tc>
          <w:tcPr>
            <w:tcW w:w="24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Kathryn Haviland</w:t>
            </w:r>
          </w:p>
        </w:tc>
        <w:tc>
          <w:tcPr>
            <w:tcW w:w="24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00" w:type="dxa"/>
            <w:vAlign w:val="bottom"/>
          </w:tcPr>
          <w:p>
            <w:pPr>
              <w:spacing w:after="0"/>
              <w:rPr>
                <w:sz w:val="19"/>
                <w:szCs w:val="19"/>
                <w:color w:val="auto"/>
              </w:rPr>
            </w:pPr>
          </w:p>
        </w:tc>
      </w:tr>
      <w:tr>
        <w:trPr>
          <w:trHeight w:val="41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Landsittel</w:t>
            </w:r>
          </w:p>
        </w:tc>
        <w:tc>
          <w:tcPr>
            <w:tcW w:w="24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Landsittel</w:t>
            </w:r>
          </w:p>
        </w:tc>
        <w:tc>
          <w:tcPr>
            <w:tcW w:w="24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000" w:type="dxa"/>
            <w:vAlign w:val="bottom"/>
          </w:tcPr>
          <w:p>
            <w:pPr>
              <w:spacing w:after="0"/>
              <w:rPr>
                <w:sz w:val="19"/>
                <w:szCs w:val="19"/>
                <w:color w:val="auto"/>
              </w:rPr>
            </w:pPr>
          </w:p>
        </w:tc>
      </w:tr>
      <w:tr>
        <w:trPr>
          <w:trHeight w:val="41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Ariel Hurley</w:t>
            </w:r>
          </w:p>
        </w:tc>
        <w:tc>
          <w:tcPr>
            <w:tcW w:w="24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Finance</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Ariel Hurley</w:t>
            </w:r>
          </w:p>
        </w:tc>
        <w:tc>
          <w:tcPr>
            <w:tcW w:w="24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000" w:type="dxa"/>
            <w:vAlign w:val="bottom"/>
          </w:tcPr>
          <w:p>
            <w:pPr>
              <w:spacing w:after="0"/>
              <w:rPr>
                <w:sz w:val="19"/>
                <w:szCs w:val="19"/>
                <w:color w:val="auto"/>
              </w:rPr>
            </w:pPr>
          </w:p>
        </w:tc>
      </w:tr>
      <w:tr>
        <w:trPr>
          <w:trHeight w:val="41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Jeffrey W. Albers</w:t>
            </w:r>
          </w:p>
        </w:tc>
        <w:tc>
          <w:tcPr>
            <w:tcW w:w="24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W. Albers</w:t>
            </w:r>
          </w:p>
        </w:tc>
        <w:tc>
          <w:tcPr>
            <w:tcW w:w="2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1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Daniella Beckman</w:t>
            </w:r>
          </w:p>
        </w:tc>
        <w:tc>
          <w:tcPr>
            <w:tcW w:w="24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Daniella Beckman</w:t>
            </w:r>
          </w:p>
        </w:tc>
        <w:tc>
          <w:tcPr>
            <w:tcW w:w="2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1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Alexis Borisy</w:t>
            </w:r>
          </w:p>
        </w:tc>
        <w:tc>
          <w:tcPr>
            <w:tcW w:w="24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Alexis Borisy</w:t>
            </w:r>
          </w:p>
        </w:tc>
        <w:tc>
          <w:tcPr>
            <w:tcW w:w="2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1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Lonnel Coats</w:t>
            </w:r>
          </w:p>
        </w:tc>
        <w:tc>
          <w:tcPr>
            <w:tcW w:w="24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Lonnel Coats</w:t>
            </w:r>
          </w:p>
        </w:tc>
        <w:tc>
          <w:tcPr>
            <w:tcW w:w="2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1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Habib Dable</w:t>
            </w:r>
          </w:p>
        </w:tc>
        <w:tc>
          <w:tcPr>
            <w:tcW w:w="24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2022</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Habib Dable</w:t>
            </w:r>
          </w:p>
        </w:tc>
        <w:tc>
          <w:tcPr>
            <w:tcW w:w="2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1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Goldberg</w:t>
            </w:r>
          </w:p>
        </w:tc>
        <w:tc>
          <w:tcPr>
            <w:tcW w:w="24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Goldberg, M.D.</w:t>
            </w:r>
          </w:p>
        </w:tc>
        <w:tc>
          <w:tcPr>
            <w:tcW w:w="2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1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Nicholas Lydon</w:t>
            </w:r>
          </w:p>
        </w:tc>
        <w:tc>
          <w:tcPr>
            <w:tcW w:w="24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Nicholas Lydon, Ph.D.</w:t>
            </w:r>
          </w:p>
        </w:tc>
        <w:tc>
          <w:tcPr>
            <w:tcW w:w="2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1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Lynn Seely</w:t>
            </w:r>
          </w:p>
        </w:tc>
        <w:tc>
          <w:tcPr>
            <w:tcW w:w="24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Lynn Seely, M.D.</w:t>
            </w:r>
          </w:p>
        </w:tc>
        <w:tc>
          <w:tcPr>
            <w:tcW w:w="2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1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Tsai</w:t>
            </w:r>
          </w:p>
        </w:tc>
        <w:tc>
          <w:tcPr>
            <w:tcW w:w="24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Tsai, M.D.</w:t>
            </w:r>
          </w:p>
        </w:tc>
        <w:tc>
          <w:tcPr>
            <w:tcW w:w="2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656"/>
        </w:trPr>
        <w:tc>
          <w:tcPr>
            <w:tcW w:w="3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9" w:right="339" w:bottom="1099"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Sidney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22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2,997,945 shares (the “Shares”) of Common Stock, $0.001 par value per share (“Common Stock”), of Blueprint Medicines Corporation, a Delaware corporation (the “Company”), that may be issued pursuant to the Company’s 2015 Stock Option and Incentive Plan and 2015 Employee Stock Purchase Plan (collectively, the “Plans”).</w:t>
      </w:r>
    </w:p>
    <w:p>
      <w:pPr>
        <w:spacing w:after="0" w:line="18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63"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61"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1"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G</w:t>
      </w:r>
      <w:r>
        <w:rPr>
          <w:rFonts w:ascii="Times New Roman" w:cs="Times New Roman" w:eastAsia="Times New Roman" w:hAnsi="Times New Roman"/>
          <w:sz w:val="12"/>
          <w:szCs w:val="12"/>
          <w:color w:val="auto"/>
        </w:rPr>
        <w:t>oodwin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rocter llp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2015 Stock Option and Incentive Plan and 2015 Employee Stock Purchase Plan of Blueprint Medicines Corporation of our reports dated February 16, 2023, with respect to the consolidated financial statements of Blueprint Medicines Corporation and the effectiveness of internal control over financial reporting of Blueprint Medicines Corporation included in its Annual Report (Form 10-K) for the year ended December 31, 2022, filed with the Securities and Exchange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ind w:left="10180"/>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 S-8</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 Type)</w:t>
      </w: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580" w:type="dxa"/>
            <w:vAlign w:val="bottom"/>
            <w:tcBorders>
              <w:top w:val="single" w:sz="8" w:color="auto"/>
              <w:left w:val="single" w:sz="8" w:color="auto"/>
              <w:right w:val="single" w:sz="8" w:color="auto"/>
            </w:tcBorders>
          </w:tcPr>
          <w:p>
            <w:pPr>
              <w:spacing w:after="0"/>
              <w:rPr>
                <w:sz w:val="17"/>
                <w:szCs w:val="17"/>
                <w:color w:val="auto"/>
              </w:rPr>
            </w:pPr>
          </w:p>
        </w:tc>
        <w:tc>
          <w:tcPr>
            <w:tcW w:w="536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Proposed</w:t>
            </w:r>
          </w:p>
        </w:tc>
        <w:tc>
          <w:tcPr>
            <w:tcW w:w="1380" w:type="dxa"/>
            <w:vAlign w:val="bottom"/>
            <w:tcBorders>
              <w:top w:val="single" w:sz="8" w:color="auto"/>
              <w:right w:val="single" w:sz="8" w:color="auto"/>
            </w:tcBorders>
          </w:tcPr>
          <w:p>
            <w:pPr>
              <w:spacing w:after="0"/>
              <w:rPr>
                <w:sz w:val="17"/>
                <w:szCs w:val="17"/>
                <w:color w:val="auto"/>
              </w:rPr>
            </w:pPr>
          </w:p>
        </w:tc>
        <w:tc>
          <w:tcPr>
            <w:tcW w:w="660" w:type="dxa"/>
            <w:vAlign w:val="bottom"/>
            <w:tcBorders>
              <w:top w:val="single" w:sz="8" w:color="auto"/>
              <w:right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r>
      <w:tr>
        <w:trPr>
          <w:trHeight w:val="202"/>
        </w:trPr>
        <w:tc>
          <w:tcPr>
            <w:tcW w:w="580" w:type="dxa"/>
            <w:vAlign w:val="bottom"/>
            <w:tcBorders>
              <w:left w:val="single" w:sz="8" w:color="auto"/>
              <w:right w:val="single" w:sz="8" w:color="auto"/>
            </w:tcBorders>
          </w:tcPr>
          <w:p>
            <w:pPr>
              <w:spacing w:after="0"/>
              <w:rPr>
                <w:sz w:val="17"/>
                <w:szCs w:val="17"/>
                <w:color w:val="auto"/>
              </w:rPr>
            </w:pPr>
          </w:p>
        </w:tc>
        <w:tc>
          <w:tcPr>
            <w:tcW w:w="53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Maximum</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Maximum</w:t>
            </w:r>
          </w:p>
        </w:tc>
        <w:tc>
          <w:tcPr>
            <w:tcW w:w="6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2"/>
        </w:trPr>
        <w:tc>
          <w:tcPr>
            <w:tcW w:w="580" w:type="dxa"/>
            <w:vAlign w:val="bottom"/>
            <w:tcBorders>
              <w:left w:val="single" w:sz="8" w:color="auto"/>
              <w:right w:val="single" w:sz="8" w:color="auto"/>
            </w:tcBorders>
          </w:tcPr>
          <w:p>
            <w:pPr>
              <w:spacing w:after="0"/>
              <w:rPr>
                <w:sz w:val="17"/>
                <w:szCs w:val="17"/>
                <w:color w:val="auto"/>
              </w:rPr>
            </w:pPr>
          </w:p>
        </w:tc>
        <w:tc>
          <w:tcPr>
            <w:tcW w:w="53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Fee</w:t>
            </w:r>
          </w:p>
        </w:tc>
        <w:tc>
          <w:tcPr>
            <w:tcW w:w="98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Offering</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Aggregate</w:t>
            </w:r>
          </w:p>
        </w:tc>
        <w:tc>
          <w:tcPr>
            <w:tcW w:w="6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Amount of</w:t>
            </w:r>
          </w:p>
        </w:tc>
      </w:tr>
      <w:tr>
        <w:trPr>
          <w:trHeight w:val="202"/>
        </w:trPr>
        <w:tc>
          <w:tcPr>
            <w:tcW w:w="5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Security</w:t>
            </w:r>
          </w:p>
        </w:tc>
        <w:tc>
          <w:tcPr>
            <w:tcW w:w="53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Calculation</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Amount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Price Per</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Offering</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Registration</w:t>
            </w:r>
          </w:p>
        </w:tc>
      </w:tr>
      <w:tr>
        <w:trPr>
          <w:trHeight w:val="213"/>
        </w:trPr>
        <w:tc>
          <w:tcPr>
            <w:tcW w:w="580" w:type="dxa"/>
            <w:vAlign w:val="bottom"/>
            <w:tcBorders>
              <w:left w:val="single" w:sz="8" w:color="auto"/>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Type</w:t>
            </w:r>
          </w:p>
        </w:tc>
        <w:tc>
          <w:tcPr>
            <w:tcW w:w="5360" w:type="dxa"/>
            <w:vAlign w:val="bottom"/>
            <w:tcBorders>
              <w:bottom w:val="single" w:sz="8" w:color="auto"/>
              <w:right w:val="single" w:sz="8" w:color="auto"/>
            </w:tcBorders>
          </w:tcPr>
          <w:p>
            <w:pPr>
              <w:ind w:left="2060"/>
              <w:spacing w:after="0"/>
              <w:rPr>
                <w:sz w:val="20"/>
                <w:szCs w:val="20"/>
                <w:color w:val="auto"/>
              </w:rPr>
            </w:pPr>
            <w:r>
              <w:rPr>
                <w:rFonts w:ascii="Times New Roman" w:cs="Times New Roman" w:eastAsia="Times New Roman" w:hAnsi="Times New Roman"/>
                <w:sz w:val="16"/>
                <w:szCs w:val="16"/>
                <w:color w:val="auto"/>
              </w:rPr>
              <w:t>Security Class Title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Rule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Registered (1)</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Price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Rate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Fee</w:t>
            </w:r>
          </w:p>
        </w:tc>
      </w:tr>
      <w:tr>
        <w:trPr>
          <w:trHeight w:val="199"/>
        </w:trPr>
        <w:tc>
          <w:tcPr>
            <w:tcW w:w="58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Equity</w:t>
            </w:r>
          </w:p>
        </w:tc>
        <w:tc>
          <w:tcPr>
            <w:tcW w:w="53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2015 Stock Option and Incentive Plan Common Stock, $0.001 par value per share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457(h)</w:t>
            </w:r>
          </w:p>
        </w:tc>
        <w:tc>
          <w:tcPr>
            <w:tcW w:w="98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2,398,356</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$42.20 (2)</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$101,210,623.20 (2)</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.0001102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$11,153.42</w:t>
            </w:r>
          </w:p>
        </w:tc>
      </w:tr>
      <w:tr>
        <w:trPr>
          <w:trHeight w:val="196"/>
        </w:trPr>
        <w:tc>
          <w:tcPr>
            <w:tcW w:w="58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Equity</w:t>
            </w:r>
          </w:p>
        </w:tc>
        <w:tc>
          <w:tcPr>
            <w:tcW w:w="53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2015 Employee Stock Purchase Plan Common Stock, $0.001 par value per share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457(h)</w:t>
            </w:r>
          </w:p>
        </w:tc>
        <w:tc>
          <w:tcPr>
            <w:tcW w:w="980" w:type="dxa"/>
            <w:vAlign w:val="bottom"/>
            <w:tcBorders>
              <w:bottom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599,589</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$35.87 (3)</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$21,507,257.43 (3)</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.0001102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$2,370.10</w:t>
            </w:r>
          </w:p>
        </w:tc>
      </w:tr>
      <w:tr>
        <w:trPr>
          <w:trHeight w:val="196"/>
        </w:trPr>
        <w:tc>
          <w:tcPr>
            <w:tcW w:w="580" w:type="dxa"/>
            <w:vAlign w:val="bottom"/>
            <w:tcBorders>
              <w:left w:val="single" w:sz="8" w:color="auto"/>
              <w:bottom w:val="single" w:sz="8" w:color="auto"/>
            </w:tcBorders>
          </w:tcPr>
          <w:p>
            <w:pPr>
              <w:spacing w:after="0"/>
              <w:rPr>
                <w:sz w:val="17"/>
                <w:szCs w:val="17"/>
                <w:color w:val="auto"/>
              </w:rPr>
            </w:pPr>
          </w:p>
        </w:tc>
        <w:tc>
          <w:tcPr>
            <w:tcW w:w="5360" w:type="dxa"/>
            <w:vAlign w:val="bottom"/>
            <w:tcBorders>
              <w:bottom w:val="single" w:sz="8" w:color="auto"/>
            </w:tcBorders>
          </w:tcPr>
          <w:p>
            <w:pPr>
              <w:jc w:val="center"/>
              <w:ind w:left="1159"/>
              <w:spacing w:after="0"/>
              <w:rPr>
                <w:sz w:val="20"/>
                <w:szCs w:val="20"/>
                <w:color w:val="auto"/>
              </w:rPr>
            </w:pPr>
            <w:r>
              <w:rPr>
                <w:rFonts w:ascii="Times New Roman" w:cs="Times New Roman" w:eastAsia="Times New Roman" w:hAnsi="Times New Roman"/>
                <w:sz w:val="16"/>
                <w:szCs w:val="16"/>
                <w:color w:val="auto"/>
              </w:rPr>
              <w:t>Total Offering Amounts</w:t>
            </w:r>
          </w:p>
        </w:tc>
        <w:tc>
          <w:tcPr>
            <w:tcW w:w="8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$122,717,880.63</w:t>
            </w:r>
          </w:p>
        </w:tc>
        <w:tc>
          <w:tcPr>
            <w:tcW w:w="6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$13,523.52</w:t>
            </w:r>
          </w:p>
        </w:tc>
      </w:tr>
      <w:tr>
        <w:trPr>
          <w:trHeight w:val="196"/>
        </w:trPr>
        <w:tc>
          <w:tcPr>
            <w:tcW w:w="580" w:type="dxa"/>
            <w:vAlign w:val="bottom"/>
            <w:tcBorders>
              <w:left w:val="single" w:sz="8" w:color="auto"/>
              <w:bottom w:val="single" w:sz="8" w:color="auto"/>
            </w:tcBorders>
          </w:tcPr>
          <w:p>
            <w:pPr>
              <w:spacing w:after="0"/>
              <w:rPr>
                <w:sz w:val="17"/>
                <w:szCs w:val="17"/>
                <w:color w:val="auto"/>
              </w:rPr>
            </w:pPr>
          </w:p>
        </w:tc>
        <w:tc>
          <w:tcPr>
            <w:tcW w:w="5360" w:type="dxa"/>
            <w:vAlign w:val="bottom"/>
            <w:tcBorders>
              <w:bottom w:val="single" w:sz="8" w:color="auto"/>
            </w:tcBorders>
          </w:tcPr>
          <w:p>
            <w:pPr>
              <w:jc w:val="center"/>
              <w:ind w:left="1139"/>
              <w:spacing w:after="0"/>
              <w:rPr>
                <w:sz w:val="20"/>
                <w:szCs w:val="20"/>
                <w:color w:val="auto"/>
              </w:rPr>
            </w:pPr>
            <w:r>
              <w:rPr>
                <w:rFonts w:ascii="Times New Roman" w:cs="Times New Roman" w:eastAsia="Times New Roman" w:hAnsi="Times New Roman"/>
                <w:sz w:val="16"/>
                <w:szCs w:val="16"/>
                <w:color w:val="auto"/>
                <w:w w:val="98"/>
              </w:rPr>
              <w:t>Total Fee Offsets</w:t>
            </w:r>
          </w:p>
        </w:tc>
        <w:tc>
          <w:tcPr>
            <w:tcW w:w="8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r>
        <w:trPr>
          <w:trHeight w:val="196"/>
        </w:trPr>
        <w:tc>
          <w:tcPr>
            <w:tcW w:w="580" w:type="dxa"/>
            <w:vAlign w:val="bottom"/>
            <w:tcBorders>
              <w:left w:val="single" w:sz="8" w:color="auto"/>
              <w:bottom w:val="single" w:sz="8" w:color="auto"/>
            </w:tcBorders>
          </w:tcPr>
          <w:p>
            <w:pPr>
              <w:spacing w:after="0"/>
              <w:rPr>
                <w:sz w:val="17"/>
                <w:szCs w:val="17"/>
                <w:color w:val="auto"/>
              </w:rPr>
            </w:pPr>
          </w:p>
        </w:tc>
        <w:tc>
          <w:tcPr>
            <w:tcW w:w="5360" w:type="dxa"/>
            <w:vAlign w:val="bottom"/>
            <w:tcBorders>
              <w:bottom w:val="single" w:sz="8" w:color="auto"/>
            </w:tcBorders>
          </w:tcPr>
          <w:p>
            <w:pPr>
              <w:jc w:val="center"/>
              <w:ind w:left="1139"/>
              <w:spacing w:after="0"/>
              <w:rPr>
                <w:sz w:val="20"/>
                <w:szCs w:val="20"/>
                <w:color w:val="auto"/>
              </w:rPr>
            </w:pPr>
            <w:r>
              <w:rPr>
                <w:rFonts w:ascii="Times New Roman" w:cs="Times New Roman" w:eastAsia="Times New Roman" w:hAnsi="Times New Roman"/>
                <w:sz w:val="16"/>
                <w:szCs w:val="16"/>
                <w:color w:val="auto"/>
              </w:rPr>
              <w:t>Net Fee Due</w:t>
            </w:r>
          </w:p>
        </w:tc>
        <w:tc>
          <w:tcPr>
            <w:tcW w:w="8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$13,523.52</w:t>
            </w:r>
          </w:p>
        </w:tc>
      </w:tr>
    </w:tbl>
    <w:p>
      <w:pPr>
        <w:spacing w:after="0" w:line="197" w:lineRule="exact"/>
        <w:rPr>
          <w:sz w:val="20"/>
          <w:szCs w:val="20"/>
          <w:color w:val="auto"/>
        </w:rPr>
      </w:pPr>
    </w:p>
    <w:p>
      <w:pPr>
        <w:ind w:left="460" w:right="140" w:hanging="452"/>
        <w:spacing w:after="0" w:line="258"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under the Securities Act of 1933, as amended (the “Securities Act”), this registration statement shall be deemed to cover any additional shares of common stock that may from time to time be offered or issued under the above-named plans to prevent dilution resulting from stock splits, stock dividends, recapitalizations or similar transactions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181" w:lineRule="exact"/>
        <w:rPr>
          <w:rFonts w:ascii="Times New Roman" w:cs="Times New Roman" w:eastAsia="Times New Roman" w:hAnsi="Times New Roman"/>
          <w:sz w:val="18"/>
          <w:szCs w:val="18"/>
          <w:color w:val="auto"/>
        </w:rPr>
      </w:pPr>
    </w:p>
    <w:p>
      <w:pPr>
        <w:ind w:left="460" w:right="560" w:hanging="452"/>
        <w:spacing w:after="0" w:line="312" w:lineRule="auto"/>
        <w:tabs>
          <w:tab w:leader="none" w:pos="4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February 10, 2023.</w:t>
      </w:r>
    </w:p>
    <w:p>
      <w:pPr>
        <w:spacing w:after="0" w:line="138" w:lineRule="exact"/>
        <w:rPr>
          <w:rFonts w:ascii="Times New Roman" w:cs="Times New Roman" w:eastAsia="Times New Roman" w:hAnsi="Times New Roman"/>
          <w:sz w:val="17"/>
          <w:szCs w:val="17"/>
          <w:color w:val="auto"/>
        </w:rPr>
      </w:pPr>
    </w:p>
    <w:p>
      <w:pPr>
        <w:ind w:left="460" w:right="560" w:hanging="452"/>
        <w:spacing w:after="0" w:line="288" w:lineRule="auto"/>
        <w:tabs>
          <w:tab w:leader="none" w:pos="4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February 10, 2023, multiplied by 85%, which is the percentage of the price per share applicable to purchasers under the 2015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340"/>
      </w:cols>
      <w:pgMar w:left="32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2"/>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5"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17" Type="http://schemas.openxmlformats.org/officeDocument/2006/relationships/hyperlink" Target="https://www.sec.gov/Archives/edgar/data/1597264/000110465915032381/a15-10041_1s8.htm" TargetMode="External"/><Relationship Id="rId18" Type="http://schemas.openxmlformats.org/officeDocument/2006/relationships/hyperlink" Target="https://www.sec.gov/Archives/edgar/data/1597264/000155837016004067/bpmc-20160311xs8.htm" TargetMode="External"/><Relationship Id="rId19" Type="http://schemas.openxmlformats.org/officeDocument/2006/relationships/hyperlink" Target="https://www.sec.gov/Archives/edgar/data/1597264/000155837017001552/bpmc_currentfolios8.htm" TargetMode="External"/><Relationship Id="rId20" Type="http://schemas.openxmlformats.org/officeDocument/2006/relationships/hyperlink" Target="https://www.sec.gov/Archives/edgar/data/1597264/000155837018000868/s-8.htm" TargetMode="External"/><Relationship Id="rId21" Type="http://schemas.openxmlformats.org/officeDocument/2006/relationships/hyperlink" Target="https://www.sec.gov/Archives/edgar/data/1597264/000155837019001099/s-8.htm" TargetMode="External"/><Relationship Id="rId22" Type="http://schemas.openxmlformats.org/officeDocument/2006/relationships/hyperlink" Target="https://www.sec.gov/Archives/edgar/data/1597264/000155837020000787/s-8.htm" TargetMode="External"/><Relationship Id="rId23" Type="http://schemas.openxmlformats.org/officeDocument/2006/relationships/hyperlink" Target="https://www.sec.gov/Archives/edgar/data/1597264/000155837021001147/tmb-20210217xs8.htm" TargetMode="External"/><Relationship Id="rId24" Type="http://schemas.openxmlformats.org/officeDocument/2006/relationships/hyperlink" Target="https://www.sec.gov/Archives/edgar/data/1597264/000110465922024503/tm226665d1_s8.htm" TargetMode="External"/><Relationship Id="rId26" Type="http://schemas.openxmlformats.org/officeDocument/2006/relationships/hyperlink" Target="https://www.sec.gov/Archives/edgar/data/1597264/000155837015002529/bpmc-20150930ex3100367a3.htm" TargetMode="External"/><Relationship Id="rId27" Type="http://schemas.openxmlformats.org/officeDocument/2006/relationships/hyperlink" Target="https://www.sec.gov/Archives/edgar/data/1597264/000110465922124884/tm2231954d1_ex3-1.htm" TargetMode="External"/><Relationship Id="rId28" Type="http://schemas.openxmlformats.org/officeDocument/2006/relationships/hyperlink" Target="https://www.sec.gov/Archives/edgar/data/1597264/000104746915003668/a2224211zex-4_1.htm" TargetMode="External"/><Relationship Id="rId29" Type="http://schemas.openxmlformats.org/officeDocument/2006/relationships/hyperlink" Target="https://www.sec.gov/Archives/edgar/data/1597264/000155837020000784/ex-10d2.htm" TargetMode="External"/><Relationship Id="rId30" Type="http://schemas.openxmlformats.org/officeDocument/2006/relationships/hyperlink" Target="https://www.sec.gov/Archives/edgar/data/1597264/000155837020000784/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2023-02-17T07:14:23Z</dcterms:created>
  <dcterms:modified xsi:type="dcterms:W3CDTF">2023-02-17T07:14:23Z</dcterms:modified>
</cp:coreProperties>
</file>