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16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Durso-Bumpus Debra</w:t>
              </w:r>
            </w:hyperlink>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06/18/2020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77"/>
        <w:spacing w:after="0"/>
        <w:rPr>
          <w:sz w:val="20"/>
          <w:szCs w:val="20"/>
          <w:color w:val="auto"/>
        </w:rPr>
      </w:pPr>
      <w:r>
        <w:rPr>
          <w:rFonts w:ascii="Arial" w:cs="Arial" w:eastAsia="Arial" w:hAnsi="Arial"/>
          <w:sz w:val="17"/>
          <w:szCs w:val="17"/>
          <w:color w:val="0000FF"/>
        </w:rPr>
        <w:t>Chief People Officer</w:t>
      </w:r>
    </w:p>
    <w:p>
      <w:pPr>
        <w:spacing w:after="0" w:line="390"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06/18/2020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2,500</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22,005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06/18/2020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2,500</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75.18</w:t>
            </w:r>
            <w:r>
              <w:rPr>
                <w:rFonts w:ascii="Arial" w:cs="Arial" w:eastAsia="Arial" w:hAnsi="Arial"/>
                <w:sz w:val="21"/>
                <w:szCs w:val="21"/>
                <w:color w:val="008000"/>
                <w:w w:val="95"/>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19,505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06/18/2020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69"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Arial" w:cs="Arial" w:eastAsia="Arial" w:hAnsi="Arial"/>
                <w:sz w:val="13"/>
                <w:szCs w:val="13"/>
                <w:color w:val="0000FF"/>
              </w:rPr>
              <w:t>2,500</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0"/>
              <w:spacing w:after="0"/>
              <w:rPr>
                <w:sz w:val="20"/>
                <w:szCs w:val="20"/>
                <w:color w:val="auto"/>
              </w:rPr>
            </w:pPr>
            <w:r>
              <w:rPr>
                <w:rFonts w:ascii="Arial" w:cs="Arial" w:eastAsia="Arial" w:hAnsi="Arial"/>
                <w:sz w:val="13"/>
                <w:szCs w:val="13"/>
                <w:color w:val="0000FF"/>
                <w:w w:val="98"/>
              </w:rPr>
              <w:t>04/27/2025</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2,500</w:t>
            </w:r>
          </w:p>
        </w:tc>
        <w:tc>
          <w:tcPr>
            <w:tcW w:w="18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8,966</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jc w:val="right"/>
              <w:ind w:right="157"/>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-3364230</wp:posOffset>
            </wp:positionV>
            <wp:extent cx="7033260" cy="3504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045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May 15, 2020 pursuant to Rule 10b5-1 under the Securities Exchange Act of 1934, as amended.</w:t>
      </w:r>
    </w:p>
    <w:p>
      <w:pPr>
        <w:spacing w:after="0" w:line="45" w:lineRule="exact"/>
        <w:rPr>
          <w:rFonts w:ascii="Arial" w:cs="Arial" w:eastAsia="Arial" w:hAnsi="Arial"/>
          <w:sz w:val="13"/>
          <w:szCs w:val="13"/>
          <w:color w:val="008000"/>
        </w:rPr>
      </w:pPr>
    </w:p>
    <w:p>
      <w:pPr>
        <w:ind w:left="40" w:right="3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$75.00 to $75.93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as of the date hereof.</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6"/>
              </w:rPr>
              <w:t>/s/ Christopher Frankenfield,</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06/22/2020</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8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8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297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2020-06-22T15:23:16Z</dcterms:created>
  <dcterms:modified xsi:type="dcterms:W3CDTF">2020-06-22T15:23:16Z</dcterms:modified>
</cp:coreProperties>
</file>