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8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CEO and President</w:t>
      </w:r>
    </w:p>
    <w:p>
      <w:pPr>
        <w:spacing w:after="0" w:line="427"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6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02139</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03/01/2020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45,000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123,711</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03/01/2020</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90,000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03/01/2030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90,000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90,000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involved the Reporting Person's receipt of a grant of 45,000 restricted stock units under Issuer's 2015 Stock Option and Incentive Plan. The Reporting Person has reported prior awards of restricted stock units in Table II of Form 4. The total reported in Column 5 includes the 45,000 newly awarded restricted stock units, 29,750 previously reported restricted stock units, 7,438 of which vested on March 1, 2020, and 48,961 shares of common stock.</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2020 and as to an additional 1/48th of the shares underlying the option each month thereafter.</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2020-03-03T18:11:54Z</dcterms:created>
  <dcterms:modified xsi:type="dcterms:W3CDTF">2020-03-03T18:11:54Z</dcterms:modified>
</cp:coreProperties>
</file>