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226060</wp:posOffset>
            </wp:positionH>
            <wp:positionV relativeFrom="page">
              <wp:posOffset>157480</wp:posOffset>
            </wp:positionV>
            <wp:extent cx="71780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342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226060</wp:posOffset>
            </wp:positionV>
            <wp:extent cx="7178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44"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60"/>
          </w:cols>
          <w:pgMar w:left="240" w:top="544" w:right="27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44" w:right="27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040" w:hanging="384"/>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On December 12, 2017, Blueprint Medicines Corporation (the “Company”) entered into an underwriting agreement (the “Underwriting Agreement”) with Goldman Sachs &amp; Co. LLC and Morgan Stanley &amp; Co. LLC, as representatives of the underwriters named therein (collectively, the “Underwriters”), relating to an underwritten public offering (the “Offering”) of 3,703,704 shares of the Company’s common stock, $0.001 par value per share (the “Common Stock”), at a price to the public of $81.00 per share (the “Offering Price”). After deducting the underwriting discounts and commissions and estimated offering expenses, the Company expects to receive net proceeds from the Offering of approximately $283.0 million. The Company has also granted the Underwriters a 30-day option to purchase up to an additional 555,555 shares of Common Stock at the Offering Price.</w:t>
      </w:r>
    </w:p>
    <w:p>
      <w:pPr>
        <w:sectPr>
          <w:pgSz w:w="11900" w:h="16838" w:orient="portrait"/>
          <w:cols w:equalWidth="0" w:num="1">
            <w:col w:w="11380"/>
          </w:cols>
          <w:pgMar w:left="240" w:top="544" w:right="279" w:bottom="0" w:gutter="0" w:footer="0" w:header="0"/>
          <w:type w:val="continuous"/>
        </w:sectPr>
      </w:pPr>
    </w:p>
    <w:bookmarkStart w:id="1" w:name="page2"/>
    <w:bookmarkEnd w:id="1"/>
    <w:p>
      <w:pPr>
        <w:ind w:right="200" w:firstLine="648"/>
        <w:spacing w:after="0" w:line="264" w:lineRule="auto"/>
        <w:rPr>
          <w:sz w:val="20"/>
          <w:szCs w:val="20"/>
          <w:color w:val="auto"/>
        </w:rPr>
      </w:pPr>
      <w:r>
        <w:rPr>
          <w:rFonts w:ascii="Arial" w:cs="Arial" w:eastAsia="Arial" w:hAnsi="Arial"/>
          <w:sz w:val="18"/>
          <w:szCs w:val="18"/>
          <w:color w:val="auto"/>
        </w:rPr>
        <w:t>The Offering was made pursuant to the Company’s effective automatic shelf registration statement on Form S-3ASR (File No. 333-216573), as supplemented by a prospectus supplement dated December 12, 2017, filed on December 13, 2017. The Offering is expected to close on December 15, 2017, subject to the satisfaction of customary closing conditions.</w:t>
      </w:r>
    </w:p>
    <w:p>
      <w:pPr>
        <w:spacing w:after="0" w:line="18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A copy of the Underwriting Agreement is attached as Exhibit 1.1 to this Current Report on Form 8-K and is incorporated herein by reference. The foregoing description of the Underwriting Agreement does not purport to be complete and is qualified in its entirety by reference to such exhibit.</w:t>
      </w:r>
    </w:p>
    <w:p>
      <w:pPr>
        <w:spacing w:after="0" w:line="14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copy of the legal opinion of Goodwin Procter LLP relating to the legality of the issuance and sale of the shares in the Offering is attached as Exhibit 5.1 to this Current Report on Form 8-K.</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On December 11, 2017, the Company issued a press release announcing the Offering, and on December 12, 2017, the Company issued a press release announcing the pricing of the Offering. Copies of these press releases are attached to this Current Report on Form 8-K as Exhibits 99.1 and 99.2, respectively, and are each incorporated herein by reference.</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which immediately follows the signatures hereto, which Exhibit Index is incorporated herein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100" w:type="dxa"/>
            <w:vAlign w:val="bottom"/>
            <w:gridSpan w:val="5"/>
          </w:tcPr>
          <w:p>
            <w:pPr>
              <w:jc w:val="center"/>
              <w:ind w:left="291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540" w:type="dxa"/>
            <w:vAlign w:val="bottom"/>
            <w:gridSpan w:val="6"/>
          </w:tcPr>
          <w:p>
            <w:pPr>
              <w:jc w:val="center"/>
              <w:ind w:right="39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720" w:type="dxa"/>
            <w:vAlign w:val="bottom"/>
            <w:gridSpan w:val="5"/>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800" w:type="dxa"/>
            <w:vAlign w:val="bottom"/>
            <w:tcBorders>
              <w:top w:val="single" w:sz="8" w:color="auto"/>
              <w:bottom w:val="single" w:sz="8" w:color="0000EE"/>
            </w:tcBorders>
            <w:gridSpan w:val="5"/>
          </w:tcPr>
          <w:p>
            <w:pPr>
              <w:spacing w:after="0" w:line="170"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Underwriting Agreement, dated as of December 12, 2017, among Blueprint Medicines Corporation and Goldman Sachs &amp; Co. LLC and</w:t>
              </w:r>
            </w:hyperlink>
          </w:p>
        </w:tc>
        <w:tc>
          <w:tcPr>
            <w:tcW w:w="1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6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Morgan Stanley &amp; Co. LLC, as representatives of the underwriters named therein</w:t>
              </w:r>
            </w:hyperlink>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58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Opinion of Goodwin Procter LLP</w:t>
              </w:r>
            </w:hyperlink>
          </w:p>
        </w:tc>
        <w:tc>
          <w:tcPr>
            <w:tcW w:w="4100" w:type="dxa"/>
            <w:vAlign w:val="bottom"/>
            <w:gridSpan w:val="3"/>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340" w:type="dxa"/>
            <w:vAlign w:val="bottom"/>
          </w:tcPr>
          <w:p>
            <w:pPr>
              <w:spacing w:after="0"/>
              <w:rPr>
                <w:sz w:val="17"/>
                <w:szCs w:val="17"/>
                <w:color w:val="auto"/>
              </w:rPr>
            </w:pPr>
          </w:p>
        </w:tc>
        <w:tc>
          <w:tcPr>
            <w:tcW w:w="42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Consent of Goodwin Procter LLP (included in Exhibit 5.1)</w:t>
              </w:r>
            </w:hyperlink>
          </w:p>
        </w:tc>
        <w:tc>
          <w:tcPr>
            <w:tcW w:w="5720" w:type="dxa"/>
            <w:vAlign w:val="bottom"/>
            <w:gridSpan w:val="5"/>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57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Press release issued by Blueprint Medicines Corporation on December 11, 2017</w:t>
              </w:r>
            </w:hyperlink>
          </w:p>
        </w:tc>
        <w:tc>
          <w:tcPr>
            <w:tcW w:w="4200" w:type="dxa"/>
            <w:vAlign w:val="bottom"/>
            <w:gridSpan w:val="4"/>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99.2</w:t>
            </w:r>
          </w:p>
        </w:tc>
        <w:tc>
          <w:tcPr>
            <w:tcW w:w="340" w:type="dxa"/>
            <w:vAlign w:val="bottom"/>
          </w:tcPr>
          <w:p>
            <w:pPr>
              <w:spacing w:after="0"/>
              <w:rPr>
                <w:sz w:val="17"/>
                <w:szCs w:val="17"/>
                <w:color w:val="auto"/>
              </w:rPr>
            </w:pPr>
          </w:p>
        </w:tc>
        <w:tc>
          <w:tcPr>
            <w:tcW w:w="9960" w:type="dxa"/>
            <w:vAlign w:val="bottom"/>
            <w:gridSpan w:val="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Press release issued by Blueprint Medicines Corporation on December 12, 2017</w:t>
              </w:r>
            </w:hyperlink>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5740" w:type="dxa"/>
            <w:vAlign w:val="bottom"/>
            <w:tcBorders>
              <w:top w:val="single" w:sz="8" w:color="0000EE"/>
            </w:tcBorders>
            <w:gridSpan w:val="3"/>
          </w:tcPr>
          <w:p>
            <w:pPr>
              <w:jc w:val="center"/>
              <w:ind w:left="255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-1958975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-1958975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spacing w:after="0"/>
        <w:tabs>
          <w:tab w:leader="none" w:pos="5700" w:val="left"/>
          <w:tab w:leader="none" w:pos="6200" w:val="left"/>
        </w:tabs>
        <w:rPr>
          <w:sz w:val="20"/>
          <w:szCs w:val="20"/>
          <w:color w:val="auto"/>
        </w:rPr>
      </w:pPr>
      <w:r>
        <w:rPr>
          <w:rFonts w:ascii="Arial" w:cs="Arial" w:eastAsia="Arial" w:hAnsi="Arial"/>
          <w:sz w:val="18"/>
          <w:szCs w:val="18"/>
          <w:color w:val="auto"/>
        </w:rPr>
        <w:t>Date: December 13,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December 12,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Blueprint Medicines Corporation, a Delaware corporation (the “Company”), proposes, subject to the terms and conditions stated herein, to issue and sell to the Underwriters named in Schedule I hereto (the “Underwriters”), for whom you are acting as representatives (the “Representatives”), an aggregate of 3,703,704 shares (the “Firm Shares”) and, at the election of the Underwriters, up to 555,555 additional shares (the “Optional Shares”) of Common Stock, par value $0.001 per share (“Stock”), of the Company (the Firm Shares and the Optional Shares that the Underwriters elect to purchase pursuant to Section 2 hereof being collectively called the “Shares”).</w:t>
      </w:r>
    </w:p>
    <w:p>
      <w:pPr>
        <w:spacing w:after="0" w:line="188" w:lineRule="exact"/>
        <w:rPr>
          <w:sz w:val="20"/>
          <w:szCs w:val="20"/>
          <w:color w:val="auto"/>
        </w:rPr>
      </w:pPr>
    </w:p>
    <w:p>
      <w:pPr>
        <w:ind w:left="1380" w:hanging="7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225" w:lineRule="exact"/>
        <w:rPr>
          <w:sz w:val="20"/>
          <w:szCs w:val="20"/>
          <w:color w:val="auto"/>
        </w:rPr>
      </w:pPr>
    </w:p>
    <w:p>
      <w:pPr>
        <w:ind w:right="40" w:firstLine="656"/>
        <w:spacing w:after="0" w:line="259" w:lineRule="auto"/>
        <w:tabs>
          <w:tab w:leader="none" w:pos="1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“automatic shelf registration statement” (as defined in Rule 405 under the Securities Act of 1933, as amended (the “Act”)) on Form S-3ASR (File No. 333-216573) (the “Automatic Registration Statement”), in respect of the Shares has been filed with the Securities and Exchange Commission (the “Commission”) not earlier than three years prior to the date hereof; the Automatic Registration Statement and any post-effective amendment thereto became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effective upon filing; no other document with respect to the Automatic Registration Statement or any document incorporated by reference therein has heretofore been filed, or transmitted for filing, with the Commission (other than (i) prospectuses filed pursuant to Rule 424(b) of the rules and regulations of the Commission under the Act, each such prospectus relating to the Shares in the form heretofore delivered to the Representatives, and (ii) reports and proxy or information statements required to be filed by the Company with the Commission pursuant to the Securities Exchange Act of 1934, as amended (the “Exchange Act”)); and no stop order suspending the effectiveness of the Automatic Registration Statement or any part thereof or any post-effective amendment thereto, has been issued and no proceeding for that purpose has been initiated or threatened by the Commission, and no notice of objection of the Commission to the use of the Automatic Registration Statement or any post-effective amendment thereto pursuant to Rule 401(g)(2) under the Act has been received by the Company (the base prospectus filed as part of the Automatic Registration Statement, in the form in which it has most recently been filed with the Commission on or prior to the date of this Agreement, is hereinafter called the “Basic Prospectus”; any preliminary prospectus (including any preliminary prospectus supplement) relating to the Shares filed with the Commission pursuant to Rule 424(b) under the Act is hereinafter called a “Preliminary Prospectus”; the various parts of the Automatic Registration Statement, including all exhibits thereto and including any prospectus supplement relating to the Shares that is filed with the Commission and deemed by virtue of Rule 430B under the Act to be part of the Automatic Registration Statement, each as amended at the time such part of the Automatic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the Registration Statement; and any “issuer free writing prospectus” as defined in Rule 433 under the Act relating to the Shares is hereinafter called an “Issuer Free Writing Prospectus”; any oral or written communication with potential investors undertaken in reliance on Section 5(d) of the Act is hereinafter</w:t>
      </w:r>
    </w:p>
    <w:p>
      <w:pPr>
        <w:sectPr>
          <w:pgSz w:w="11900" w:h="16838" w:orient="portrait"/>
          <w:cols w:equalWidth="0" w:num="1">
            <w:col w:w="11420"/>
          </w:cols>
          <w:pgMar w:left="240" w:top="121" w:right="239" w:bottom="0" w:gutter="0" w:footer="0" w:header="0"/>
        </w:sectPr>
      </w:pPr>
    </w:p>
    <w:bookmarkStart w:id="3" w:name="page4"/>
    <w:bookmarkEnd w:id="3"/>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called a “Section 5(d) Communication”; and any Section 5(d) Communication that is a written communication within the meaning of Rule 405 under the Act is hereinafter called a “Section 5(d) Writing”);</w:t>
      </w:r>
    </w:p>
    <w:p>
      <w:pPr>
        <w:spacing w:after="0" w:line="170" w:lineRule="exact"/>
        <w:rPr>
          <w:sz w:val="20"/>
          <w:szCs w:val="20"/>
          <w:color w:val="auto"/>
        </w:rPr>
      </w:pPr>
    </w:p>
    <w:p>
      <w:pPr>
        <w:ind w:firstLine="656"/>
        <w:spacing w:after="0" w:line="273" w:lineRule="auto"/>
        <w:tabs>
          <w:tab w:leader="none" w:pos="135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78" w:lineRule="exact"/>
        <w:rPr>
          <w:rFonts w:ascii="Arial" w:cs="Arial" w:eastAsia="Arial" w:hAnsi="Arial"/>
          <w:sz w:val="17"/>
          <w:szCs w:val="17"/>
          <w:color w:val="auto"/>
        </w:rPr>
      </w:pPr>
    </w:p>
    <w:p>
      <w:pPr>
        <w:ind w:right="20" w:firstLine="656"/>
        <w:spacing w:after="0" w:line="269" w:lineRule="auto"/>
        <w:tabs>
          <w:tab w:leader="none" w:pos="134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For the purposes of this Agreement, the “Applicable Time” is 6:00 pm (Eastern time) on the date of this Agreement. The Pricing Prospectus, as supplemented by those Issuer Free Writing Prospectuses and other documents and information listed on Schedule II(c)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Pricing Prospectus or the Prospectus and each such Issuer Free Writing Prospectus and each Section 5(d) Writing listed on Schedule II(b) hereto, each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this representation and warranty shall not apply to statements or omissions made in the Pricing Disclosure Package, any Issuer Free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or any Section 5(d) Writing in reliance upon and in conformity with information furnished in writing to the Company by an Underwriter through a Representative expressly for use therein;</w:t>
      </w:r>
    </w:p>
    <w:p>
      <w:pPr>
        <w:spacing w:after="0" w:line="182" w:lineRule="exact"/>
        <w:rPr>
          <w:rFonts w:ascii="Arial" w:cs="Arial" w:eastAsia="Arial" w:hAnsi="Arial"/>
          <w:sz w:val="17"/>
          <w:szCs w:val="17"/>
          <w:color w:val="auto"/>
        </w:rPr>
      </w:pPr>
    </w:p>
    <w:p>
      <w:pPr>
        <w:ind w:right="380" w:firstLine="656"/>
        <w:spacing w:after="0" w:line="277" w:lineRule="auto"/>
        <w:tabs>
          <w:tab w:leader="none" w:pos="1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documents incorporated by reference in the Pricing Prospectus and Prospectus, when they became effective or were filed with the Commission, as the case may be, conformed in all material respects to the requirements of the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a Representative expressly for use therein; and no such documents were filed with the Commission since the Commission’s close of business on the business day immediately prior to the date of this Agreement and prior to the execution of this Agreement, except as set forth on Schedule II(d) hereto;</w:t>
      </w:r>
    </w:p>
    <w:p>
      <w:pPr>
        <w:spacing w:after="0" w:line="167" w:lineRule="exact"/>
        <w:rPr>
          <w:sz w:val="20"/>
          <w:szCs w:val="20"/>
          <w:color w:val="auto"/>
        </w:rPr>
      </w:pPr>
    </w:p>
    <w:p>
      <w:pPr>
        <w:ind w:right="20" w:firstLine="656"/>
        <w:spacing w:after="0" w:line="259" w:lineRule="auto"/>
        <w:tabs>
          <w:tab w:leader="none" w:pos="1343" w:val="left"/>
        </w:tabs>
        <w:numPr>
          <w:ilvl w:val="0"/>
          <w:numId w:val="5"/>
        </w:numPr>
        <w:rPr>
          <w:rFonts w:ascii="Arial" w:cs="Arial" w:eastAsia="Arial" w:hAnsi="Arial"/>
          <w:sz w:val="18"/>
          <w:szCs w:val="18"/>
          <w:color w:val="auto"/>
        </w:rPr>
      </w:pPr>
      <w:r>
        <w:rPr>
          <w:rFonts w:ascii="Arial" w:cs="Arial" w:eastAsia="Arial" w:hAnsi="Arial"/>
          <w:sz w:val="18"/>
          <w:szCs w:val="18"/>
          <w:color w:val="auto"/>
        </w:rPr>
        <w:t>From the time of the initial filing of a registration statement relating to the Shares with the Commission (or, if earlier, the first date on which a Section 5(d) Communication was made) through the date hereof (or through December 31, 2017, if this representation is being made after such date), the Company has been and is (or was, if this representation is being made after December 31, 2017) an “emerging growth company” as defined in Section 2(a)(19) of the Act (an “Emerging Growth Company”);</w:t>
      </w:r>
    </w:p>
    <w:p>
      <w:pPr>
        <w:spacing w:after="0" w:line="186" w:lineRule="exact"/>
        <w:rPr>
          <w:rFonts w:ascii="Arial" w:cs="Arial" w:eastAsia="Arial" w:hAnsi="Arial"/>
          <w:sz w:val="18"/>
          <w:szCs w:val="18"/>
          <w:color w:val="auto"/>
        </w:rPr>
      </w:pPr>
    </w:p>
    <w:p>
      <w:pPr>
        <w:ind w:firstLine="656"/>
        <w:spacing w:after="0" w:line="293" w:lineRule="auto"/>
        <w:tabs>
          <w:tab w:leader="none" w:pos="1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64" w:lineRule="exact"/>
        <w:rPr>
          <w:rFonts w:ascii="Arial" w:cs="Arial" w:eastAsia="Arial" w:hAnsi="Arial"/>
          <w:sz w:val="16"/>
          <w:szCs w:val="16"/>
          <w:color w:val="auto"/>
        </w:rPr>
      </w:pPr>
    </w:p>
    <w:p>
      <w:pPr>
        <w:ind w:right="160" w:firstLine="656"/>
        <w:spacing w:after="0" w:line="259"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sustained since the date of the latest audited financial statements included or incorporated by reference in the Pricing Prospectus any material loss or material interference with its business from fire, explosion, flood or other calamity, whether or not covered by insurance, or from any labor dispute or court or governmental action, order or decree, otherwise than as set forth or contemplated in the Registration Statement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and the Pricing Prospectus; and, since the respective dates as of which information is given in the Registration Statement and the Pricing Prospectus, (i) there has not been any change in the capital stock (other than as a result of the exercise of stock options or the award of stock options or restricted stock in the ordinary course of business pursuant to the Company’s equity plans that are described or incorporated by reference in the Pricing Prospectus) or long-term debt of the Company or any of its subsidiaries, (ii) neither the Company nor any of its subsidiaries has incurred any liability or obligation, direct or contingent, other than liabilities and obligations which were incurred in the ordinary course of business, (iii) neither the Company nor any of its subsidiaries has declared or paid any dividends on its capital stock, and (iv) there has not been any material adverse change, or any development involving a prospective material adverse change, in or affecting the general affairs, management, financial position, stockholders’ equity, results of operations or prospects of the Company and its subsidiaries, otherwise than as set forth or contemplated in the Pricing Prospectus;</w:t>
      </w:r>
    </w:p>
    <w:p>
      <w:pPr>
        <w:spacing w:after="0" w:line="179" w:lineRule="exact"/>
        <w:rPr>
          <w:sz w:val="20"/>
          <w:szCs w:val="20"/>
          <w:color w:val="auto"/>
        </w:rPr>
      </w:pPr>
    </w:p>
    <w:p>
      <w:pPr>
        <w:ind w:right="60" w:firstLine="656"/>
        <w:spacing w:after="0" w:line="291"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Neither the Company nor any of its subsidiaries owns any real property. The Company and its subsidiaries have good and marketable title to all personal property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w:t>
      </w:r>
    </w:p>
    <w:p>
      <w:pPr>
        <w:sectPr>
          <w:pgSz w:w="11900" w:h="16932" w:orient="portrait"/>
          <w:cols w:equalWidth="0" w:num="1">
            <w:col w:w="11400"/>
          </w:cols>
          <w:pgMar w:left="240" w:top="125" w:right="259" w:bottom="0" w:gutter="0" w:footer="0" w:header="0"/>
        </w:sectPr>
      </w:pPr>
    </w:p>
    <w:bookmarkStart w:id="4" w:name="page5"/>
    <w:bookmarkEnd w:id="4"/>
    <w:p>
      <w:pPr>
        <w:ind w:right="20"/>
        <w:spacing w:after="0" w:line="308" w:lineRule="auto"/>
        <w:rPr>
          <w:sz w:val="20"/>
          <w:szCs w:val="20"/>
          <w:color w:val="auto"/>
        </w:rPr>
      </w:pPr>
      <w:r>
        <w:rPr>
          <w:rFonts w:ascii="Arial" w:cs="Arial" w:eastAsia="Arial" w:hAnsi="Arial"/>
          <w:sz w:val="17"/>
          <w:szCs w:val="17"/>
          <w:color w:val="auto"/>
        </w:rPr>
        <w:t>in proceedings at law or in equity); and (iii) applicable law and public policy with respect to rights to indemnity and contribution) with such exceptions as are not material and do not interfere with the use made and proposed to be made of such property and buildings by the Company and its subsidiaries;</w:t>
      </w:r>
    </w:p>
    <w:p>
      <w:pPr>
        <w:spacing w:after="0" w:line="147" w:lineRule="exact"/>
        <w:rPr>
          <w:sz w:val="20"/>
          <w:szCs w:val="20"/>
          <w:color w:val="auto"/>
        </w:rPr>
      </w:pPr>
    </w:p>
    <w:p>
      <w:pPr>
        <w:ind w:right="40" w:firstLine="656"/>
        <w:spacing w:after="0" w:line="276" w:lineRule="auto"/>
        <w:tabs>
          <w:tab w:leader="none" w:pos="135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 corporation in good standing under the laws of the State of Delaware, with power and authority (corporate and other) to own its properties and conduct its business as described in the Pricing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be in good standing in such jurisdictions would not, individually or in the aggregate, have a material adverse effect on the current or future financial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position, stockholders’ equity, results of operations or prospects of the Company (a “Material Adverse Effect”); and each subsidiary of the Company has been duly incorporated and is validly existing as a corporation in good standing under the laws of its jurisdiction of incorporation;</w:t>
      </w:r>
    </w:p>
    <w:p>
      <w:pPr>
        <w:spacing w:after="0" w:line="170" w:lineRule="exact"/>
        <w:rPr>
          <w:sz w:val="20"/>
          <w:szCs w:val="20"/>
          <w:color w:val="auto"/>
        </w:rPr>
      </w:pPr>
    </w:p>
    <w:p>
      <w:pPr>
        <w:jc w:val="both"/>
        <w:ind w:right="60" w:firstLine="656"/>
        <w:spacing w:after="0" w:line="302" w:lineRule="auto"/>
        <w:tabs>
          <w:tab w:leader="none" w:pos="13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an authorized, issued and outstanding capitalization as set forth in the Pricing Prospectus and all of the issued shares of capital stock of the Company have been duly authorized and validly issued and are fully paid and non-assessable and conform to the description of the Stock contained in the Pricing Prospectus and Prospectus; and all of the issued shares of capital stock of each subsidiary of the Company have been duly authorized and validly issued and are fully paid and non-assessable and are owned directly by the Company, free and clear of all liens, encumbrances, equities or claims;</w:t>
      </w:r>
    </w:p>
    <w:p>
      <w:pPr>
        <w:spacing w:after="0" w:line="154" w:lineRule="exact"/>
        <w:rPr>
          <w:rFonts w:ascii="Arial" w:cs="Arial" w:eastAsia="Arial" w:hAnsi="Arial"/>
          <w:sz w:val="16"/>
          <w:szCs w:val="16"/>
          <w:color w:val="auto"/>
        </w:rPr>
      </w:pPr>
    </w:p>
    <w:p>
      <w:pPr>
        <w:ind w:right="160" w:firstLine="656"/>
        <w:spacing w:after="0" w:line="297" w:lineRule="auto"/>
        <w:tabs>
          <w:tab w:leader="none" w:pos="135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Prospectus and the issuance of the Shares is not subject to any preemptive rights, rights of first refusal or similar rights pursuant to the General Corporation Law of the State of Delaware or the Company’s Certificate of Incorporation or Bylaws or any agreement or other instrument to which the Company is a party, except for such rights that have been complied with or effectively waived prior to the date hereof;</w:t>
      </w:r>
    </w:p>
    <w:p>
      <w:pPr>
        <w:spacing w:after="0" w:line="158" w:lineRule="exact"/>
        <w:rPr>
          <w:rFonts w:ascii="Arial" w:cs="Arial" w:eastAsia="Arial" w:hAnsi="Arial"/>
          <w:sz w:val="16"/>
          <w:szCs w:val="16"/>
          <w:color w:val="auto"/>
        </w:rPr>
      </w:pPr>
    </w:p>
    <w:p>
      <w:pPr>
        <w:ind w:firstLine="656"/>
        <w:spacing w:after="0" w:line="287" w:lineRule="auto"/>
        <w:tabs>
          <w:tab w:leader="none" w:pos="13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issue and sale of the Shares and the compliance by the Company with this Agreement and the consummation by the Company of the transactions herein contemplated will not conflict with or result in a breach or violation of any of the terms or provisions of, or constitute a default under, (i) any indenture, mortgage, lease,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the Company’s Certificate of Incorporation or Bylaws or (iii) any statute or any order, rule or regulation of any court or governmental agency or body having jurisdiction over the Company or any of its subsidiaries or any of their properties, except in the case of (i) and (iii) for such violations or defaults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the approval by the Financial Industry Regulatory Authority (“FINRA”) of the underwriting terms, the approval of the listing of the Shares on the NASDAQ Global Select Market, and such consents, approvals, authorizations, registrations, orders or qualifications as may be required under state securities or Blue Sky laws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purchase and distribution of the Shares by the Underwriters;</w:t>
      </w:r>
    </w:p>
    <w:p>
      <w:pPr>
        <w:spacing w:after="0" w:line="225" w:lineRule="exact"/>
        <w:rPr>
          <w:sz w:val="20"/>
          <w:szCs w:val="20"/>
          <w:color w:val="auto"/>
        </w:rPr>
      </w:pPr>
    </w:p>
    <w:p>
      <w:pPr>
        <w:ind w:right="40" w:firstLine="656"/>
        <w:spacing w:after="0" w:line="255" w:lineRule="auto"/>
        <w:tabs>
          <w:tab w:leader="none" w:pos="1358"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respective Certificate of Incorporation or Bylaws,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or (iii) in violation of any law or statute or any judgment, order, rule or regulation of any court or arbitrator or governmental or regulatory authority (collectively, the “Regulatory Authorities”), except in the case of (ii) and (iii) for such violations or defaults as would not, individually or in the aggregate, reasonably be expected to have a Material Adverse Effect;</w:t>
      </w:r>
    </w:p>
    <w:p>
      <w:pPr>
        <w:spacing w:after="0" w:line="193" w:lineRule="exact"/>
        <w:rPr>
          <w:rFonts w:ascii="Arial" w:cs="Arial" w:eastAsia="Arial" w:hAnsi="Arial"/>
          <w:sz w:val="18"/>
          <w:szCs w:val="18"/>
          <w:color w:val="auto"/>
        </w:rPr>
      </w:pPr>
    </w:p>
    <w:p>
      <w:pPr>
        <w:ind w:right="120" w:firstLine="656"/>
        <w:spacing w:after="0" w:line="257" w:lineRule="auto"/>
        <w:tabs>
          <w:tab w:leader="none" w:pos="135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 constitute a summary of the terms of the Stock and under the caption “Underwriting” insofar as they purport to describe the provisions of the laws and documents referred to therein are accurate, materially complete and fair, and the statements set forth in the Pricing Prospectus and the Prospectus under the caption “Material U.S. Federal Income Tax Considerations for Non-U.S. Holders” insofar as they purport to describe the provisions of the laws and documents referred to therein are accurate in all material respects;</w:t>
      </w:r>
    </w:p>
    <w:p>
      <w:pPr>
        <w:spacing w:after="0" w:line="188" w:lineRule="exact"/>
        <w:rPr>
          <w:rFonts w:ascii="Arial" w:cs="Arial" w:eastAsia="Arial" w:hAnsi="Arial"/>
          <w:sz w:val="18"/>
          <w:szCs w:val="18"/>
          <w:color w:val="auto"/>
        </w:rPr>
      </w:pPr>
    </w:p>
    <w:p>
      <w:pPr>
        <w:jc w:val="both"/>
        <w:ind w:right="100" w:firstLine="656"/>
        <w:spacing w:after="0" w:line="279" w:lineRule="auto"/>
        <w:tabs>
          <w:tab w:leader="none" w:pos="1353"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reasonably be expected to have a Material Adverse Effect; and, to the best of the Company’s knowledge, no such proceedings are threatened or contemplated by Regulatory Authorities or threatened by others;</w:t>
      </w:r>
    </w:p>
    <w:p>
      <w:pPr>
        <w:spacing w:after="0" w:line="171" w:lineRule="exact"/>
        <w:rPr>
          <w:rFonts w:ascii="Arial" w:cs="Arial" w:eastAsia="Arial" w:hAnsi="Arial"/>
          <w:sz w:val="17"/>
          <w:szCs w:val="17"/>
          <w:color w:val="auto"/>
        </w:rPr>
      </w:pPr>
    </w:p>
    <w:p>
      <w:pPr>
        <w:ind w:right="180" w:firstLine="656"/>
        <w:spacing w:after="0" w:line="264" w:lineRule="auto"/>
        <w:tabs>
          <w:tab w:leader="none" w:pos="135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Pricing Disclosure Package, will not be an “investment company”, as such term is defined in the Investment Company Act of 1940, as amended (the “Investment Company Act”);</w:t>
      </w:r>
    </w:p>
    <w:p>
      <w:pPr>
        <w:spacing w:after="0" w:line="181" w:lineRule="exact"/>
        <w:rPr>
          <w:rFonts w:ascii="Arial" w:cs="Arial" w:eastAsia="Arial" w:hAnsi="Arial"/>
          <w:sz w:val="18"/>
          <w:szCs w:val="18"/>
          <w:color w:val="auto"/>
        </w:rPr>
      </w:pPr>
    </w:p>
    <w:p>
      <w:pPr>
        <w:ind w:right="160" w:firstLine="656"/>
        <w:spacing w:after="0" w:line="257" w:lineRule="auto"/>
        <w:tabs>
          <w:tab w:leader="none" w:pos="1353" w:val="left"/>
        </w:tabs>
        <w:numPr>
          <w:ilvl w:val="0"/>
          <w:numId w:val="9"/>
        </w:numPr>
        <w:rPr>
          <w:rFonts w:ascii="Arial" w:cs="Arial" w:eastAsia="Arial" w:hAnsi="Arial"/>
          <w:sz w:val="18"/>
          <w:szCs w:val="18"/>
          <w:color w:val="auto"/>
        </w:rPr>
      </w:pPr>
      <w:r>
        <w:rPr>
          <w:rFonts w:ascii="Arial" w:cs="Arial" w:eastAsia="Arial" w:hAnsi="Arial"/>
          <w:sz w:val="18"/>
          <w:szCs w:val="18"/>
          <w:color w:val="auto"/>
        </w:rPr>
        <w:t>(A)(i) At the time of filing the Automatic Registration Statement, (ii) at the time of the most recent amendment thereto for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the Company was a “well-known seasoned issuer” as</w:t>
      </w:r>
    </w:p>
    <w:p>
      <w:pPr>
        <w:sectPr>
          <w:pgSz w:w="11900" w:h="16838" w:orient="portrait"/>
          <w:cols w:equalWidth="0" w:num="1">
            <w:col w:w="11420"/>
          </w:cols>
          <w:pgMar w:left="240" w:top="125" w:right="239" w:bottom="44"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4" w:gutter="0" w:footer="0" w:header="0"/>
          <w:type w:val="continuous"/>
        </w:sectPr>
      </w:pPr>
    </w:p>
    <w:bookmarkStart w:id="5" w:name="page6"/>
    <w:bookmarkEnd w:id="5"/>
    <w:p>
      <w:pPr>
        <w:jc w:val="both"/>
        <w:ind w:right="140"/>
        <w:spacing w:after="0" w:line="264" w:lineRule="auto"/>
        <w:rPr>
          <w:sz w:val="20"/>
          <w:szCs w:val="20"/>
          <w:color w:val="auto"/>
        </w:rPr>
      </w:pPr>
      <w:r>
        <w:rPr>
          <w:rFonts w:ascii="Arial" w:cs="Arial" w:eastAsia="Arial" w:hAnsi="Arial"/>
          <w:sz w:val="18"/>
          <w:szCs w:val="18"/>
          <w:color w:val="auto"/>
        </w:rPr>
        <w:t>defined in Rule 405 under the Act; and (B) at the earliest time after the filing of the Automatic Registration Statement that the Company or another offering participant made a bona fide offer (within the meaning of Rule 164(h)(2) under the Act) of the Shares, the Company was not and, as of the date hereof is not an “ineligible issuer,” as defined under Rule 405 under the Act;</w:t>
      </w:r>
    </w:p>
    <w:p>
      <w:pPr>
        <w:spacing w:after="0" w:line="181" w:lineRule="exact"/>
        <w:rPr>
          <w:sz w:val="20"/>
          <w:szCs w:val="20"/>
          <w:color w:val="auto"/>
        </w:rPr>
      </w:pPr>
    </w:p>
    <w:p>
      <w:pPr>
        <w:ind w:right="360" w:firstLine="656"/>
        <w:spacing w:after="0" w:line="277" w:lineRule="auto"/>
        <w:tabs>
          <w:tab w:leader="none" w:pos="13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is an independent registered public accountant as required by the Act and the rules and regulations of the Commission thereunder;</w:t>
      </w:r>
    </w:p>
    <w:p>
      <w:pPr>
        <w:spacing w:after="0" w:line="170" w:lineRule="exact"/>
        <w:rPr>
          <w:rFonts w:ascii="Arial" w:cs="Arial" w:eastAsia="Arial" w:hAnsi="Arial"/>
          <w:sz w:val="18"/>
          <w:szCs w:val="18"/>
          <w:color w:val="auto"/>
        </w:rPr>
      </w:pPr>
    </w:p>
    <w:p>
      <w:pPr>
        <w:ind w:right="40" w:firstLine="656"/>
        <w:spacing w:after="0" w:line="269" w:lineRule="auto"/>
        <w:tabs>
          <w:tab w:leader="none" w:pos="137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 over financial reporting (as such term is defined in Rule 13a-15(f) under the Exchange Act) that complies with the requirements of the Exchange Act applicable to the Company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The Company’s internal accounting controls have been designed to provide reasonable assurance regarding the reliability of financial reporting and the preparation of financial statements for external purposes in accordance with GAAP. The Company’s internal accounting controls are sufficient to provide reasonable assurance that (i) transactions are executed in accordance with the general or specific authorizations of the Company’s management; (ii) transactions are recorded as necessary to permit preparation of financial statements in conformity with GAAP and to maintain asset accountability; (iii) access to assets is permitted only in accordance with the general or specific authorization of the Company’s management; (iv) the recorded accountability for assets is compared with the existing assets at reasonable intervals and appropriate action is taken with respect to any differences. The Company is not aware of any material weaknesses in its internal control over financial reporting;</w:t>
      </w:r>
    </w:p>
    <w:p>
      <w:pPr>
        <w:spacing w:after="0" w:line="182" w:lineRule="exact"/>
        <w:rPr>
          <w:rFonts w:ascii="Arial" w:cs="Arial" w:eastAsia="Arial" w:hAnsi="Arial"/>
          <w:sz w:val="17"/>
          <w:szCs w:val="17"/>
          <w:color w:val="auto"/>
        </w:rPr>
      </w:pPr>
    </w:p>
    <w:p>
      <w:pPr>
        <w:ind w:right="40" w:firstLine="656"/>
        <w:spacing w:after="0" w:line="264" w:lineRule="auto"/>
        <w:tabs>
          <w:tab w:leader="none" w:pos="13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81" w:lineRule="exact"/>
        <w:rPr>
          <w:rFonts w:ascii="Arial" w:cs="Arial" w:eastAsia="Arial" w:hAnsi="Arial"/>
          <w:sz w:val="18"/>
          <w:szCs w:val="18"/>
          <w:color w:val="auto"/>
        </w:rPr>
      </w:pPr>
    </w:p>
    <w:p>
      <w:pPr>
        <w:ind w:right="80" w:firstLine="656"/>
        <w:spacing w:after="0" w:line="259" w:lineRule="auto"/>
        <w:tabs>
          <w:tab w:leader="none" w:pos="1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are designed to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64" w:lineRule="auto"/>
        <w:tabs>
          <w:tab w:leader="none" w:pos="13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81" w:lineRule="exact"/>
        <w:rPr>
          <w:rFonts w:ascii="Arial" w:cs="Arial" w:eastAsia="Arial" w:hAnsi="Arial"/>
          <w:sz w:val="18"/>
          <w:szCs w:val="18"/>
          <w:color w:val="auto"/>
        </w:rPr>
      </w:pPr>
    </w:p>
    <w:p>
      <w:pPr>
        <w:ind w:firstLine="656"/>
        <w:spacing w:after="0" w:line="285" w:lineRule="auto"/>
        <w:tabs>
          <w:tab w:leader="none" w:pos="13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disclosed in the Pricing Prospectus, the Company owns or has valid, binding and enforceable licenses or other rights under the patents and patent applications, copyrights, trademarks, trademark registrations, service marks, service mark registrations, trade names, service names, know-how (including trade secrets and other unpatented and/or unpatentable proprietary or confidential information, systems or procedures) and other intellectual property (collectively, “Intellectual Property”) that is necessary for, or used in the conduct of, or the proposed conduct of, the business of the Company in the manner described in the Pricing Prospectus (collectively, the “Company Intellectual Property”). To the Company’s knowledge, none of the patents and patent applications contained in the Company Intellectual Property, are invalid or unenforceable, in whole or in part, and the Company is unaware of any facts that would form a reasonable basis for such a determination. None of the rights within the Company Intellectual Property, other than patents and patent applications, are invalid or unenforceable, in whole or in part, and the Company is unaware of any facts that would form a reasonable basis for such a determination. Except as disclosed in the Pricing Prospectus, the Company is not obligated to pay a material royalty, grant a license or provide other material consideration to any third party in connection with the Company Intellectual Property. There is no pending or, to the Company’s knowledge, threatened action, suit, proceeding or claim by a third party (i) challenging the Company’s rights in or to any Company Intellectual Property, including with respect to ownership and inventorship; (ii) challenging the validity, enforceability or scope of any Company Intellectual Property; or (iii) asserting that the Company has infringed, misappropriated or otherwise violated, or would, upon the commercialization of any products described in the Pricing Prospectus as under development, infringe, misappropriate or otherwise violate, any Intellectual Property rights of others; and, in each of the foregoing cases, the Company (a) is unaware of any facts that would form a reasonable basis for any such action, suit, proceeding or claim and (b) has not received any written notice alleging any such claim or conflict. To the knowledge of the Company, (1) neither the commercial development nor the sale of any of the products, proposed products or processes of the Company, as described in the Pricing Prospectus, infringes, misappropriates or otherwise violates, or would, upon the commercialization of such products or proposed products, infringe, misappropriate or otherwise violate, any Intellectual Property rights of any third party; (2) the Company believes it can acquire, on reasonable terms, any licenses under third-party Intellectual Property that may be necessary for or used in its business, as currently conducted or as proposed to be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conducted, as described in the Pricing Prospectus; (3) no third party has any ownership right in or to any Company Intellectual Property that is owned by the Company, other than any co-owner of a patent or patent application within the Company Intellectual Property who is listed on the records of the U.S. Patent and Trademark Office (the “USPTO”) as co-owner of such patent or named in such patent application; (4) no third party has any ownership right in or to any Company Intellectual Property, in any field of use, other than the respective licensor to the Company of such Company Intellectual Property; (5) no employee of the Company is in or has ever been in violation, in any material respect, of any term of any employment contract, patent disclosure agreement, invention assignment agreement, non-competition agreement, non-solicitation agreement, nondisclosure agreement or other restrictive covenant to or with a former employer where the basis of such violation relates to such employee’s employment, or to actions undertaken by the employee while employed, with the Company; and (6) each current and former employee and consultant of the Company (A) has executed an inventions assignment and confidentiality agreement with the Company, on or about the respective date of hire, in substantially the form made available to the Underwriter and its counsel; and (B) has assigned or agreed to assign to the Company any and all Intellectual Property rights he or she may possess or may have possessed that are related to the Company’s business, as currently conducted and as proposed to be conducted, as described in the Pricing Prospectus;</w:t>
      </w:r>
    </w:p>
    <w:p>
      <w:pPr>
        <w:sectPr>
          <w:pgSz w:w="11900" w:h="16838" w:orient="portrait"/>
          <w:cols w:equalWidth="0" w:num="1">
            <w:col w:w="11420"/>
          </w:cols>
          <w:pgMar w:left="240" w:top="584" w:right="239" w:bottom="0" w:gutter="0" w:footer="0" w:header="0"/>
        </w:sectPr>
      </w:pPr>
    </w:p>
    <w:bookmarkStart w:id="6" w:name="page7"/>
    <w:bookmarkEnd w:id="6"/>
    <w:p>
      <w:pPr>
        <w:ind w:firstLine="656"/>
        <w:spacing w:after="0" w:line="276" w:lineRule="auto"/>
        <w:tabs>
          <w:tab w:leader="none" w:pos="1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72" w:lineRule="exact"/>
        <w:rPr>
          <w:rFonts w:ascii="Arial" w:cs="Arial" w:eastAsia="Arial" w:hAnsi="Arial"/>
          <w:sz w:val="17"/>
          <w:szCs w:val="17"/>
          <w:color w:val="auto"/>
        </w:rPr>
      </w:pPr>
    </w:p>
    <w:p>
      <w:pPr>
        <w:ind w:right="60" w:firstLine="656"/>
        <w:spacing w:after="0" w:line="273" w:lineRule="auto"/>
        <w:tabs>
          <w:tab w:leader="none" w:pos="1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preclinical studies and clinical trials conducted by, on behalf of or sponsored by the Company were and, if still pending are being, conducted in all material respects in accordance with the experimental protocols or clinical trial protocols established for each study or trial and with all applicable local, state and federal laws, rules and regulations, including, without limitation, the Federal Food, Drug, and Cosmetic Act and its applicable implementing regulations at 21 C.F.R. Parts 50, 54, 56, 58, 312, and 812 or the exercise by the U.S. Food and Drug Administration (“FDA”) of enforcement discretion thereto, as applicable, except where the failure to so conduct would not, individually or in the aggregate, reasonably be expected to have a Material Adverse Effect; the descriptions of the results of such studies and trials contained in any Pricing Prospectus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Prospectus did not include any untrue statement of a material fact or omit to state any material fact necessary in order to make the statements therein, in the light of the circumstances under which they were made, not misleading; except to the extent disclosed in the Pricing Prospectus or Prospectus, the Company is not aware of any studies or trials, the results of which are inconsistent with or otherwise call into question the study or trial results described or referred to in the Pricing Prospectus or Prospectus; and neither the FDA nor any applicable foreign Regulatory Agency has commenced, or, to the knowledge of the Company, threatened to initiate, any action to place a hold order on, or otherwise terminate, delay or suspend, any proposed or ongoing preclinical study or clinical investigation conducted or proposed to be conducted by or on behalf of the Company;</w:t>
      </w:r>
    </w:p>
    <w:p>
      <w:pPr>
        <w:spacing w:after="0" w:line="178" w:lineRule="exact"/>
        <w:rPr>
          <w:sz w:val="20"/>
          <w:szCs w:val="20"/>
          <w:color w:val="auto"/>
        </w:rPr>
      </w:pPr>
    </w:p>
    <w:p>
      <w:pPr>
        <w:ind w:right="60" w:firstLine="656"/>
        <w:spacing w:after="0" w:line="283" w:lineRule="auto"/>
        <w:tabs>
          <w:tab w:leader="none" w:pos="1307"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has operated and currently is in compliance in all respects with all applicable Health Care Laws (defined herein), including, without limitation, the rules and regulations of the FDA, the U.S. Department of Health and Human Services Office of Inspector General, the Centers for Medicare &amp; Medicaid Services, the Office for Civil Rights, the Department of Justice or any other governmental agency or body having jurisdiction over the Company or any of its properties (collectively, “Regulatory Authorities”), and has not engaged in activities which are, as applicable, cause for false claims liability, civil penalties, or mandatory or permissive exclusion from Medicare, Medicaid, or any other state or federal health care program.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w:t>
      </w:r>
    </w:p>
    <w:p>
      <w:pPr>
        <w:spacing w:after="0" w:line="5" w:lineRule="exact"/>
        <w:rPr>
          <w:rFonts w:ascii="Arial" w:cs="Arial" w:eastAsia="Arial" w:hAnsi="Arial"/>
          <w:sz w:val="16"/>
          <w:szCs w:val="16"/>
          <w:color w:val="auto"/>
        </w:rPr>
      </w:pPr>
    </w:p>
    <w:p>
      <w:pPr>
        <w:ind w:right="20" w:firstLine="8"/>
        <w:spacing w:after="0" w:line="290" w:lineRule="auto"/>
        <w:tabs>
          <w:tab w:leader="none" w:pos="2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17921 et seq.), Medicare (Title XVIII of the Social Security Act), Medicaid (Title XIX of the Social Security Act), the Federal Food, Drug, and Cosmetic Act (21 U.S.C. §§ 301 et seq.), the regulations promulgated pursuant to such laws, and any similar federal, state and local laws and regulations. The Company has not received any FDA Form 483, notice of adverse finding, warning letter, untitled letter or other correspondence or notice from the FDA or any other Regulatory Authority alleging or asserting noncompliance with any Health Care Laws applicable to the Company. Additionally, the Company is not a party to nor has any ongoing reporting obligations pursuant to any corporate integrity agreements, deferred prosecution agreements, monitoring agreements, consent decrees, settlement orders, plans of correction or similar agreements with or imposed by any Regulatory Authority. Neither the Company, nor, to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knowledge of the Company, any of its respective employees, officers or directors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181" w:lineRule="exact"/>
        <w:rPr>
          <w:sz w:val="20"/>
          <w:szCs w:val="20"/>
          <w:color w:val="auto"/>
        </w:rPr>
      </w:pPr>
    </w:p>
    <w:p>
      <w:pPr>
        <w:ind w:right="60" w:firstLine="656"/>
        <w:spacing w:after="0" w:line="254"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possesses all material permits, licenses, approvals, clearances, exemptions, registrations, consents and other authorizations (collectively, “Permits”) issued by the appropriate Regulatory Authorities, including without limitation, all such Permits required by the FDA or any component thereof, necessary to conduct the businesses now operated by it, except where the failure to possess such Permit would not, individually or in the aggregate, reasonably be expected to have a Material Adverse Effect; the Company is in compliance with the terms and conditions of all such Permits, except where the failure to comply would not, individually or in the aggregate, reasonably be expected to have a Material Adverse Effect, and all of the Permits are valid and in full force and effect; the Company has not received notice of proceedings relating to the revocation or material modification of any such Permits and to the knowledge of the Company, no Regulatory Authority granting any such Permit has taken any action to limit, suspend or revoke the same in any material respect.</w:t>
      </w:r>
    </w:p>
    <w:p>
      <w:pPr>
        <w:spacing w:after="0" w:line="192" w:lineRule="exact"/>
        <w:rPr>
          <w:rFonts w:ascii="Arial" w:cs="Arial" w:eastAsia="Arial" w:hAnsi="Arial"/>
          <w:sz w:val="18"/>
          <w:szCs w:val="18"/>
          <w:color w:val="auto"/>
        </w:rPr>
      </w:pPr>
    </w:p>
    <w:p>
      <w:pPr>
        <w:ind w:right="80" w:firstLine="656"/>
        <w:spacing w:after="0" w:line="264" w:lineRule="auto"/>
        <w:tabs>
          <w:tab w:leader="none" w:pos="12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Pricing Prospectus and the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w:t>
      </w:r>
    </w:p>
    <w:p>
      <w:pPr>
        <w:spacing w:after="0" w:line="181" w:lineRule="exact"/>
        <w:rPr>
          <w:rFonts w:ascii="Arial" w:cs="Arial" w:eastAsia="Arial" w:hAnsi="Arial"/>
          <w:sz w:val="18"/>
          <w:szCs w:val="18"/>
          <w:color w:val="auto"/>
        </w:rPr>
      </w:pPr>
    </w:p>
    <w:p>
      <w:pPr>
        <w:ind w:right="80" w:firstLine="656"/>
        <w:spacing w:after="0" w:line="272" w:lineRule="auto"/>
        <w:tabs>
          <w:tab w:leader="none" w:pos="13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as described in the Pricing Prospectus and the Prospectus, the Company has timely filed all material federal, state, local and foreign income and franchise tax returns required to be filed through the date hereof, subject to permitted extensions, and has paid all material taxes due thereon and, if due and payable, any related or similar assessment, fine or penalty levied against the Company except as may be being contested in good faith and by appropriate proceedings. Except as described in the Pricing Disclosure Package, no material tax deficiency has been determined adversely to the Company, and the Company has not received written notice of any actual or proposed additional material tax assessment from a tax authority of any jurisdiction. The Company has made adequate charges, accruals and reserves in the applicable financial statements referred to in Section 1(ii) in respect of all federal, state, local and foreign taxes not yet due and payable in accordance with GAAP;</w:t>
      </w:r>
    </w:p>
    <w:p>
      <w:pPr>
        <w:spacing w:after="0" w:line="177" w:lineRule="exact"/>
        <w:rPr>
          <w:rFonts w:ascii="Arial" w:cs="Arial" w:eastAsia="Arial" w:hAnsi="Arial"/>
          <w:sz w:val="17"/>
          <w:szCs w:val="17"/>
          <w:color w:val="auto"/>
        </w:rPr>
      </w:pPr>
    </w:p>
    <w:p>
      <w:pPr>
        <w:ind w:right="40" w:firstLine="656"/>
        <w:spacing w:after="0" w:line="264" w:lineRule="auto"/>
        <w:tabs>
          <w:tab w:leader="none" w:pos="12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any of its subsidiaries, nor, to the knowledge of the Company,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 w:name="page8"/>
    <w:bookmarkEnd w:id="7"/>
    <w:p>
      <w:pPr>
        <w:ind w:right="20"/>
        <w:spacing w:after="0" w:line="264" w:lineRule="auto"/>
        <w:rPr>
          <w:sz w:val="20"/>
          <w:szCs w:val="20"/>
          <w:color w:val="auto"/>
        </w:rPr>
      </w:pPr>
      <w:r>
        <w:rPr>
          <w:rFonts w:ascii="Arial" w:cs="Arial" w:eastAsia="Arial" w:hAnsi="Arial"/>
          <w:sz w:val="18"/>
          <w:szCs w:val="18"/>
          <w:color w:val="auto"/>
        </w:rPr>
        <w:t>unlawful payment to any foreign or domestic government official or employee from corporate funds; (iii) violated or is in violation of any provision of the Foreign Corrupt Practices Act of 1977; (iv) violated or is in violation of any provision of the Bribery Act 2010 of the United Kingdom; or (v) made any bribe, rebate, payoff, influence payment, kickback or other unlawful payment;</w:t>
      </w:r>
    </w:p>
    <w:p>
      <w:pPr>
        <w:spacing w:after="0" w:line="181" w:lineRule="exact"/>
        <w:rPr>
          <w:sz w:val="20"/>
          <w:szCs w:val="20"/>
          <w:color w:val="auto"/>
        </w:rPr>
      </w:pPr>
    </w:p>
    <w:p>
      <w:pPr>
        <w:ind w:right="40" w:firstLine="656"/>
        <w:spacing w:after="0" w:line="273" w:lineRule="auto"/>
        <w:tabs>
          <w:tab w:leader="none" w:pos="1306"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having jurisdiction over the Company and its subsidiaries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ind w:right="40" w:firstLine="656"/>
        <w:spacing w:after="0" w:line="272"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Neither the Company, its subsidiaries, nor,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(“OFAC”), or other relevant sanctions authority (collectively, “Sanctions”), and the Company will not directly or indirectly use the proceeds of the offering of the Shares hereunder, or lend, contribute or otherwise make available such proceeds to any subsidiary,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w:t>
      </w:r>
    </w:p>
    <w:p>
      <w:pPr>
        <w:spacing w:after="0" w:line="177" w:lineRule="exact"/>
        <w:rPr>
          <w:rFonts w:ascii="Arial" w:cs="Arial" w:eastAsia="Arial" w:hAnsi="Arial"/>
          <w:sz w:val="17"/>
          <w:szCs w:val="17"/>
          <w:color w:val="auto"/>
        </w:rPr>
      </w:pPr>
    </w:p>
    <w:p>
      <w:pPr>
        <w:ind w:right="240" w:firstLine="656"/>
        <w:spacing w:after="0" w:line="286" w:lineRule="auto"/>
        <w:tabs>
          <w:tab w:leader="none" w:pos="1326"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and its subsidiaries have insurance covering their properties, operations, personnel and businesses, including business interruption insurance, which insurance insures against such risks and is in such amounts as are, in the Company’s reasonable judgment, commercially reasonable for the conduct of its and its subsidiaries business; and neither the Company nor any of its subsidiaries has (i) received written notice from any insurer or agent of such insurer that capital improvements or other expenditures are required or necessary to be made in order to continue such insurance or</w:t>
      </w:r>
    </w:p>
    <w:p>
      <w:pPr>
        <w:spacing w:after="0" w:line="1" w:lineRule="exact"/>
        <w:rPr>
          <w:rFonts w:ascii="Arial" w:cs="Arial" w:eastAsia="Arial" w:hAnsi="Arial"/>
          <w:sz w:val="16"/>
          <w:szCs w:val="16"/>
          <w:color w:val="auto"/>
        </w:rPr>
      </w:pPr>
    </w:p>
    <w:p>
      <w:pPr>
        <w:ind w:right="400" w:firstLine="8"/>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reason to believe that it will not be able to renew its existing insurance coverage as and when such coverage expires or to obtain similar coverage from similar insurers as may be necessary to continue its business;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Company and its subsidiaries (i) are in compliance with all, and have not violated any, laws, regulations, ordinances, rules, orders,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judgments,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decrees, permits or other legal requirements of any Regulatory Authority, including without limitation any international, national, state, provincial, regional, or local authority, relating to the protection of human health or safety, the environment, or natural resources, or to hazardous or toxic substances or wastes, pollutants or contaminants (“Environmental Laws”) applicable to the Company or its subsidiaries, which compliance includes, without limitation, obtaining, maintaining and complying with all permits and authorizations and approvals required by Environmental Laws to conduct its business, and (ii) have not received written notice of any actual or alleged violation of Environmental Laws, or of any potential liability for or other obligation concerning the presence, disposal or release of hazardous or toxic substances or wastes, pollutants or contaminants, except in the case of (i) and (ii) where the failure to comply or the potential liability or obligation would not, individually or in the aggregate, reasonably be expected to have a Material Adverse Effect. Except as described in the Pricing Disclosure Package and the Prospectus, (A) there are no proceedings that are pending against the Company under Environmental Laws in which a Regulatory Authority is also a party and (B) the Company is not aware of any non-compliance with Environmental Laws, or liabilities under Environmental Laws, which would reasonably be expected to have a Material Adverse Effect;</w:t>
      </w:r>
    </w:p>
    <w:p>
      <w:pPr>
        <w:spacing w:after="0" w:line="178" w:lineRule="exact"/>
        <w:rPr>
          <w:sz w:val="20"/>
          <w:szCs w:val="20"/>
          <w:color w:val="auto"/>
        </w:rPr>
      </w:pPr>
    </w:p>
    <w:p>
      <w:pPr>
        <w:ind w:firstLine="656"/>
        <w:spacing w:after="0" w:line="270" w:lineRule="auto"/>
        <w:tabs>
          <w:tab w:leader="none" w:pos="132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financial statements included or incorporated by reference in the Registration Statement, the Pricing Disclosure Package and the Prospectus, together with the related schedules and notes, present fairly in all material respects the financial position of the Company and its subsidiaries as of the dates indicated, and for the periods indicated therein, subject in the case of unaudited financial statements to normal year-end audit adjustments; said financial statements have been prepared in conformity with GAAP applied on a consistent basis throughout the periods involved, except as otherwise stated in the Registration Statement, the Pricing Disclosure Package and the Prospectus. The supporting schedules, if any, present fairly in all material respects in accordance with GAAP the information required to be stated therein. The selected financial data and the summary financial information included in the Registration Statement, the Pricing Disclosure Package and the Prospectus present fairly in all material respects the information shown therein and have been compiled on a basis consistent with that of the financial statements included or incorporated by reference therein. Except as included therein, no historical or pro forma financial statements or supporting schedules are required to be included in the Registration Statement, the Pricing Disclosure Package or the Prospectus under the Act or the rules and regulations promulgated thereunder;</w:t>
      </w:r>
    </w:p>
    <w:p>
      <w:pPr>
        <w:spacing w:after="0" w:line="177" w:lineRule="exact"/>
        <w:rPr>
          <w:rFonts w:ascii="Arial" w:cs="Arial" w:eastAsia="Arial" w:hAnsi="Arial"/>
          <w:sz w:val="17"/>
          <w:szCs w:val="17"/>
          <w:color w:val="auto"/>
        </w:rPr>
      </w:pPr>
    </w:p>
    <w:p>
      <w:pPr>
        <w:ind w:right="60" w:firstLine="656"/>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no debt securities or preferred stock of, or guaranteed by, the Company that are rated by a “nationally recognized statistical rating organization,” as such term is defined in Section 3(a)(62) of the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4" w:lineRule="auto"/>
        <w:tabs>
          <w:tab w:leader="none" w:pos="129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liability to the Company or any of its subsidiaries, (i) each “employee benefit plan” within the meaning of the Employee Retirement Income Security Act of 1974, as amended (“ERISA”), whether or not subject to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neither the Company nor any member of its Controlled Group has incurred, or reasonably expects to incur, any liability under Title IV of ERISA in respect of a Plan (including a “multiemployer plan,” within the meaning of Section 4001(c)(3) of ERISA); (iii) each Plan that is intended to be qualified under Section 401(a) of the Code is so qualified and nothing has occurred, whether by action or by failure to act, which would cause the loss of such qualification;</w:t>
      </w:r>
    </w:p>
    <w:p>
      <w:pPr>
        <w:spacing w:after="0" w:line="1" w:lineRule="exact"/>
        <w:rPr>
          <w:rFonts w:ascii="Arial" w:cs="Arial" w:eastAsia="Arial" w:hAnsi="Arial"/>
          <w:sz w:val="16"/>
          <w:szCs w:val="16"/>
          <w:color w:val="auto"/>
        </w:rPr>
      </w:pPr>
    </w:p>
    <w:p>
      <w:pPr>
        <w:ind w:right="240" w:firstLine="8"/>
        <w:spacing w:after="0" w:line="323" w:lineRule="auto"/>
        <w:tabs>
          <w:tab w:leader="none" w:pos="3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no pending audit or investigation by the Internal Revenue Service, the U.S. Department of Labor, the Pension Benefit Guaranty Corporation or any other governmental agency with respect to any Plan that could reasonably be expected to result in material liability to the Company or any of its</w:t>
      </w:r>
    </w:p>
    <w:p>
      <w:pPr>
        <w:sectPr>
          <w:pgSz w:w="11900" w:h="16838" w:orient="portrait"/>
          <w:cols w:equalWidth="0" w:num="1">
            <w:col w:w="11420"/>
          </w:cols>
          <w:pgMar w:left="240" w:top="584" w:right="239" w:bottom="0" w:gutter="0" w:footer="0" w:header="0"/>
        </w:sectPr>
      </w:pPr>
    </w:p>
    <w:bookmarkStart w:id="8" w:name="page9"/>
    <w:bookmarkEnd w:id="8"/>
    <w:p>
      <w:pPr>
        <w:spacing w:after="0" w:line="95"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subsidiaries; and (iv) the Company and its subsidiaries have not incurred any liability for any prohibited transaction, the failure of any Plan to meet the minimum funding standards required by law, including by ERISA or the Code, or any complete or partial withdrawal liability with respect to any Plan;</w:t>
      </w:r>
    </w:p>
    <w:p>
      <w:pPr>
        <w:spacing w:after="0" w:line="124" w:lineRule="exact"/>
        <w:rPr>
          <w:sz w:val="20"/>
          <w:szCs w:val="20"/>
          <w:color w:val="auto"/>
        </w:rPr>
      </w:pPr>
    </w:p>
    <w:p>
      <w:pPr>
        <w:ind w:right="60" w:firstLine="656"/>
        <w:spacing w:after="0" w:line="264" w:lineRule="auto"/>
        <w:tabs>
          <w:tab w:leader="none" w:pos="13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no existing or, to the knowledge of the Company, threatened labor disputes with employees of the Company, and the Company is not aware of any existing or threatened labor disturbance by the employees of any of its principal suppliers, manufacturers, customers or contractors that, individually or in the aggregate, could reasonably be expected to result in a material liability to the Company;</w:t>
      </w:r>
    </w:p>
    <w:p>
      <w:pPr>
        <w:spacing w:after="0" w:line="181" w:lineRule="exact"/>
        <w:rPr>
          <w:rFonts w:ascii="Arial" w:cs="Arial" w:eastAsia="Arial" w:hAnsi="Arial"/>
          <w:sz w:val="18"/>
          <w:szCs w:val="18"/>
          <w:color w:val="auto"/>
        </w:rPr>
      </w:pPr>
    </w:p>
    <w:p>
      <w:pPr>
        <w:ind w:right="160" w:firstLine="656"/>
        <w:spacing w:after="0" w:line="264" w:lineRule="auto"/>
        <w:tabs>
          <w:tab w:leader="none" w:pos="12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included or incorporated by reference in the Registration Statement fairly presents the information called for in all material respects and has been prepared in accordance with the Commission’s rules and guidelines applicable thereto; and</w:t>
      </w:r>
    </w:p>
    <w:p>
      <w:pPr>
        <w:spacing w:after="0" w:line="181" w:lineRule="exact"/>
        <w:rPr>
          <w:rFonts w:ascii="Arial" w:cs="Arial" w:eastAsia="Arial" w:hAnsi="Arial"/>
          <w:sz w:val="18"/>
          <w:szCs w:val="18"/>
          <w:color w:val="auto"/>
        </w:rPr>
      </w:pPr>
    </w:p>
    <w:p>
      <w:pPr>
        <w:ind w:right="160" w:firstLine="656"/>
        <w:spacing w:after="0" w:line="264" w:lineRule="auto"/>
        <w:tabs>
          <w:tab w:leader="none" w:pos="1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no relationships, direct or indirect, or related-party transactions involving the Company or any other person required to be described in the Registration Statement, Pricing Prospectus and the Prospectus which have not been described in such documents and the Pricing Disclosure Package as required.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0" w:lineRule="auto"/>
        <w:tabs>
          <w:tab w:leader="none" w:pos="12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issue and sell to each of the Underwriters, and each of the Underwriters agrees, severally and not jointly, to purchase from the Company, at a purchase price per share of $76.545,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The Company hereby grants to the Underwriters the right to purchase at their election up to 555,555 Optional Shares, at the purchase price per share set forth in the paragraph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you and the Company otherwise agree in writing, earlier than two or later than ten business days after the date of such notice.</w:t>
      </w:r>
    </w:p>
    <w:p>
      <w:pPr>
        <w:spacing w:after="0" w:line="178" w:lineRule="exact"/>
        <w:rPr>
          <w:sz w:val="20"/>
          <w:szCs w:val="20"/>
          <w:color w:val="auto"/>
        </w:rPr>
      </w:pPr>
    </w:p>
    <w:p>
      <w:pPr>
        <w:ind w:right="40" w:firstLine="656"/>
        <w:spacing w:after="0" w:line="277"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Prospectus.</w:t>
      </w:r>
    </w:p>
    <w:p>
      <w:pPr>
        <w:spacing w:after="0" w:line="170" w:lineRule="exact"/>
        <w:rPr>
          <w:rFonts w:ascii="Arial" w:cs="Arial" w:eastAsia="Arial" w:hAnsi="Arial"/>
          <w:sz w:val="18"/>
          <w:szCs w:val="18"/>
          <w:color w:val="auto"/>
        </w:rPr>
      </w:pPr>
    </w:p>
    <w:p>
      <w:pPr>
        <w:ind w:firstLine="656"/>
        <w:spacing w:after="0" w:line="255"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The Shares to be purchased by each Underwriter hereunder, in electronic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time and date of such delivery and payment shall be, with respect to the Firm Shares, 9:30 a.m., New York City time, 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December 15, 2017 or such other time and date as the Representatives and the Company may agree upon in writing, and, with respect to the Optional Shares, 9:30 a.m., New York City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58" w:lineRule="exact"/>
        <w:rPr>
          <w:sz w:val="20"/>
          <w:szCs w:val="20"/>
          <w:color w:val="auto"/>
        </w:rPr>
      </w:pPr>
    </w:p>
    <w:p>
      <w:pPr>
        <w:ind w:right="180" w:firstLine="656"/>
        <w:spacing w:after="0" w:line="254" w:lineRule="auto"/>
        <w:tabs>
          <w:tab w:leader="none" w:pos="13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Latham &amp; Watkins LLP, 200 Clarendon Street, Boston, MA 02116 (the “Closing Location”), and the Shares will be delivered at the office of DTC or its designated location, all at such Time of Delivery. A meeting will be held at the Closing Location or via teleconference at 4:00 p.m., New York City time, on the New York Business Day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92"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225" w:lineRule="exact"/>
        <w:rPr>
          <w:sz w:val="20"/>
          <w:szCs w:val="20"/>
          <w:color w:val="auto"/>
        </w:rPr>
      </w:pPr>
    </w:p>
    <w:p>
      <w:pPr>
        <w:ind w:right="20" w:firstLine="656"/>
        <w:spacing w:after="0" w:line="290" w:lineRule="auto"/>
        <w:tabs>
          <w:tab w:leader="none" w:pos="12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for such rule; to file promptly all reports and any definitive proxy or information statements required to be filed by the Company with the Commission pursuant to Section 13(a), 13(c), 14, or 15(d) of the Exchange Act subsequent to the date of the Prospectus and for so long as the</w:t>
      </w:r>
    </w:p>
    <w:p>
      <w:pPr>
        <w:sectPr>
          <w:pgSz w:w="11900" w:h="16933" w:orient="portrait"/>
          <w:cols w:equalWidth="0" w:num="1">
            <w:col w:w="11420"/>
          </w:cols>
          <w:pgMar w:left="240" w:top="125" w:right="239" w:bottom="0" w:gutter="0" w:footer="0" w:header="0"/>
        </w:sectPr>
      </w:pPr>
    </w:p>
    <w:bookmarkStart w:id="9" w:name="page10"/>
    <w:bookmarkEnd w:id="9"/>
    <w:p>
      <w:pPr>
        <w:ind w:right="560"/>
        <w:spacing w:after="0" w:line="277" w:lineRule="auto"/>
        <w:rPr>
          <w:sz w:val="20"/>
          <w:szCs w:val="20"/>
          <w:color w:val="auto"/>
        </w:rPr>
      </w:pPr>
      <w:r>
        <w:rPr>
          <w:rFonts w:ascii="Arial" w:cs="Arial" w:eastAsia="Arial" w:hAnsi="Arial"/>
          <w:sz w:val="18"/>
          <w:szCs w:val="18"/>
          <w:color w:val="auto"/>
        </w:rPr>
        <w:t>delivery of a prospectus (or in lieu thereof, the notice referred to in Rule 173(a) under the Act) is required in connection with the offering or sale of the Shares; to advise you, promptly after 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receives notice thereof, of the issuance by the Commission of any stop order or of any order preventing or suspending the use of any Preliminary Prospectus or other prospectus in respect of the Shares, of any notice of objection of the Commission to the use of the Registration Statement or any post-effective amendment thereto pursuant to Rule 401(g)(2) under the Act,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reasonable best efforts to obtain the withdrawal of such order; and in the event of any issuance of a notice of objection referred to above, promptly use its reasonable best efforts to take such steps including, without limitation, amending the Automatic Registration Statement or filing a new registration statement, at its own expense, as may be necessary to permit offers and sales of the Shares by the Underwriters (references herein to the Automatic Registration Statement shall include any such amendment or new registration statement);</w:t>
      </w:r>
    </w:p>
    <w:p>
      <w:pPr>
        <w:spacing w:after="0" w:line="178" w:lineRule="exact"/>
        <w:rPr>
          <w:sz w:val="20"/>
          <w:szCs w:val="20"/>
          <w:color w:val="auto"/>
        </w:rPr>
      </w:pPr>
    </w:p>
    <w:p>
      <w:pPr>
        <w:ind w:right="60" w:firstLine="656"/>
        <w:spacing w:after="0" w:line="264" w:lineRule="auto"/>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w:t>
      </w:r>
    </w:p>
    <w:p>
      <w:pPr>
        <w:spacing w:after="0" w:line="181" w:lineRule="exact"/>
        <w:rPr>
          <w:rFonts w:ascii="Arial" w:cs="Arial" w:eastAsia="Arial" w:hAnsi="Arial"/>
          <w:sz w:val="18"/>
          <w:szCs w:val="18"/>
          <w:color w:val="auto"/>
        </w:rPr>
      </w:pPr>
    </w:p>
    <w:p>
      <w:pPr>
        <w:ind w:right="80" w:firstLine="656"/>
        <w:spacing w:after="0" w:line="271" w:lineRule="auto"/>
        <w:tabs>
          <w:tab w:leader="none" w:pos="13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by the third anniversary (the “Renewal Deadline”) of the initial effective date of the Automatic Registration Statement, any of the Shares remain unsold by the Underwriters, the Company will file, if it has not already done so and is eligible to do so, a new automatic shelf registration statement relating to the Shares, in a form satisfactory to you. If at the Renewal Deadline the Company is no longer eligible to file an automatic shelf registration statement, the Company will, if it has not already done so, file a new shelf registration statement relating to the Shares, in a form satisfactory to you,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relating to the Shares. References herein to the Automatic Registration Statement shall include such new automatic shelf registration statement or such new shelf registration statement, as the case may be;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7" w:lineRule="auto"/>
        <w:tabs>
          <w:tab w:leader="none" w:pos="1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subject itself to taxation in any such jurisdiction in which it was not otherwise subject to taxation;</w:t>
      </w:r>
    </w:p>
    <w:p>
      <w:pPr>
        <w:spacing w:after="0" w:line="188" w:lineRule="exact"/>
        <w:rPr>
          <w:rFonts w:ascii="Arial" w:cs="Arial" w:eastAsia="Arial" w:hAnsi="Arial"/>
          <w:sz w:val="18"/>
          <w:szCs w:val="18"/>
          <w:color w:val="auto"/>
        </w:rPr>
      </w:pPr>
    </w:p>
    <w:p>
      <w:pPr>
        <w:ind w:right="20" w:firstLine="656"/>
        <w:spacing w:after="0" w:line="286" w:lineRule="auto"/>
        <w:tabs>
          <w:tab w:leader="none" w:pos="13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68" w:lineRule="exact"/>
        <w:rPr>
          <w:rFonts w:ascii="Arial" w:cs="Arial" w:eastAsia="Arial" w:hAnsi="Arial"/>
          <w:sz w:val="16"/>
          <w:szCs w:val="16"/>
          <w:color w:val="auto"/>
        </w:rPr>
      </w:pPr>
    </w:p>
    <w:p>
      <w:pPr>
        <w:jc w:val="both"/>
        <w:ind w:right="760" w:firstLine="656"/>
        <w:spacing w:after="0" w:line="286" w:lineRule="auto"/>
        <w:tabs>
          <w:tab w:leader="none" w:pos="130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make generally available to its security 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its subsidiaries (which need not be audited) complying with Section 11(a) of the Act and the rules and regulations of the Commission thereunder (including, at the option of the Company, Rule 158);</w:t>
      </w:r>
    </w:p>
    <w:p>
      <w:pPr>
        <w:spacing w:after="0" w:line="170" w:lineRule="exact"/>
        <w:rPr>
          <w:sz w:val="20"/>
          <w:szCs w:val="20"/>
          <w:color w:val="auto"/>
        </w:rPr>
      </w:pPr>
    </w:p>
    <w:p>
      <w:pPr>
        <w:ind w:right="20" w:firstLine="656"/>
        <w:spacing w:after="0" w:line="291" w:lineRule="auto"/>
        <w:tabs>
          <w:tab w:leader="none" w:pos="1317"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period beginning from the date hereof and continuing to and including the date 90 days after the date of the Prospectus (the “Lock-Up Period”),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Stock or any such other securities, whether any such transaction described in clause (i) or (ii) above is to be settled by delivery of Stock or such other securities, in cash or</w:t>
      </w:r>
    </w:p>
    <w:p>
      <w:pPr>
        <w:sectPr>
          <w:pgSz w:w="11900" w:h="16838" w:orient="portrait"/>
          <w:cols w:equalWidth="0" w:num="1">
            <w:col w:w="11420"/>
          </w:cols>
          <w:pgMar w:left="240" w:top="125" w:right="239" w:bottom="0" w:gutter="0" w:footer="0" w:header="0"/>
        </w:sectPr>
      </w:pPr>
    </w:p>
    <w:bookmarkStart w:id="10" w:name="page11"/>
    <w:bookmarkEnd w:id="10"/>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otherwise; provided, however, that the foregoing restrictions shall not apply to (A) the Shares to be sold hereunder, (B) the grant of any options and other awards pursuant to the Company’s equity plans disclosed in the Pricing Prospectus, (C) any shares of Stock issued by the Company upon the exercise or settlement of options pursuant to the Company’s equity plans disclosed in the Pricing Prospectus, (D) issuances of securities under the Company’s employee stock purchase plan disclosed in the Pricing Prospectus, (E) the filing by the Company of any registration statement on Form S-8 or a successor form thereto relating to the shares of Stock granted pursuant to or reserved for issuance under the Company’s equity plans disclosed in the Pricing Prospectus or (F) the issuance by the Company of any shares of Stock or any security convertible into or exercisable for shares of Stock in connection with a transaction with an unaffiliated third party that includes a bona fide commercial relationship (including joint ventures, marketing or distribution arrangements, collaboration agreements or intellectual property license agreements); provided that in the case of clause (F), the aggregate number of shares of Stock that the Company may sell or issue or agree to sell or issue pursuant to clause (F) shall not exceed 5% of the total number of shares of Stock issued and outstanding immediately following the completion of the transactions contemplated by this Agreement, and provided further, that in the case of clause (F) the Company shall (i) cause each recipient of such securities to execute and deliver to you, on or prior to the issuance of such securities, a lock-up agreement on substantially the same terms as the lock-up agreements referenced in Section 8(i) hereof for the remainder of the Company Lock-Up Period, and (ii) enter stop transfer instructions with the Company’s transfer agent and registrar on such securities, which the Company agrees it will not waive or amend without the prior written consent of each Representative;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5"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provided that no reports, documents or other information needs to be furnished pursuant to this Section 5(h) to the extent they are available on EDGAR;</w:t>
      </w:r>
    </w:p>
    <w:p>
      <w:pPr>
        <w:spacing w:after="0" w:line="189" w:lineRule="exact"/>
        <w:rPr>
          <w:rFonts w:ascii="Arial" w:cs="Arial" w:eastAsia="Arial" w:hAnsi="Arial"/>
          <w:sz w:val="18"/>
          <w:szCs w:val="18"/>
          <w:color w:val="auto"/>
        </w:rPr>
      </w:pPr>
    </w:p>
    <w:p>
      <w:pPr>
        <w:jc w:val="both"/>
        <w:ind w:right="140" w:firstLine="656"/>
        <w:spacing w:after="0" w:line="302" w:lineRule="auto"/>
        <w:tabs>
          <w:tab w:leader="none" w:pos="1318"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a period of three years from the effective date of the Registration Statement, to furnish to you copies of all reports or other communications (financial or other) furnished to stockholders, and to deliver to you as soon as they are available, copies of any reports and financial statements furnished to or filed with the Commission or any national securities exchange on which any class of securities of the Company is listed; provided that no reports, documents or other information needs to be furnished pursuant to this Section 5(i) to the extent they are available on EDGAR;</w:t>
      </w:r>
    </w:p>
    <w:p>
      <w:pPr>
        <w:spacing w:after="0" w:line="154" w:lineRule="exact"/>
        <w:rPr>
          <w:rFonts w:ascii="Arial" w:cs="Arial" w:eastAsia="Arial" w:hAnsi="Arial"/>
          <w:sz w:val="16"/>
          <w:szCs w:val="16"/>
          <w:color w:val="auto"/>
        </w:rPr>
      </w:pPr>
    </w:p>
    <w:p>
      <w:pPr>
        <w:ind w:right="680" w:firstLine="656"/>
        <w:spacing w:after="0" w:line="277"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Shares on The NASDAQ Global Select Market;</w:t>
      </w:r>
    </w:p>
    <w:p>
      <w:pPr>
        <w:spacing w:after="0" w:line="225" w:lineRule="exact"/>
        <w:rPr>
          <w:rFonts w:ascii="Arial" w:cs="Arial" w:eastAsia="Arial" w:hAnsi="Arial"/>
          <w:sz w:val="18"/>
          <w:szCs w:val="18"/>
          <w:color w:val="auto"/>
        </w:rPr>
      </w:pPr>
    </w:p>
    <w:p>
      <w:pPr>
        <w:ind w:right="40" w:firstLine="656"/>
        <w:spacing w:after="0" w:line="259" w:lineRule="auto"/>
        <w:tabs>
          <w:tab w:leader="none" w:pos="13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186" w:lineRule="exact"/>
        <w:rPr>
          <w:rFonts w:ascii="Arial" w:cs="Arial" w:eastAsia="Arial" w:hAnsi="Arial"/>
          <w:sz w:val="18"/>
          <w:szCs w:val="18"/>
          <w:color w:val="auto"/>
        </w:rPr>
      </w:pPr>
    </w:p>
    <w:p>
      <w:pPr>
        <w:ind w:right="280" w:firstLine="656"/>
        <w:spacing w:after="0" w:line="308"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promptly notify you if the Company ceases to be an Emerging Growth Company at any time prior to the later of (i) completion of the distribution of the Shares within the meaning of the Act and (ii) completion of the 90-day restricted period referred to in Section 5(g).</w:t>
      </w:r>
    </w:p>
    <w:p>
      <w:pPr>
        <w:spacing w:after="0" w:line="146" w:lineRule="exact"/>
        <w:rPr>
          <w:rFonts w:ascii="Arial" w:cs="Arial" w:eastAsia="Arial" w:hAnsi="Arial"/>
          <w:sz w:val="17"/>
          <w:szCs w:val="17"/>
          <w:color w:val="auto"/>
        </w:rPr>
      </w:pPr>
    </w:p>
    <w:p>
      <w:pPr>
        <w:ind w:right="160" w:firstLine="656"/>
        <w:spacing w:after="0" w:line="277"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pay the required Commission filing fees relating to the Shares within the time required by Rule 456(b)(1) under the Act without regard to the proviso therein and otherwise in accordance with Rules 456(b) and 457(r) under the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6"/>
        <w:spacing w:after="0" w:line="257" w:lineRule="auto"/>
        <w:tabs>
          <w:tab w:leader="none" w:pos="12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II(a) or Schedule II(c) hereto;</w:t>
      </w:r>
    </w:p>
    <w:p>
      <w:pPr>
        <w:spacing w:after="0" w:line="188" w:lineRule="exact"/>
        <w:rPr>
          <w:sz w:val="20"/>
          <w:szCs w:val="20"/>
          <w:color w:val="auto"/>
        </w:rPr>
      </w:pPr>
    </w:p>
    <w:p>
      <w:pPr>
        <w:ind w:right="80" w:firstLine="656"/>
        <w:spacing w:after="0" w:line="255"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represents and agrees that (i) it has not engaged in, or authorized any other person to engage in, any Section 5(d) Communications, other than Section 5(d)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the Representatives that are listed on Schedule II(b) hereto; and the Company reconfirms that the Underwriters have been authorized to act on its behalf in engaging in Section 5(d) Communications;</w:t>
      </w:r>
    </w:p>
    <w:p>
      <w:pPr>
        <w:spacing w:after="0" w:line="193" w:lineRule="exact"/>
        <w:rPr>
          <w:rFonts w:ascii="Arial" w:cs="Arial" w:eastAsia="Arial" w:hAnsi="Arial"/>
          <w:sz w:val="18"/>
          <w:szCs w:val="18"/>
          <w:color w:val="auto"/>
        </w:rPr>
      </w:pPr>
    </w:p>
    <w:p>
      <w:pPr>
        <w:ind w:right="440" w:firstLine="656"/>
        <w:spacing w:after="0" w:line="312" w:lineRule="auto"/>
        <w:tabs>
          <w:tab w:leader="none" w:pos="13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46" w:lineRule="exact"/>
        <w:rPr>
          <w:rFonts w:ascii="Arial" w:cs="Arial" w:eastAsia="Arial" w:hAnsi="Arial"/>
          <w:sz w:val="16"/>
          <w:szCs w:val="16"/>
          <w:color w:val="auto"/>
        </w:rPr>
      </w:pPr>
    </w:p>
    <w:p>
      <w:pPr>
        <w:ind w:right="40" w:firstLine="656"/>
        <w:spacing w:after="0" w:line="291" w:lineRule="auto"/>
        <w:tabs>
          <w:tab w:leader="none" w:pos="13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agrees that if at any time following issuance of an Issuer Free Writing Prospectus or any Section 5(d) Writing prepared or authorized by it any event occurred or occurs as a result of which such Issuer Free Writing Prospectus or Section 5(d) Writing prepared or authorized by it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prepared or authorized by it or other document which will correct such conflict, statement or omission; provided, however, that this covenant shall not apply to any statements or omissions in an Issuer Free Writing Prospectus or Section</w:t>
      </w:r>
    </w:p>
    <w:p>
      <w:pPr>
        <w:sectPr>
          <w:pgSz w:w="11900" w:h="16932" w:orient="portrait"/>
          <w:cols w:equalWidth="0" w:num="1">
            <w:col w:w="11420"/>
          </w:cols>
          <w:pgMar w:left="240" w:top="125" w:right="239" w:bottom="0" w:gutter="0" w:footer="0" w:header="0"/>
        </w:sectPr>
      </w:pPr>
    </w:p>
    <w:bookmarkStart w:id="11" w:name="page12"/>
    <w:bookmarkEnd w:id="11"/>
    <w:p>
      <w:pPr>
        <w:ind w:right="180"/>
        <w:spacing w:after="0" w:line="277" w:lineRule="auto"/>
        <w:rPr>
          <w:sz w:val="20"/>
          <w:szCs w:val="20"/>
          <w:color w:val="auto"/>
        </w:rPr>
      </w:pPr>
      <w:r>
        <w:rPr>
          <w:rFonts w:ascii="Arial" w:cs="Arial" w:eastAsia="Arial" w:hAnsi="Arial"/>
          <w:sz w:val="18"/>
          <w:szCs w:val="18"/>
          <w:color w:val="auto"/>
        </w:rPr>
        <w:t>5(d) Writing prepared or authorized by it made in reliance upon and in conformity with information furnished in writing to the Company by an Underwriter through the Representatives expressly for use therein.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85" w:lineRule="auto"/>
        <w:tabs>
          <w:tab w:leader="none" w:pos="12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Basic Prospectus, any Preliminary Prospectus,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5(d) hereof, including the fees and disbursements of counsel for the Underwriters in connection with such qualification and in connection with the Blue Sky survey (iv) all fees and expenses in connection with listing the Shares on The NASDAQ Global Select Market; (v) the filing fees incident to, and the fees and disbursements of counsel for the Underwriters in connection with, any required review by FINRA of the terms of the sale of the Shares; (vi) the cost of preparing stock certificates; (vii) the cost and charges of any transfer agent or registrar; (viii) all costs and expenses of the Company related to investor presentations on any “road show” undertaken in connection with the marketing of the Shares,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(not including the Underwriters and their representatives) (provided, however, that the Underwriters and the Company shall each pay 50% of the cost of any aircraft chartered in connection with any road show meetings); and (ix) all other costs and expenses incident to the performance of its obligations hereunder which are not otherwise specifically provided for in this Section; provided, however, that the amount payable by the Company pursuant to subsections (iii) and (v) and for the fees and disbursements of counsel to the Underwriters described in subsections (iii) and (v) of this Section 7 shall not exceed $25,000 in the aggregate.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64" w:lineRule="exact"/>
        <w:rPr>
          <w:rFonts w:ascii="Arial" w:cs="Arial" w:eastAsia="Arial" w:hAnsi="Arial"/>
          <w:sz w:val="16"/>
          <w:szCs w:val="16"/>
          <w:color w:val="auto"/>
        </w:rPr>
      </w:pPr>
    </w:p>
    <w:p>
      <w:pPr>
        <w:ind w:firstLine="656"/>
        <w:spacing w:after="0" w:line="266" w:lineRule="auto"/>
        <w:tabs>
          <w:tab w:leader="none" w:pos="1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obligations of the Underwriters hereunder</w:t>
      </w:r>
      <w:r>
        <w:rPr>
          <w:rFonts w:ascii="Arial" w:cs="Arial" w:eastAsia="Arial" w:hAnsi="Arial"/>
          <w:sz w:val="18"/>
          <w:szCs w:val="18"/>
          <w:b w:val="1"/>
          <w:bCs w:val="1"/>
          <w:color w:val="auto"/>
        </w:rPr>
        <w:t>,</w:t>
      </w:r>
      <w:r>
        <w:rPr>
          <w:rFonts w:ascii="Arial" w:cs="Arial" w:eastAsia="Arial" w:hAnsi="Arial"/>
          <w:sz w:val="18"/>
          <w:szCs w:val="18"/>
          <w:color w:val="auto"/>
        </w:rPr>
        <w:t xml:space="preserve"> as to the Shares to be delivered at each Time of Delivery, shall be subject, in their discretion, to the condition that all representations and warranties and other statements of the Company herein are, at and as of such Time of Delivery, true and correct,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condition that the Company shall have performed all of its obligations hereunder theretofore to be performed, and the following additional conditions:</w:t>
      </w:r>
    </w:p>
    <w:p>
      <w:pPr>
        <w:spacing w:after="0" w:line="237" w:lineRule="exact"/>
        <w:rPr>
          <w:sz w:val="20"/>
          <w:szCs w:val="20"/>
          <w:color w:val="auto"/>
        </w:rPr>
      </w:pPr>
    </w:p>
    <w:p>
      <w:pPr>
        <w:ind w:left="660" w:firstLine="385"/>
        <w:spacing w:after="0" w:line="290" w:lineRule="auto"/>
        <w:tabs>
          <w:tab w:leader="none" w:pos="143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66" w:lineRule="exact"/>
        <w:rPr>
          <w:rFonts w:ascii="Arial" w:cs="Arial" w:eastAsia="Arial" w:hAnsi="Arial"/>
          <w:sz w:val="16"/>
          <w:szCs w:val="16"/>
          <w:color w:val="auto"/>
        </w:rPr>
      </w:pPr>
    </w:p>
    <w:p>
      <w:pPr>
        <w:ind w:left="660" w:right="160" w:firstLine="385"/>
        <w:spacing w:after="0" w:line="286" w:lineRule="auto"/>
        <w:tabs>
          <w:tab w:leader="none" w:pos="14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Latham &amp; Watkins LLP, counsel for the Underwriters, shall have furnished to you their written opinion, dated such Time of Delivery, in form and substance satisfactory to you, as well as such other related matters as you may reasonably request, and such counsel shall have received such papers and information as they may reasonably request to enable them to pass upon such matters;</w:t>
      </w:r>
    </w:p>
    <w:p>
      <w:pPr>
        <w:spacing w:after="0" w:line="165" w:lineRule="exact"/>
        <w:rPr>
          <w:rFonts w:ascii="Arial" w:cs="Arial" w:eastAsia="Arial" w:hAnsi="Arial"/>
          <w:sz w:val="17"/>
          <w:szCs w:val="17"/>
          <w:color w:val="auto"/>
        </w:rPr>
      </w:pPr>
    </w:p>
    <w:p>
      <w:pPr>
        <w:ind w:left="660" w:right="80" w:firstLine="385"/>
        <w:spacing w:after="0" w:line="277" w:lineRule="auto"/>
        <w:tabs>
          <w:tab w:leader="none" w:pos="14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Goodwin Procter LLP, counsel for the Company, shall have furnished to the Representatives their written opinion and negative assurance letter, each in form and substance satisfactory to you, dated such Time of Delivery;</w:t>
      </w:r>
    </w:p>
    <w:p>
      <w:pPr>
        <w:spacing w:after="0" w:line="170" w:lineRule="exact"/>
        <w:rPr>
          <w:rFonts w:ascii="Arial" w:cs="Arial" w:eastAsia="Arial" w:hAnsi="Arial"/>
          <w:sz w:val="18"/>
          <w:szCs w:val="18"/>
          <w:color w:val="auto"/>
        </w:rPr>
      </w:pPr>
    </w:p>
    <w:p>
      <w:pPr>
        <w:ind w:left="660" w:right="280" w:firstLine="385"/>
        <w:spacing w:after="0" w:line="308" w:lineRule="auto"/>
        <w:tabs>
          <w:tab w:leader="none" w:pos="14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Finnegan, Henderson, Farabow, Garrett &amp; Dunner, LLP, special counsel for the Company with respect to intellectual property matters, shall have furnished to you their written opinion in form and substance satisfactory to you, dated such Time of Delivery;</w:t>
      </w:r>
    </w:p>
    <w:p>
      <w:pPr>
        <w:spacing w:after="0" w:line="146" w:lineRule="exact"/>
        <w:rPr>
          <w:rFonts w:ascii="Arial" w:cs="Arial" w:eastAsia="Arial" w:hAnsi="Arial"/>
          <w:sz w:val="17"/>
          <w:szCs w:val="17"/>
          <w:color w:val="auto"/>
        </w:rPr>
      </w:pPr>
    </w:p>
    <w:p>
      <w:pPr>
        <w:ind w:left="660" w:right="20" w:firstLine="385"/>
        <w:spacing w:after="0" w:line="257" w:lineRule="auto"/>
        <w:tabs>
          <w:tab w:leader="none" w:pos="14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the date of the Prospectus immediately following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is attached as Annex I(a) hereto and a draft of the form of letter to be delivered on the effective date of any post-effective amendment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Registration Statement and as of each Time of Delivery is attached as Annex I(b) hereto);</w:t>
      </w:r>
    </w:p>
    <w:p>
      <w:pPr>
        <w:spacing w:after="0" w:line="225" w:lineRule="exact"/>
        <w:rPr>
          <w:sz w:val="20"/>
          <w:szCs w:val="20"/>
          <w:color w:val="auto"/>
        </w:rPr>
      </w:pPr>
    </w:p>
    <w:p>
      <w:pPr>
        <w:ind w:left="660" w:firstLine="385"/>
        <w:spacing w:after="0" w:line="293" w:lineRule="auto"/>
        <w:tabs>
          <w:tab w:leader="none" w:pos="14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of</w:t>
      </w:r>
    </w:p>
    <w:p>
      <w:pPr>
        <w:sectPr>
          <w:pgSz w:w="11900" w:h="16838" w:orient="portrait"/>
          <w:cols w:equalWidth="0" w:num="1">
            <w:col w:w="11400"/>
          </w:cols>
          <w:pgMar w:left="240" w:top="125" w:right="259" w:bottom="0" w:gutter="0" w:footer="0" w:header="0"/>
        </w:sectPr>
      </w:pPr>
    </w:p>
    <w:bookmarkStart w:id="12" w:name="page13"/>
    <w:bookmarkEnd w:id="12"/>
    <w:p>
      <w:pPr>
        <w:spacing w:after="0" w:line="103" w:lineRule="exact"/>
        <w:rPr>
          <w:sz w:val="20"/>
          <w:szCs w:val="20"/>
          <w:color w:val="auto"/>
        </w:rPr>
      </w:pPr>
    </w:p>
    <w:p>
      <w:pPr>
        <w:ind w:left="660" w:right="140"/>
        <w:spacing w:after="0" w:line="276" w:lineRule="auto"/>
        <w:rPr>
          <w:sz w:val="20"/>
          <w:szCs w:val="20"/>
          <w:color w:val="auto"/>
        </w:rPr>
      </w:pPr>
      <w:r>
        <w:rPr>
          <w:rFonts w:ascii="Arial" w:cs="Arial" w:eastAsia="Arial" w:hAnsi="Arial"/>
          <w:sz w:val="17"/>
          <w:szCs w:val="17"/>
          <w:color w:val="auto"/>
        </w:rPr>
        <w:t>its subsidiaries or any change, or any development involving a prospective change, in or affecting the general affairs, management, financial position, stockholders’ equity, results of operations or prospects of the Company and its subsidiaries, otherwise than as set forth or contemplated in the Pricing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73" w:lineRule="exact"/>
        <w:rPr>
          <w:sz w:val="20"/>
          <w:szCs w:val="20"/>
          <w:color w:val="auto"/>
        </w:rPr>
      </w:pPr>
    </w:p>
    <w:p>
      <w:pPr>
        <w:ind w:left="660" w:right="200" w:firstLine="385"/>
        <w:spacing w:after="0" w:line="270" w:lineRule="auto"/>
        <w:tabs>
          <w:tab w:leader="none" w:pos="1461"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New York Stock Exchange or The NASDAQ Global Select Market; (ii) a suspension or material limitation in trading in the Company’s securities on The NASDAQ Global Select Market or the New York Stock Exchange; (iii) a general moratorium on commercial banking activities declared by either Federal or New York or Massachusetts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hanging="395"/>
        <w:spacing w:after="0"/>
        <w:tabs>
          <w:tab w:leader="none" w:pos="14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on The NASDAQ Global Select Market;</w:t>
      </w:r>
    </w:p>
    <w:p>
      <w:pPr>
        <w:spacing w:after="0" w:line="225" w:lineRule="exact"/>
        <w:rPr>
          <w:rFonts w:ascii="Arial" w:cs="Arial" w:eastAsia="Arial" w:hAnsi="Arial"/>
          <w:sz w:val="18"/>
          <w:szCs w:val="18"/>
          <w:color w:val="auto"/>
        </w:rPr>
      </w:pPr>
    </w:p>
    <w:p>
      <w:pPr>
        <w:ind w:left="660" w:right="300" w:firstLine="385"/>
        <w:spacing w:after="0" w:line="264" w:lineRule="auto"/>
        <w:tabs>
          <w:tab w:leader="none" w:pos="14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agreement from the officers, directors, and such other holders of the Company’s securities as you may require, substantially to the effect set forth in Annex II hereof in form and substance satisfactory to you;</w:t>
      </w:r>
    </w:p>
    <w:p>
      <w:pPr>
        <w:spacing w:after="0" w:line="181" w:lineRule="exact"/>
        <w:rPr>
          <w:rFonts w:ascii="Arial" w:cs="Arial" w:eastAsia="Arial" w:hAnsi="Arial"/>
          <w:sz w:val="18"/>
          <w:szCs w:val="18"/>
          <w:color w:val="auto"/>
        </w:rPr>
      </w:pPr>
    </w:p>
    <w:p>
      <w:pPr>
        <w:ind w:left="660" w:right="220" w:firstLine="385"/>
        <w:spacing w:after="0" w:line="277" w:lineRule="auto"/>
        <w:tabs>
          <w:tab w:leader="none" w:pos="14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5(e) hereof with respect to the furnishing of prospectuses on the New York Business Day next succeeding the date of this Agreement;</w:t>
      </w:r>
    </w:p>
    <w:p>
      <w:pPr>
        <w:spacing w:after="0" w:line="170" w:lineRule="exact"/>
        <w:rPr>
          <w:rFonts w:ascii="Arial" w:cs="Arial" w:eastAsia="Arial" w:hAnsi="Arial"/>
          <w:sz w:val="18"/>
          <w:szCs w:val="18"/>
          <w:color w:val="auto"/>
        </w:rPr>
      </w:pPr>
    </w:p>
    <w:p>
      <w:pPr>
        <w:jc w:val="both"/>
        <w:ind w:left="660" w:right="280" w:firstLine="385"/>
        <w:spacing w:after="0" w:line="279" w:lineRule="auto"/>
        <w:tabs>
          <w:tab w:leader="none" w:pos="1448"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you may reasonably request; and</w:t>
      </w:r>
    </w:p>
    <w:p>
      <w:pPr>
        <w:spacing w:after="0" w:line="171" w:lineRule="exact"/>
        <w:rPr>
          <w:rFonts w:ascii="Arial" w:cs="Arial" w:eastAsia="Arial" w:hAnsi="Arial"/>
          <w:sz w:val="17"/>
          <w:szCs w:val="17"/>
          <w:color w:val="auto"/>
        </w:rPr>
      </w:pPr>
    </w:p>
    <w:p>
      <w:pPr>
        <w:ind w:left="660" w:right="40" w:firstLine="385"/>
        <w:spacing w:after="0" w:line="277" w:lineRule="auto"/>
        <w:tabs>
          <w:tab w:leader="none" w:pos="14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FINRA shall have confirmed that it has not raised any objection with respect to the fairness and reasonableness of the underwriting terms and arrangements relating to the offering of the Shares.</w:t>
      </w:r>
    </w:p>
    <w:p>
      <w:pPr>
        <w:spacing w:after="0" w:line="170" w:lineRule="exact"/>
        <w:rPr>
          <w:rFonts w:ascii="Arial" w:cs="Arial" w:eastAsia="Arial" w:hAnsi="Arial"/>
          <w:sz w:val="18"/>
          <w:szCs w:val="18"/>
          <w:color w:val="auto"/>
        </w:rPr>
      </w:pPr>
    </w:p>
    <w:p>
      <w:pPr>
        <w:ind w:firstLine="656"/>
        <w:spacing w:after="0" w:line="269" w:lineRule="auto"/>
        <w:tabs>
          <w:tab w:leader="none" w:pos="12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 The Company will indemnify and hold harmless each Underwriter, its affiliates (as such term is defined in Rule 501(b) under the Act (each, an “Affiliate”)), its selling agents and each person, if any, who controls any Underwriter within the meaning of Section 15 of the Act or Section 20 of the Exchange Act (each an “Underwriter Indemnified Party”) against any losses, claims, damages or liabilities, joint or several, to which such Underwriter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or any Section 5(d) Writing,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Indemnified Party for any legal or other expenses reasonably incurred by such Underwriter Indemnified Party in connection with investigating or defending any such action or claim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any such loss, claim, damage or liability arises out of or 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Section 5(d) Writing, in reliance upon and in conformity with written information furnished to the Company by any Underwriter through the Representatives expressly for use therein.</w:t>
      </w:r>
    </w:p>
    <w:p>
      <w:pPr>
        <w:spacing w:after="0" w:line="187" w:lineRule="exact"/>
        <w:rPr>
          <w:sz w:val="20"/>
          <w:szCs w:val="20"/>
          <w:color w:val="auto"/>
        </w:rPr>
      </w:pPr>
    </w:p>
    <w:p>
      <w:pPr>
        <w:ind w:right="40" w:firstLine="656"/>
        <w:spacing w:after="0" w:line="287" w:lineRule="auto"/>
        <w:tabs>
          <w:tab w:leader="none" w:pos="13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directors, officers and Affiliates and each person, if any, who controls the Company within the meaning of Section 15 of the Act or Section 20 of the Exchange Act (each a “Company Indemnified Party”) against any losses, claims, damages or liabilities to which such Company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Section 5(d) Writing,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Section 5(d) Writing, in reliance upon and in conformity with written information furnished to the Company by such Underwriter through the Representatives expressly for use therein; and will reimburse each Company Indemnified Party for any legal or other expenses reasonably incurred by such Company Indemnified Party in connection with investigating or defending any such action or claim as such expenses are incurred.</w:t>
      </w:r>
    </w:p>
    <w:p>
      <w:pPr>
        <w:spacing w:after="0" w:line="168" w:lineRule="exact"/>
        <w:rPr>
          <w:rFonts w:ascii="Arial" w:cs="Arial" w:eastAsia="Arial" w:hAnsi="Arial"/>
          <w:sz w:val="16"/>
          <w:szCs w:val="16"/>
          <w:color w:val="auto"/>
        </w:rPr>
      </w:pPr>
    </w:p>
    <w:p>
      <w:pPr>
        <w:ind w:right="280" w:firstLine="656"/>
        <w:spacing w:after="0" w:line="297" w:lineRule="auto"/>
        <w:tabs>
          <w:tab w:leader="none" w:pos="1307"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w:t>
      </w:r>
    </w:p>
    <w:p>
      <w:pPr>
        <w:sectPr>
          <w:pgSz w:w="11900" w:h="16941" w:orient="portrait"/>
          <w:cols w:equalWidth="0" w:num="1">
            <w:col w:w="11400"/>
          </w:cols>
          <w:pgMar w:left="240" w:top="125" w:right="259" w:bottom="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with any other indemnifying party similarly notified, to assume the defense thereof, with counsel satisfactory to such indemnified party (who shall not, except with the consent of the indemnified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179" w:lineRule="exact"/>
        <w:rPr>
          <w:sz w:val="20"/>
          <w:szCs w:val="20"/>
          <w:color w:val="auto"/>
        </w:rPr>
      </w:pPr>
    </w:p>
    <w:p>
      <w:pPr>
        <w:ind w:left="1320" w:hanging="664"/>
        <w:spacing w:after="0"/>
        <w:tabs>
          <w:tab w:leader="none" w:pos="13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w:t>
      </w:r>
    </w:p>
    <w:p>
      <w:pPr>
        <w:spacing w:after="0" w:line="46" w:lineRule="exact"/>
        <w:rPr>
          <w:rFonts w:ascii="Arial" w:cs="Arial" w:eastAsia="Arial" w:hAnsi="Arial"/>
          <w:sz w:val="16"/>
          <w:szCs w:val="16"/>
          <w:color w:val="auto"/>
        </w:rPr>
      </w:pPr>
    </w:p>
    <w:p>
      <w:pPr>
        <w:ind w:firstLine="8"/>
        <w:spacing w:after="0" w:line="267" w:lineRule="auto"/>
        <w:tabs>
          <w:tab w:leader="none" w:pos="2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pursuant to this subsection (d)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78" w:lineRule="exact"/>
        <w:rPr>
          <w:sz w:val="20"/>
          <w:szCs w:val="20"/>
          <w:color w:val="auto"/>
        </w:rPr>
      </w:pPr>
    </w:p>
    <w:p>
      <w:pPr>
        <w:ind w:right="100" w:firstLine="656"/>
        <w:spacing w:after="0" w:line="255" w:lineRule="auto"/>
        <w:tabs>
          <w:tab w:leader="none" w:pos="13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93" w:lineRule="exact"/>
        <w:rPr>
          <w:sz w:val="20"/>
          <w:szCs w:val="20"/>
          <w:color w:val="auto"/>
        </w:rPr>
      </w:pPr>
    </w:p>
    <w:p>
      <w:pPr>
        <w:ind w:firstLine="656"/>
        <w:spacing w:after="0" w:line="254" w:lineRule="auto"/>
        <w:tabs>
          <w:tab w:leader="none" w:pos="12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81" w:lineRule="exact"/>
        <w:rPr>
          <w:sz w:val="20"/>
          <w:szCs w:val="20"/>
          <w:color w:val="auto"/>
        </w:rPr>
      </w:pPr>
    </w:p>
    <w:p>
      <w:pPr>
        <w:ind w:right="320" w:firstLine="656"/>
        <w:spacing w:after="0" w:line="302" w:lineRule="auto"/>
        <w:tabs>
          <w:tab w:leader="none" w:pos="13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w:t>
      </w:r>
    </w:p>
    <w:p>
      <w:pPr>
        <w:sectPr>
          <w:pgSz w:w="11900" w:h="16838" w:orient="portrait"/>
          <w:cols w:equalWidth="0" w:num="1">
            <w:col w:w="11400"/>
          </w:cols>
          <w:pgMar w:left="240" w:top="125" w:right="259" w:bottom="0" w:gutter="0" w:footer="0" w:header="0"/>
        </w:sectPr>
      </w:pPr>
    </w:p>
    <w:bookmarkStart w:id="14" w:name="page15"/>
    <w:bookmarkEnd w:id="14"/>
    <w:p>
      <w:pPr>
        <w:ind w:right="160"/>
        <w:spacing w:after="0" w:line="264" w:lineRule="auto"/>
        <w:rPr>
          <w:sz w:val="20"/>
          <w:szCs w:val="20"/>
          <w:color w:val="auto"/>
        </w:rPr>
      </w:pPr>
      <w:r>
        <w:rPr>
          <w:rFonts w:ascii="Arial" w:cs="Arial" w:eastAsia="Arial" w:hAnsi="Arial"/>
          <w:sz w:val="18"/>
          <w:szCs w:val="18"/>
          <w:color w:val="auto"/>
        </w:rPr>
        <w:t>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1" w:lineRule="exact"/>
        <w:rPr>
          <w:sz w:val="20"/>
          <w:szCs w:val="20"/>
          <w:color w:val="auto"/>
        </w:rPr>
      </w:pPr>
    </w:p>
    <w:p>
      <w:pPr>
        <w:ind w:right="100" w:firstLine="656"/>
        <w:spacing w:after="0" w:line="254" w:lineRule="auto"/>
        <w:tabs>
          <w:tab w:leader="none" w:pos="13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2" w:lineRule="exact"/>
        <w:rPr>
          <w:sz w:val="20"/>
          <w:szCs w:val="20"/>
          <w:color w:val="auto"/>
        </w:rPr>
      </w:pPr>
    </w:p>
    <w:p>
      <w:pPr>
        <w:jc w:val="both"/>
        <w:ind w:right="180" w:firstLine="656"/>
        <w:spacing w:after="0" w:line="302" w:lineRule="auto"/>
        <w:tabs>
          <w:tab w:leader="none" w:pos="12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54" w:lineRule="exact"/>
        <w:rPr>
          <w:rFonts w:ascii="Arial" w:cs="Arial" w:eastAsia="Arial" w:hAnsi="Arial"/>
          <w:sz w:val="16"/>
          <w:szCs w:val="16"/>
          <w:color w:val="auto"/>
        </w:rPr>
      </w:pPr>
    </w:p>
    <w:p>
      <w:pPr>
        <w:ind w:right="200" w:firstLine="656"/>
        <w:spacing w:after="0" w:line="277" w:lineRule="auto"/>
        <w:tabs>
          <w:tab w:leader="none" w:pos="12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10 hereof, the Company shall not then be under any liability to any Underwriter except as provided in Sections 7 and 9 hereof; but, if for any other reason, any Shares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87" w:lineRule="exact"/>
        <w:rPr>
          <w:sz w:val="20"/>
          <w:szCs w:val="20"/>
          <w:color w:val="auto"/>
        </w:rPr>
      </w:pPr>
    </w:p>
    <w:p>
      <w:pPr>
        <w:ind w:right="280" w:firstLine="656"/>
        <w:spacing w:after="0" w:line="308" w:lineRule="auto"/>
        <w:tabs>
          <w:tab w:leader="none" w:pos="1323"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all dealings hereunder, you shall act on behalf of each of the Underwriters, and the parties hereto shall be entitled to act and rely upon any statement, request, notice or agreement on behalf of any Underwriter made or given by you jointly or by the Representatives.</w:t>
      </w:r>
    </w:p>
    <w:p>
      <w:pPr>
        <w:spacing w:after="0" w:line="14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telex or facsimile transmission to you as the Representatives in care of Goldman Sachs &amp; Co. LLC, 200 West Street, New York, New York 10282-2198, Attention: Registration Department, and in care of Morgan Stanley &amp; Co. LLC, 1585 Broadway, New York, New York 10036, Attention: Equity Syndicate Desk, with a copy to the Legal Department, and if to the Company shall be delivered or sent by mail, telex or facsimile transmission to the address of the Company set forth in the Registration Statement, Attention: Secretary;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notice to an Underwriter pursuant to Section 9(c) hereof shall be delivered or sent by mail, telex or facsimile transmission to such Underwriter, which such mailing address or telex or facsimile transmission number will be supplied to the Company by you upon request. Any such statements, requests, notices or agreements shall take effect upon receipt thereof.</w:t>
      </w:r>
    </w:p>
    <w:p>
      <w:pPr>
        <w:spacing w:after="0" w:line="16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6" w:lineRule="exact"/>
        <w:rPr>
          <w:sz w:val="20"/>
          <w:szCs w:val="20"/>
          <w:color w:val="auto"/>
        </w:rPr>
      </w:pPr>
    </w:p>
    <w:p>
      <w:pPr>
        <w:ind w:firstLine="656"/>
        <w:spacing w:after="0" w:line="279" w:lineRule="auto"/>
        <w:tabs>
          <w:tab w:leader="none" w:pos="132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77" w:lineRule="auto"/>
        <w:tabs>
          <w:tab w:leader="none" w:pos="13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20" w:firstLine="656"/>
        <w:spacing w:after="0" w:line="271" w:lineRule="auto"/>
        <w:tabs>
          <w:tab w:leader="none" w:pos="132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78" w:lineRule="exact"/>
        <w:rPr>
          <w:rFonts w:ascii="Arial" w:cs="Arial" w:eastAsia="Arial" w:hAnsi="Arial"/>
          <w:sz w:val="17"/>
          <w:szCs w:val="17"/>
          <w:color w:val="auto"/>
        </w:rPr>
      </w:pPr>
    </w:p>
    <w:p>
      <w:pPr>
        <w:ind w:right="100" w:firstLine="656"/>
        <w:spacing w:after="0" w:line="277" w:lineRule="auto"/>
        <w:tabs>
          <w:tab w:leader="none" w:pos="13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66" w:lineRule="exact"/>
        <w:rPr>
          <w:rFonts w:ascii="Arial" w:cs="Arial" w:eastAsia="Arial" w:hAnsi="Arial"/>
          <w:sz w:val="18"/>
          <w:szCs w:val="18"/>
          <w:color w:val="auto"/>
        </w:rPr>
      </w:pPr>
    </w:p>
    <w:p>
      <w:pPr>
        <w:ind w:right="60" w:firstLine="656"/>
        <w:spacing w:after="0" w:line="256" w:lineRule="auto"/>
        <w:tabs>
          <w:tab w:leader="none" w:pos="1323"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ectPr>
          <w:pgSz w:w="11900" w:h="16838" w:orient="portrait"/>
          <w:cols w:equalWidth="0" w:num="1">
            <w:col w:w="11420"/>
          </w:cols>
          <w:pgMar w:left="240" w:top="125" w:right="239" w:bottom="0" w:gutter="0" w:footer="0" w:header="0"/>
        </w:sectPr>
      </w:pPr>
    </w:p>
    <w:bookmarkStart w:id="15" w:name="page16"/>
    <w:bookmarkEnd w:id="15"/>
    <w:p>
      <w:pPr>
        <w:ind w:firstLine="656"/>
        <w:spacing w:after="0" w:line="277" w:lineRule="auto"/>
        <w:tabs>
          <w:tab w:leader="none" w:pos="1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20" w:firstLine="656"/>
        <w:spacing w:after="0" w:line="277" w:lineRule="auto"/>
        <w:tabs>
          <w:tab w:leader="none" w:pos="1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6" w:lineRule="auto"/>
        <w:tabs>
          <w:tab w:leader="none" w:pos="1323"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Jeffrey W. Albers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Underwriting Agreement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Richard Cohn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19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Name:</w:t>
        <w:tab/>
        <w:t>Richard Cohn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2830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19"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28301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Kathy Bergstemsson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19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Name:</w:t>
        <w:tab/>
        <w:t>Kathy Bergstemsson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28301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19"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28301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Underwriting Agreement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SCHEDULE I</w:t>
      </w:r>
    </w:p>
    <w:p>
      <w:pPr>
        <w:sectPr>
          <w:pgSz w:w="11900" w:h="16838" w:orient="portrait"/>
          <w:cols w:equalWidth="0" w:num="1">
            <w:col w:w="11400"/>
          </w:cols>
          <w:pgMar w:left="240" w:top="125" w:right="259" w:bottom="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Underwriter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420"/>
        <w:spacing w:after="0"/>
        <w:rPr>
          <w:sz w:val="20"/>
          <w:szCs w:val="20"/>
          <w:color w:val="auto"/>
        </w:rPr>
      </w:pPr>
      <w:r>
        <w:rPr>
          <w:rFonts w:ascii="Arial" w:cs="Arial" w:eastAsia="Arial" w:hAnsi="Arial"/>
          <w:sz w:val="13"/>
          <w:szCs w:val="13"/>
          <w:b w:val="1"/>
          <w:bCs w:val="1"/>
          <w:color w:val="auto"/>
        </w:rPr>
        <w:t>Total Number of</w:t>
      </w:r>
    </w:p>
    <w:p>
      <w:pPr>
        <w:spacing w:after="0" w:line="3"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Firm Shares</w:t>
      </w:r>
    </w:p>
    <w:p>
      <w:pPr>
        <w:jc w:val="center"/>
        <w:ind w:right="420"/>
        <w:spacing w:after="0"/>
        <w:rPr>
          <w:sz w:val="20"/>
          <w:szCs w:val="20"/>
          <w:color w:val="auto"/>
        </w:rPr>
      </w:pPr>
      <w:r>
        <w:rPr>
          <w:rFonts w:ascii="Arial" w:cs="Arial" w:eastAsia="Arial" w:hAnsi="Arial"/>
          <w:sz w:val="13"/>
          <w:szCs w:val="13"/>
          <w:b w:val="1"/>
          <w:bCs w:val="1"/>
          <w:color w:val="auto"/>
        </w:rPr>
        <w:t>to be Purchased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600"/>
        <w:spacing w:after="0"/>
        <w:rPr>
          <w:sz w:val="20"/>
          <w:szCs w:val="20"/>
          <w:color w:val="auto"/>
        </w:rPr>
      </w:pPr>
      <w:r>
        <w:rPr>
          <w:rFonts w:ascii="Arial" w:cs="Arial" w:eastAsia="Arial" w:hAnsi="Arial"/>
          <w:sz w:val="13"/>
          <w:szCs w:val="13"/>
          <w:b w:val="1"/>
          <w:bCs w:val="1"/>
          <w:color w:val="auto"/>
        </w:rPr>
        <w:t>Number of</w:t>
      </w:r>
    </w:p>
    <w:p>
      <w:pPr>
        <w:spacing w:after="0" w:line="3"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Optional</w:t>
      </w:r>
    </w:p>
    <w:p>
      <w:pPr>
        <w:jc w:val="center"/>
        <w:ind w:right="600"/>
        <w:spacing w:after="0" w:line="221" w:lineRule="auto"/>
        <w:rPr>
          <w:sz w:val="20"/>
          <w:szCs w:val="20"/>
          <w:color w:val="auto"/>
        </w:rPr>
      </w:pPr>
      <w:r>
        <w:rPr>
          <w:rFonts w:ascii="Arial" w:cs="Arial" w:eastAsia="Arial" w:hAnsi="Arial"/>
          <w:sz w:val="14"/>
          <w:szCs w:val="14"/>
          <w:b w:val="1"/>
          <w:bCs w:val="1"/>
          <w:color w:val="auto"/>
        </w:rPr>
        <w:t>Shares to</w:t>
      </w:r>
    </w:p>
    <w:p>
      <w:pPr>
        <w:jc w:val="center"/>
        <w:ind w:right="600"/>
        <w:spacing w:after="0" w:line="221" w:lineRule="auto"/>
        <w:rPr>
          <w:sz w:val="20"/>
          <w:szCs w:val="20"/>
          <w:color w:val="auto"/>
        </w:rPr>
      </w:pPr>
      <w:r>
        <w:rPr>
          <w:rFonts w:ascii="Arial" w:cs="Arial" w:eastAsia="Arial" w:hAnsi="Arial"/>
          <w:sz w:val="14"/>
          <w:szCs w:val="14"/>
          <w:b w:val="1"/>
          <w:bCs w:val="1"/>
          <w:color w:val="auto"/>
        </w:rPr>
        <w:t>be</w:t>
      </w:r>
    </w:p>
    <w:p>
      <w:pPr>
        <w:jc w:val="center"/>
        <w:ind w:right="600"/>
        <w:spacing w:after="0"/>
        <w:rPr>
          <w:sz w:val="20"/>
          <w:szCs w:val="20"/>
          <w:color w:val="auto"/>
        </w:rPr>
      </w:pPr>
      <w:r>
        <w:rPr>
          <w:rFonts w:ascii="Arial" w:cs="Arial" w:eastAsia="Arial" w:hAnsi="Arial"/>
          <w:sz w:val="13"/>
          <w:szCs w:val="13"/>
          <w:b w:val="1"/>
          <w:bCs w:val="1"/>
          <w:color w:val="auto"/>
        </w:rPr>
        <w:t>Purchased</w:t>
      </w:r>
    </w:p>
    <w:p>
      <w:pPr>
        <w:jc w:val="center"/>
        <w:ind w:right="600"/>
        <w:spacing w:after="0" w:line="221" w:lineRule="auto"/>
        <w:rPr>
          <w:sz w:val="20"/>
          <w:szCs w:val="20"/>
          <w:color w:val="auto"/>
        </w:rPr>
      </w:pPr>
      <w:r>
        <w:rPr>
          <w:rFonts w:ascii="Arial" w:cs="Arial" w:eastAsia="Arial" w:hAnsi="Arial"/>
          <w:sz w:val="14"/>
          <w:szCs w:val="14"/>
          <w:b w:val="1"/>
          <w:bCs w:val="1"/>
          <w:color w:val="auto"/>
        </w:rPr>
        <w:t>if</w:t>
      </w:r>
    </w:p>
    <w:p>
      <w:pPr>
        <w:jc w:val="center"/>
        <w:ind w:right="600"/>
        <w:spacing w:after="0"/>
        <w:rPr>
          <w:sz w:val="20"/>
          <w:szCs w:val="20"/>
          <w:color w:val="auto"/>
        </w:rPr>
      </w:pPr>
      <w:r>
        <w:rPr>
          <w:rFonts w:ascii="Arial" w:cs="Arial" w:eastAsia="Arial" w:hAnsi="Arial"/>
          <w:sz w:val="14"/>
          <w:szCs w:val="14"/>
          <w:b w:val="1"/>
          <w:bCs w:val="1"/>
          <w:color w:val="auto"/>
        </w:rPr>
        <w:t>Maximum</w:t>
      </w:r>
    </w:p>
    <w:p>
      <w:pPr>
        <w:sectPr>
          <w:pgSz w:w="11900" w:h="16838" w:orient="portrait"/>
          <w:cols w:equalWidth="0" w:num="3">
            <w:col w:w="7240" w:space="720"/>
            <w:col w:w="1440" w:space="720"/>
            <w:col w:w="1280"/>
          </w:cols>
          <w:pgMar w:left="240" w:top="125" w:right="25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40" w:type="dxa"/>
            <w:vAlign w:val="bottom"/>
          </w:tcPr>
          <w:p>
            <w:pPr>
              <w:spacing w:after="0"/>
              <w:rPr>
                <w:sz w:val="14"/>
                <w:szCs w:val="14"/>
                <w:color w:val="auto"/>
              </w:rPr>
            </w:pPr>
          </w:p>
        </w:tc>
      </w:tr>
      <w:tr>
        <w:trPr>
          <w:trHeight w:val="171"/>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Exercised</w:t>
            </w:r>
          </w:p>
        </w:tc>
        <w:tc>
          <w:tcPr>
            <w:tcW w:w="40" w:type="dxa"/>
            <w:vAlign w:val="bottom"/>
          </w:tcPr>
          <w:p>
            <w:pPr>
              <w:spacing w:after="0"/>
              <w:rPr>
                <w:sz w:val="14"/>
                <w:szCs w:val="14"/>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1,481,482</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700" w:type="dxa"/>
            <w:vAlign w:val="bottom"/>
          </w:tcPr>
          <w:p>
            <w:pPr>
              <w:jc w:val="right"/>
              <w:spacing w:after="0"/>
              <w:rPr>
                <w:sz w:val="20"/>
                <w:szCs w:val="20"/>
                <w:color w:val="auto"/>
              </w:rPr>
            </w:pPr>
            <w:r>
              <w:rPr>
                <w:rFonts w:ascii="Arial" w:cs="Arial" w:eastAsia="Arial" w:hAnsi="Arial"/>
                <w:sz w:val="18"/>
                <w:szCs w:val="18"/>
                <w:color w:val="auto"/>
              </w:rPr>
              <w:t>1,296,296</w:t>
            </w:r>
          </w:p>
        </w:tc>
        <w:tc>
          <w:tcPr>
            <w:tcW w:w="3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194,444</w:t>
            </w:r>
          </w:p>
        </w:tc>
        <w:tc>
          <w:tcPr>
            <w:tcW w:w="4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814,815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122,222</w:t>
            </w:r>
          </w:p>
        </w:tc>
        <w:tc>
          <w:tcPr>
            <w:tcW w:w="40" w:type="dxa"/>
            <w:vAlign w:val="bottom"/>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Canaccord Genuity Inc.</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111,111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16,667</w:t>
            </w:r>
          </w:p>
        </w:tc>
        <w:tc>
          <w:tcPr>
            <w:tcW w:w="40" w:type="dxa"/>
            <w:vAlign w:val="bottom"/>
          </w:tcPr>
          <w:p>
            <w:pPr>
              <w:spacing w:after="0"/>
              <w:rPr>
                <w:sz w:val="18"/>
                <w:szCs w:val="18"/>
                <w:color w:val="auto"/>
              </w:rPr>
            </w:pPr>
          </w:p>
        </w:tc>
      </w:tr>
      <w:tr>
        <w:trPr>
          <w:trHeight w:val="210"/>
        </w:trPr>
        <w:tc>
          <w:tcPr>
            <w:tcW w:w="7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3,703,704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7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Issuer Free Writing Prospectuses not included in the Pricing Disclosure Package: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roadshow presentation available on www.roadshowaccess.com commencing on December 11, 2017.</w:t>
      </w:r>
    </w:p>
    <w:p>
      <w:pPr>
        <w:spacing w:after="0" w:line="221" w:lineRule="exact"/>
        <w:rPr>
          <w:sz w:val="20"/>
          <w:szCs w:val="20"/>
          <w:color w:val="auto"/>
        </w:rPr>
      </w:pPr>
    </w:p>
    <w:p>
      <w:pPr>
        <w:ind w:left="660" w:right="9460" w:hanging="652"/>
        <w:spacing w:after="0" w:line="501" w:lineRule="auto"/>
        <w:tabs>
          <w:tab w:leader="none" w:pos="353"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5(d) writings: </w:t>
      </w:r>
      <w:r>
        <w:rPr>
          <w:rFonts w:ascii="Arial" w:cs="Arial" w:eastAsia="Arial" w:hAnsi="Arial"/>
          <w:sz w:val="18"/>
          <w:szCs w:val="18"/>
          <w:color w:val="auto"/>
        </w:rPr>
        <w:t>None.</w:t>
      </w:r>
    </w:p>
    <w:p>
      <w:pPr>
        <w:ind w:left="660" w:right="4180" w:hanging="652"/>
        <w:spacing w:after="0" w:line="503" w:lineRule="auto"/>
        <w:tabs>
          <w:tab w:leader="none" w:pos="34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Materials other than the Pricing Prospectus that comprise the Pricing Disclosure Package: </w:t>
      </w:r>
      <w:r>
        <w:rPr>
          <w:rFonts w:ascii="Arial" w:cs="Arial" w:eastAsia="Arial" w:hAnsi="Arial"/>
          <w:sz w:val="18"/>
          <w:szCs w:val="18"/>
          <w:color w:val="auto"/>
        </w:rPr>
        <w:t>Public Offering Price per share: $81.00</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Number of Firm Shares purchased by the Underwriters: 3,703,704</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Number of Optional Shares: 555,555</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 incorporated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u w:val="single" w:color="auto"/>
          <w:color w:val="auto"/>
        </w:rPr>
        <w:t>ANNEX I(A)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Executed Comfort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u w:val="single" w:color="auto"/>
          <w:color w:val="auto"/>
        </w:rPr>
        <w:t>ANNEX I(B)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Comfort Letter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be Delivered Upon the Effective Date of a Post-Effective Amendment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at Each Time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u w:val="single" w:color="auto"/>
          <w:color w:val="auto"/>
        </w:rPr>
        <w:t>ANNEX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ectPr>
          <w:pgSz w:w="11900" w:h="16838" w:orient="portrait"/>
          <w:cols w:equalWidth="0" w:num="1">
            <w:col w:w="11460"/>
          </w:cols>
          <w:pgMar w:left="240" w:top="104" w:right="199" w:bottom="0" w:gutter="0" w:footer="0" w:header="0"/>
        </w:sectPr>
      </w:pPr>
    </w:p>
    <w:bookmarkStart w:id="17" w:name="page18"/>
    <w:bookmarkEnd w:id="17"/>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Blueprint Medicines Corporation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970"/>
        <w:spacing w:after="0" w:line="276" w:lineRule="auto"/>
        <w:rPr>
          <w:sz w:val="20"/>
          <w:szCs w:val="20"/>
          <w:color w:val="auto"/>
        </w:rPr>
      </w:pPr>
      <w:r>
        <w:rPr>
          <w:rFonts w:ascii="Arial" w:cs="Arial" w:eastAsia="Arial" w:hAnsi="Arial"/>
          <w:sz w:val="17"/>
          <w:szCs w:val="17"/>
          <w:color w:val="auto"/>
        </w:rPr>
        <w:t>The undersigned understands that you, as representatives (the “Representatives”), propose to enter into an Underwriting Agreement on behalf of the several Underwriters named in Schedule I to such agreement (collectively, the “Underwriters”) (the “Underwriting Agreement”), with Blueprint Medicines Corporation, a Delaware corporation (the “Company”), providing for a public offering (the “Public Offering”) of shares (the “Shares”) of the common stock of the Company, par value $0.001 per share (the “Common Stock”), pursuant to a Registration Statement on Form S-3ASR filed with the Securities and Exchange Commission (the “SEC”) on March 9, 2017 (File No. 333-216573) (the “Registration Statement”).</w:t>
      </w:r>
    </w:p>
    <w:p>
      <w:pPr>
        <w:spacing w:after="0" w:line="173" w:lineRule="exact"/>
        <w:rPr>
          <w:sz w:val="20"/>
          <w:szCs w:val="20"/>
          <w:color w:val="auto"/>
        </w:rPr>
      </w:pPr>
    </w:p>
    <w:p>
      <w:pPr>
        <w:ind w:right="120" w:firstLine="970"/>
        <w:spacing w:after="0" w:line="297" w:lineRule="auto"/>
        <w:rPr>
          <w:sz w:val="20"/>
          <w:szCs w:val="20"/>
          <w:color w:val="auto"/>
        </w:rPr>
      </w:pPr>
      <w:r>
        <w:rPr>
          <w:rFonts w:ascii="Arial" w:cs="Arial" w:eastAsia="Arial" w:hAnsi="Arial"/>
          <w:sz w:val="16"/>
          <w:szCs w:val="16"/>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hereof and continuing to and including the date 60 days after the date of the final prospectus covering the Public Offering (such period, the “Lock-Up Period”),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right to receive shares of Common Stock of the Company, whether now owned or hereinafter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 If the undersigned is an officer or director of the Company, the undersigned further agrees that the foregoing provisions shall be equally applicable to any Company-directed Shares the undersigned may purchase in the Public Offering.</w:t>
      </w:r>
    </w:p>
    <w:p>
      <w:pPr>
        <w:spacing w:after="0" w:line="166" w:lineRule="exact"/>
        <w:rPr>
          <w:sz w:val="20"/>
          <w:szCs w:val="20"/>
          <w:color w:val="auto"/>
        </w:rPr>
      </w:pPr>
    </w:p>
    <w:p>
      <w:pPr>
        <w:ind w:right="40" w:firstLine="970"/>
        <w:spacing w:after="0" w:line="264" w:lineRule="auto"/>
        <w:rPr>
          <w:sz w:val="20"/>
          <w:szCs w:val="20"/>
          <w:color w:val="auto"/>
        </w:rPr>
      </w:pPr>
      <w:r>
        <w:rPr>
          <w:rFonts w:ascii="Arial" w:cs="Arial" w:eastAsia="Arial" w:hAnsi="Arial"/>
          <w:sz w:val="18"/>
          <w:szCs w:val="18"/>
          <w:color w:val="auto"/>
        </w:rPr>
        <w:t>The undersigned hereby further agrees that, prior to engaging in any transaction or taking any other action that is subject to the terms of this Lock-Up Agreement during the Lock-Up Period, it will give notice thereof to the Company and will not consummate such transaction or take any such action unless it has received written confirmation from the Company that the Lock-Up Period has expired.</w:t>
      </w:r>
    </w:p>
    <w:p>
      <w:pPr>
        <w:spacing w:after="0" w:line="181" w:lineRule="exact"/>
        <w:rPr>
          <w:sz w:val="20"/>
          <w:szCs w:val="20"/>
          <w:color w:val="auto"/>
        </w:rPr>
      </w:pPr>
    </w:p>
    <w:p>
      <w:pPr>
        <w:ind w:firstLine="970"/>
        <w:spacing w:after="0" w:line="286" w:lineRule="auto"/>
        <w:rPr>
          <w:sz w:val="20"/>
          <w:szCs w:val="20"/>
          <w:color w:val="auto"/>
        </w:rPr>
      </w:pPr>
      <w:r>
        <w:rPr>
          <w:rFonts w:ascii="Arial" w:cs="Arial" w:eastAsia="Arial" w:hAnsi="Arial"/>
          <w:sz w:val="16"/>
          <w:szCs w:val="16"/>
          <w:color w:val="auto"/>
        </w:rPr>
        <w:t>Notwithstanding the foregoing, the undersigned may (a) transfer the Undersigned’s Shares (i) acquired in the open market following the completion of the distribution of the Shares by the Underwriters, (ii) as a bona fide gift or gifts, provided that the donee or donees thereof agree to be bound in writing by the restrictions set forth herein, (iii) to any trust for the direct or indirect benefit of the undersigned or the immediate family of the undersigned, or if the undersigned is a trust, to any beneficiary (including such beneficiary’s estate) of the undersigned, provided that the trustee of the trust, or such beneficiary, agrees to be bound in writing by the restrictions set forth herein, and provided further that any such transfer shall not involve a disposition for value, (iv)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or (B) as part of a distribution without consideration by the undersigned to its stockholders, partners, members or other equity holders, provided that in the case of any transfer contemplated in (A) or (B) above, it shall be a condition to the transfer that (x) each transferee executes an agreement stating that the transferee is receiving and holding such capital stock subject to the provisions of this Lock-Up Agreement, (y) there shall be no further transfer of such capital stock except in accordance with this Lock-Up Agreement and (z) such transfer shall not involve a disposition for value, (v) by will, other testamentary document or intestate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upon the death of the undersigned, provided that the transferee agrees to be bound in writing by the restrictions set forth herein, (vi) in connection with the exercise for cash of options to purchase shares of Common Stock, the “net exercise” or “cashless” exercise of options to purchase shares of Common Stock within 90 days of the expiration of such options and any transfer for the payment of taxes due as a result of such exercise, only in an amount necessary to satisfy such taxes, pursuant to an employee benefit plan, which is disclosed or incorporated by reference in the final prospectus used for the Public Offering, provided that the shares of Common Stock issued upon such exercise shall be subject to the restrictions of this Lock-Up Agreement, (vii) by operation of law, such as pursuant to a qualified domestic order or in connection with a divorce settlement, provided that each such transferee executes an agreement stating that the transferee is receiving and holding such capital stock subject to the provisions of this Lock-Up Agreement, or (viii) with the prior written consent of each of the Representatives on behalf of the Underwriters, or (b) enter into a written plan meeting the requirements of Rule 10b5-1 under the Securities Exchange Act of 1934, as amended (the “Exchange Act”), relating to the sale of securities of the Company, provided that the securities subject to such plan may not be sold and no public disclosure of any such action and no public filing under the Exchange Act, or otherwise, shall be required or shall be voluntarily made by any person until after the expiration of the Lock-Up Period. In addition, with respect to clauses (a)(i) through (a)(v), it shall be a condition to such transfer that no filing under Section 16(a) of the Exchange Act shall be required or voluntarily made during the Lock-Up Period. For purposes of this Lock-Up Agreement, “immediate family” shall mean any relationship by blood, marriage or adoption, not more remote than first cousin. The undersigned now has, and, except as contemplated by clause (a)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93" w:lineRule="exact"/>
        <w:rPr>
          <w:sz w:val="20"/>
          <w:szCs w:val="20"/>
          <w:color w:val="auto"/>
        </w:rPr>
      </w:pPr>
    </w:p>
    <w:p>
      <w:pPr>
        <w:ind w:firstLine="970"/>
        <w:spacing w:after="0" w:line="342" w:lineRule="auto"/>
        <w:rPr>
          <w:sz w:val="20"/>
          <w:szCs w:val="20"/>
          <w:color w:val="auto"/>
        </w:rPr>
      </w:pPr>
      <w:r>
        <w:rPr>
          <w:rFonts w:ascii="Arial" w:cs="Arial" w:eastAsia="Arial" w:hAnsi="Arial"/>
          <w:sz w:val="16"/>
          <w:szCs w:val="16"/>
          <w:color w:val="auto"/>
        </w:rPr>
        <w:t>Notwithstanding anything to the contrary contained herein, this Lock-Up Agreement will automatically terminate and the undersigned will be released from all of his, her or its obligations hereunder upon the earliest to occur, if any, of (i) if, prior to the execution of the Underwriting Agreement, either</w:t>
      </w:r>
    </w:p>
    <w:p>
      <w:pPr>
        <w:sectPr>
          <w:pgSz w:w="11900" w:h="16975" w:orient="portrait"/>
          <w:cols w:equalWidth="0" w:num="1">
            <w:col w:w="11420"/>
          </w:cols>
          <w:pgMar w:left="240" w:top="125" w:right="239" w:bottom="0" w:gutter="0" w:footer="0" w:header="0"/>
        </w:sectPr>
      </w:pPr>
    </w:p>
    <w:bookmarkStart w:id="18" w:name="page19"/>
    <w:bookmarkEnd w:id="18"/>
    <w:p>
      <w:pPr>
        <w:spacing w:after="0" w:line="302" w:lineRule="auto"/>
        <w:rPr>
          <w:sz w:val="20"/>
          <w:szCs w:val="20"/>
          <w:color w:val="auto"/>
        </w:rPr>
      </w:pPr>
      <w:r>
        <w:rPr>
          <w:rFonts w:ascii="Arial" w:cs="Arial" w:eastAsia="Arial" w:hAnsi="Arial"/>
          <w:sz w:val="16"/>
          <w:szCs w:val="16"/>
          <w:color w:val="auto"/>
        </w:rPr>
        <w:t>the Company, on the one hand, or the Representatives, on the other hand, advise(s) the other in writing, that it has determined not to proceed with the Public Offering, (ii) the Company files an application with the SEC to withdraw the registration statement related to the Public Offering, (iii) the Underwriting Agreement is executed but is terminated (other than the provisions thereof which survive termination) prior to payment for and delivery of the shares of Common Stock to be sold thereunder, or (iv) January 31, 2018, in the event that the Underwriting Agreement has not been executed by such date.</w:t>
      </w:r>
    </w:p>
    <w:p>
      <w:pPr>
        <w:spacing w:after="0" w:line="154" w:lineRule="exact"/>
        <w:rPr>
          <w:sz w:val="20"/>
          <w:szCs w:val="20"/>
          <w:color w:val="auto"/>
        </w:rPr>
      </w:pPr>
    </w:p>
    <w:p>
      <w:pPr>
        <w:ind w:right="640" w:firstLine="970"/>
        <w:spacing w:after="0" w:line="277"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Public Offering. The undersigned further understands that this Lock-Up Agreement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irrevocable and shall be binding upon the undersigned’s heirs, legal representatives, successors, and assigns.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31730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7309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06880" cy="3771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06880" cy="377190"/>
                    </a:xfrm>
                    <a:prstGeom prst="rect">
                      <a:avLst/>
                    </a:prstGeom>
                    <a:noFill/>
                  </pic:spPr>
                </pic:pic>
              </a:graphicData>
            </a:graphic>
          </wp:anchor>
        </w:drawing>
      </w:r>
    </w:p>
    <w:p>
      <w:pPr>
        <w:spacing w:after="0" w:line="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goodwinlaw.com</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+1 617 570 1000</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December 13,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Securities Registered under Registration Statement on Form S-3ASR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acted as counsel to Blueprint Medicines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its filing of a Registration Statement on Form S-3ASR (File No. 333-216573) (as amended or supplemented,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on March 9, 2017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registration of the offer by the Company of an indeterminate amount of any combination of securities of the types specified therein. The Registration Statement became effective under the Securities Act upon filing on March 9, 2017. Reference is made to our opinion letter dated March 9, 2017 and included as Exhibit 5.1 to the Registration Statement. We are delivering this supplemental opinion letter in connection with the prospectus supplement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filed on December 13, 2017 by the Company with the Commission pursuant to Rule 424 under the Securities Act. The Prospectus Supplement relates to the offering by the Company of up to 3,703,704 shares of the Company’s Common Stock, par value $0.001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covered by the Registration Statement. The Shares include an option granted to the underwriters of the offering to purchase up to an additional 555,555 Shares. The Shares are being sold to the several underwriters named in, and pursuant to, an underwriting agreement among the Company and such underwriters (the “</w:t>
      </w:r>
      <w:r>
        <w:rPr>
          <w:rFonts w:ascii="Arial" w:cs="Arial" w:eastAsia="Arial" w:hAnsi="Arial"/>
          <w:sz w:val="17"/>
          <w:szCs w:val="17"/>
          <w:u w:val="single" w:color="auto"/>
          <w:color w:val="auto"/>
        </w:rPr>
        <w:t>Underwriting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8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giving our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GOODWIN PROCTER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Announces Proposed Public Offering of Shares of Common Stock</w:t>
      </w:r>
    </w:p>
    <w:p>
      <w:pPr>
        <w:spacing w:after="0" w:line="22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CAMBRIDGE, Mass., December 11, 2017 — Blueprint Medicines Corporation (NASDAQ: BPMC), a leader in discovering and developing targeted kinase medicines for patients with genomically defined diseases, today announced that it has commenced an underwritten public offering of $275,000,000 in shares of its common stock. In addition, Blueprint Medicines expects to grant the underwriters a 30-day option to purchase up to an additional $41,250,000 in shares of its common stock in connection with the public offering. All shares of common stock will be offered by Blueprint Medicines.</w:t>
      </w:r>
    </w:p>
    <w:p>
      <w:pPr>
        <w:spacing w:after="0" w:line="15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Blueprint Medicines expects to use the net proceeds of the offering to fund clinical trials for avapritinib (formerly known as BLU-285) in gastrointestinal stromal tumors and systemic mastocytosis, to fund clinical trials for BLU-554 in hepatocellular carcinoma, to fund clinical trials for BLU-667 in RET-driven cancers, which may include the completion of its current Phase 1 clinical trial for BLU-667 in RET-altered non-small cell lung cancer, medullary thyroid cancer and other advanced solid tumors, to fund IND-enabling studies and Phase 1 clinical trials for BLU-782 in fibrodysplasia ossifcans progressiva, including manufacturing costs, and the balance, if any, to fund working capital and other general corporate purposes. For both avapritinib and BLU-554, the clinical trials may include registration-enabling clinical trials and indication expansion trials. For avapritinib, BLU-554 and BLU-667, the clinical trials may include the development of companion diagnostic tests and manufacturing costs.</w:t>
      </w:r>
    </w:p>
    <w:p>
      <w:pPr>
        <w:spacing w:after="0" w:line="17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Goldman Sachs &amp; Co. LLC, Morgan Stanley and Cowen are acting as joint book-running managers for the offering. Canaccord Genuity is acting as co-manager for the offering. The offering is subject to market and other conditions, and there can be no assurance as to whether or when the offering may be completed or as to the actual size or terms of the offering.</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registration statement on Form S-3 (File No. 333-216573) relating to these securities has been previously filed with the Securities and Exchange Commission (SEC) and has become effective.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offering will be made only by means of a prospectus. A copy of the prospectus supplement relating to the offering will be filed with the SEC and may be obtained, when available, from Goldman Sachs &amp; Co. LLC by mail at 200 West Street, New York, NY 10282, Attention: Prospectus Department, by telephone at (866) 471-2526, or by email at prospectus-ny@ny.email.gs.com, from Morgan Stanley &amp; Co. LLC at 180 Varick Street, 2nd Floor, New York, NY 10014, Attention: Morgan Stanley Prospectus Department and from Cowen and Company, LLC, c/o Broadridge Financial Services, 1155 Long Island Avenue, Edgewood, NY 11717, Attention: Prospectus Department, by telephone at (631) 274-2806, or by fax at (631) 254-7140.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Blueprint Medicines’ anticipated public offering; future expectations, plans and prospects for Blueprint Medicines and the timing of these 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Quarterly Report on Form 10-Q for the fiscal quarter ended September 30, 2017, as filed with the SEC on October 31, 2017, the prospectus supplement related to the public offering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and Investor Relations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617 714 6674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khodous@blueprintmedicines.com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617 844 8236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jbaker@blueprintmedicines.com</w:t>
      </w:r>
    </w:p>
    <w:p>
      <w:pPr>
        <w:sectPr>
          <w:pgSz w:w="11900" w:h="16838" w:orient="portrait"/>
          <w:cols w:equalWidth="0" w:num="1">
            <w:col w:w="11420"/>
          </w:cols>
          <w:pgMar w:left="240" w:top="121" w:right="239" w:bottom="543"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43"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Announces Pricing of Public Offering of Shares of Common Stock</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CAMBRIDGE, Mass., December 12, 2017 </w:t>
      </w:r>
      <w:r>
        <w:rPr>
          <w:rFonts w:ascii="Arial" w:cs="Arial" w:eastAsia="Arial" w:hAnsi="Arial"/>
          <w:sz w:val="18"/>
          <w:szCs w:val="18"/>
          <w:b w:val="1"/>
          <w:bCs w:val="1"/>
          <w:color w:val="auto"/>
        </w:rPr>
        <w:t>—</w:t>
      </w:r>
      <w:r>
        <w:rPr>
          <w:rFonts w:ascii="Arial" w:cs="Arial" w:eastAsia="Arial" w:hAnsi="Arial"/>
          <w:sz w:val="18"/>
          <w:szCs w:val="18"/>
          <w:color w:val="auto"/>
        </w:rPr>
        <w:t xml:space="preserve"> Blueprint Medicines Corporation (NASDAQ: BPMC), a leader in discovering and developing targeted kinase medicines for patients with genomically defined diseases, today announced the pricing of an underwritten public offering of 3,703,704 shares of its common stock at a public offering price of $81.00 per share, before underwriting discounts and commissions. In addition, Blueprint Medicines has granted the underwriters a 30-day option to purchase up to an additional 555,555 shares of its common stock at the public offering price, less underwriting discounts and commissions.</w:t>
      </w:r>
    </w:p>
    <w:p>
      <w:pPr>
        <w:spacing w:after="0" w:line="18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Goldman Sachs &amp; Co. LLC, Morgan Stanley and Cowen are acting as joint book-running managers for the offering. Canaccord Genuity is acting as co-manager for the offering. The offering is expected to close on December 15, 2017, subject to the satisfaction of customary closing conditions.</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registration statement on Form S-3 (File No. 333-216573) relating to these securities has been previously filed with the Securities and Exchange Commission (SEC) and has become effective.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offering will be made only by means of a prospectus. A preliminary prospectus supplement describing the terms of the offering has been filed with the SEC and forms a part of the effective registration statement. A copy of the final prospectus supplement relating to the offering will be filed with the SEC and may be obtained, when available, from Goldman Sachs &amp; Co. LLC by mail at 200 West Street, New York, New York 10282, Attention: Prospectus Department, by telephone at (866) 471-2526, or by email at prospectus-ny@ny.email.gs.com, from Morgan Stanley &amp; Co. LLC, Attention: Morgan Stanley Prospectus Department, 180 Varick Street, 2nd Floor, New York, NY 10014 and from Cowen and Company, LLC, c/o Broadridge Financial Services, 1155 Long Island Avenue, Edgewood, NY 11717, Attention: Prospectus Department, by telephone at (631) 274-2806, or by fax at (631) 254-7140.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Blueprint Medicines’ anticipated public offering; future expectations, plans and prospects for Blueprint Medicines and the timing of these 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Quarterly Report on Form 10-Q for the fiscal quarter ended September 30, 2017, as filed with the SEC on October 31, 2017, the prospectus supplement related to the public offering and other filings that Blueprint Medicines may make with the SEC in the future. Any forward-looking statements contained in this press release represent Blueprint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Medicines’ views only as of the date hereof and should not be relied upon as representing its views as of any subsequent date. Blueprint Medicines explicitly disclaims any obligation to update any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and Investor Relations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617 714 6674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khodous@blueprintmedicines.com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617 844 8236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jbaker@blueprintmedicines.com</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o"/>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2"/>
    </w:lvl>
  </w:abstractNum>
  <w:abstractNum w:abstractNumId="4">
    <w:nsid w:val="2CA88611"/>
    <w:multiLevelType w:val="hybridMultilevel"/>
    <w:lvl w:ilvl="0">
      <w:lvlJc w:val="left"/>
      <w:lvlText w:val="(%1)"/>
      <w:numFmt w:val="lowerLetter"/>
      <w:start w:val="5"/>
    </w:lvl>
  </w:abstractNum>
  <w:abstractNum w:abstractNumId="5">
    <w:nsid w:val="836C40E"/>
    <w:multiLevelType w:val="hybridMultilevel"/>
    <w:lvl w:ilvl="0">
      <w:lvlJc w:val="left"/>
      <w:lvlText w:val="(%1)"/>
      <w:numFmt w:val="lowerLetter"/>
      <w:start w:val="8"/>
    </w:lvl>
  </w:abstractNum>
  <w:abstractNum w:abstractNumId="6">
    <w:nsid w:val="2901D82"/>
    <w:multiLevelType w:val="hybridMultilevel"/>
    <w:lvl w:ilvl="0">
      <w:lvlJc w:val="left"/>
      <w:lvlText w:val="(%1)"/>
      <w:numFmt w:val="lowerRoman"/>
      <w:start w:val="1"/>
    </w:lvl>
  </w:abstractNum>
  <w:abstractNum w:abstractNumId="7">
    <w:nsid w:val="3A95F874"/>
    <w:multiLevelType w:val="hybridMultilevel"/>
    <w:lvl w:ilvl="0">
      <w:lvlJc w:val="left"/>
      <w:lvlText w:val="(%1)"/>
      <w:numFmt w:val="lowerLetter"/>
      <w:start w:val="10"/>
    </w:lvl>
  </w:abstractNum>
  <w:abstractNum w:abstractNumId="8">
    <w:nsid w:val="8138641"/>
    <w:multiLevelType w:val="hybridMultilevel"/>
    <w:lvl w:ilvl="0">
      <w:lvlJc w:val="left"/>
      <w:lvlText w:val="(%1)"/>
      <w:numFmt w:val="lowerLetter"/>
      <w:start w:val="13"/>
    </w:lvl>
  </w:abstractNum>
  <w:abstractNum w:abstractNumId="9">
    <w:nsid w:val="1E7FF521"/>
    <w:multiLevelType w:val="hybridMultilevel"/>
    <w:lvl w:ilvl="0">
      <w:lvlJc w:val="left"/>
      <w:lvlText w:val="(%1)"/>
      <w:numFmt w:val="lowerLetter"/>
      <w:start w:val="18"/>
    </w:lvl>
  </w:abstractNum>
  <w:abstractNum w:abstractNumId="10">
    <w:nsid w:val="7C3DBD3D"/>
    <w:multiLevelType w:val="hybridMultilevel"/>
    <w:lvl w:ilvl="0">
      <w:lvlJc w:val="left"/>
      <w:lvlText w:val="(%1)"/>
      <w:numFmt w:val="lowerLetter"/>
      <w:start w:val="22"/>
    </w:lvl>
  </w:abstractNum>
  <w:abstractNum w:abstractNumId="11">
    <w:nsid w:val="737B8DDC"/>
    <w:multiLevelType w:val="hybridMultilevel"/>
    <w:lvl w:ilvl="0">
      <w:lvlJc w:val="left"/>
      <w:lvlText w:val="(%1)"/>
      <w:numFmt w:val="lowerLetter"/>
      <w:start w:val="24"/>
    </w:lvl>
  </w:abstractNum>
  <w:abstractNum w:abstractNumId="12">
    <w:nsid w:val="6CEAF087"/>
    <w:multiLevelType w:val="hybridMultilevel"/>
    <w:lvl w:ilvl="0">
      <w:lvlJc w:val="left"/>
      <w:lvlText w:val="§§"/>
      <w:numFmt w:val="bullet"/>
      <w:start w:val="1"/>
    </w:lvl>
    <w:lvl w:ilvl="1">
      <w:lvlJc w:val="left"/>
      <w:lvlText w:val="(%2)"/>
      <w:numFmt w:val="lowerLetter"/>
      <w:start w:val="26"/>
    </w:lvl>
  </w:abstractNum>
  <w:abstractNum w:abstractNumId="13">
    <w:nsid w:val="22221A70"/>
    <w:multiLevelType w:val="hybridMultilevel"/>
    <w:lvl w:ilvl="0">
      <w:lvlJc w:val="left"/>
      <w:lvlText w:val="(%1)"/>
      <w:numFmt w:val="lowerLetter"/>
      <w:start w:val="27"/>
    </w:lvl>
  </w:abstractNum>
  <w:abstractNum w:abstractNumId="14">
    <w:nsid w:val="4516DDE9"/>
    <w:multiLevelType w:val="hybridMultilevel"/>
    <w:lvl w:ilvl="0">
      <w:lvlJc w:val="left"/>
      <w:lvlText w:val="%1"/>
      <w:numFmt w:val="lowerLetter"/>
      <w:start w:val="1"/>
    </w:lvl>
    <w:lvl w:ilvl="1">
      <w:lvlJc w:val="left"/>
      <w:lvlText w:val="(%2)"/>
      <w:numFmt w:val="lowerLetter"/>
      <w:start w:val="31"/>
    </w:lvl>
  </w:abstractNum>
  <w:abstractNum w:abstractNumId="15">
    <w:nsid w:val="3006C83E"/>
    <w:multiLevelType w:val="hybridMultilevel"/>
    <w:lvl w:ilvl="0">
      <w:lvlJc w:val="left"/>
      <w:lvlText w:val="(%1)"/>
      <w:numFmt w:val="lowerLetter"/>
      <w:start w:val="35"/>
    </w:lvl>
    <w:lvl w:ilvl="1">
      <w:lvlJc w:val="left"/>
      <w:lvlText w:val="(%2)"/>
      <w:numFmt w:val="lowerLetter"/>
      <w:start w:val="34"/>
    </w:lvl>
  </w:abstractNum>
  <w:abstractNum w:abstractNumId="16">
    <w:nsid w:val="614FD4A1"/>
    <w:multiLevelType w:val="hybridMultilevel"/>
    <w:lvl w:ilvl="0">
      <w:lvlJc w:val="left"/>
      <w:lvlText w:val="(%1)"/>
      <w:numFmt w:val="lowerLetter"/>
      <w:start w:val="35"/>
    </w:lvl>
  </w:abstractNum>
  <w:abstractNum w:abstractNumId="17">
    <w:nsid w:val="419AC241"/>
    <w:multiLevelType w:val="hybridMultilevel"/>
    <w:lvl w:ilvl="0">
      <w:lvlJc w:val="left"/>
      <w:lvlText w:val="%1"/>
      <w:numFmt w:val="lowerRoman"/>
      <w:start w:val="1"/>
    </w:lvl>
    <w:lvl w:ilvl="1">
      <w:lvlJc w:val="left"/>
      <w:lvlText w:val="(%2)"/>
      <w:numFmt w:val="lowerLetter"/>
      <w:start w:val="37"/>
    </w:lvl>
  </w:abstractNum>
  <w:abstractNum w:abstractNumId="18">
    <w:nsid w:val="5577F8E1"/>
    <w:multiLevelType w:val="hybridMultilevel"/>
    <w:lvl w:ilvl="0">
      <w:lvlJc w:val="left"/>
      <w:lvlText w:val="(%1)"/>
      <w:numFmt w:val="lowerRoman"/>
      <w:start w:val="4"/>
    </w:lvl>
    <w:lvl w:ilvl="1">
      <w:lvlJc w:val="left"/>
      <w:lvlText w:val="%2"/>
      <w:numFmt w:val="lowerLetter"/>
      <w:start w:val="1"/>
    </w:lvl>
  </w:abstractNum>
  <w:abstractNum w:abstractNumId="19">
    <w:nsid w:val="440BADFC"/>
    <w:multiLevelType w:val="hybridMultilevel"/>
    <w:lvl w:ilvl="0">
      <w:lvlJc w:val="left"/>
      <w:lvlText w:val="(%1)"/>
      <w:numFmt w:val="lowerLetter"/>
      <w:start w:val="38"/>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decimal"/>
      <w:start w:val="3"/>
    </w:lvl>
  </w:abstractNum>
  <w:abstractNum w:abstractNumId="22">
    <w:nsid w:val="77465F01"/>
    <w:multiLevelType w:val="hybridMultilevel"/>
    <w:lvl w:ilvl="0">
      <w:lvlJc w:val="left"/>
      <w:lvlText w:val="(%1)"/>
      <w:numFmt w:val="lowerLetter"/>
      <w:start w:val="2"/>
    </w:lvl>
  </w:abstractNum>
  <w:abstractNum w:abstractNumId="23">
    <w:nsid w:val="7724C67E"/>
    <w:multiLevelType w:val="hybridMultilevel"/>
    <w:lvl w:ilvl="0">
      <w:lvlJc w:val="left"/>
      <w:lvlText w:val="%1."/>
      <w:numFmt w:val="decimal"/>
      <w:start w:val="5"/>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2"/>
    </w:lvl>
  </w:abstractNum>
  <w:abstractNum w:abstractNumId="26">
    <w:nsid w:val="5E884ADC"/>
    <w:multiLevelType w:val="hybridMultilevel"/>
    <w:lvl w:ilvl="0">
      <w:lvlJc w:val="left"/>
      <w:lvlText w:val="(%1)"/>
      <w:numFmt w:val="lowerLetter"/>
      <w:start w:val="4"/>
    </w:lvl>
  </w:abstractNum>
  <w:abstractNum w:abstractNumId="27">
    <w:nsid w:val="51EAD36B"/>
    <w:multiLevelType w:val="hybridMultilevel"/>
    <w:lvl w:ilvl="0">
      <w:lvlJc w:val="left"/>
      <w:lvlText w:val="(%1)"/>
      <w:numFmt w:val="lowerLetter"/>
      <w:start w:val="7"/>
    </w:lvl>
  </w:abstractNum>
  <w:abstractNum w:abstractNumId="28">
    <w:nsid w:val="2D517796"/>
    <w:multiLevelType w:val="hybridMultilevel"/>
    <w:lvl w:ilvl="0">
      <w:lvlJc w:val="left"/>
      <w:lvlText w:val="(%1)"/>
      <w:numFmt w:val="lowerLetter"/>
      <w:start w:val="8"/>
    </w:lvl>
  </w:abstractNum>
  <w:abstractNum w:abstractNumId="29">
    <w:nsid w:val="580BD78F"/>
    <w:multiLevelType w:val="hybridMultilevel"/>
    <w:lvl w:ilvl="0">
      <w:lvlJc w:val="left"/>
      <w:lvlText w:val="%1."/>
      <w:numFmt w:val="decimal"/>
      <w:start w:val="6"/>
    </w:lvl>
  </w:abstractNum>
  <w:abstractNum w:abstractNumId="30">
    <w:nsid w:val="153EA438"/>
    <w:multiLevelType w:val="hybridMultilevel"/>
    <w:lvl w:ilvl="0">
      <w:lvlJc w:val="left"/>
      <w:lvlText w:val="(%1)"/>
      <w:numFmt w:val="lowerLetter"/>
      <w:start w:val="2"/>
    </w:lvl>
  </w:abstractNum>
  <w:abstractNum w:abstractNumId="31">
    <w:nsid w:val="3855585C"/>
    <w:multiLevelType w:val="hybridMultilevel"/>
    <w:lvl w:ilvl="0">
      <w:lvlJc w:val="left"/>
      <w:lvlText w:val="%1."/>
      <w:numFmt w:val="decimal"/>
      <w:start w:val="7"/>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6"/>
    </w:lvl>
  </w:abstractNum>
  <w:abstractNum w:abstractNumId="34">
    <w:nsid w:val="2A487CB0"/>
    <w:multiLevelType w:val="hybridMultilevel"/>
    <w:lvl w:ilvl="0">
      <w:lvlJc w:val="left"/>
      <w:lvlText w:val="(%1)"/>
      <w:numFmt w:val="lowerLetter"/>
      <w:start w:val="7"/>
    </w:lvl>
  </w:abstractNum>
  <w:abstractNum w:abstractNumId="35">
    <w:nsid w:val="1D4ED43B"/>
    <w:multiLevelType w:val="hybridMultilevel"/>
    <w:lvl w:ilvl="0">
      <w:lvlJc w:val="left"/>
      <w:lvlText w:val="%1"/>
      <w:numFmt w:val="decimal"/>
      <w:start w:val="1"/>
    </w:lvl>
    <w:lvl w:ilvl="1">
      <w:lvlJc w:val="left"/>
      <w:lvlText w:val="(%2)"/>
      <w:numFmt w:val="lowerLetter"/>
      <w:start w:val="8"/>
    </w:lvl>
  </w:abstractNum>
  <w:abstractNum w:abstractNumId="36">
    <w:nsid w:val="725A06FB"/>
    <w:multiLevelType w:val="hybridMultilevel"/>
    <w:lvl w:ilvl="0">
      <w:lvlJc w:val="left"/>
      <w:lvlText w:val="%1."/>
      <w:numFmt w:val="decimal"/>
      <w:start w:val="9"/>
    </w:lvl>
    <w:lvl w:ilvl="1">
      <w:lvlJc w:val="left"/>
      <w:lvlText w:val="%2"/>
      <w:numFmt w:val="lowerLetter"/>
      <w:start w:val="1"/>
    </w:lvl>
  </w:abstractNum>
  <w:abstractNum w:abstractNumId="37">
    <w:nsid w:val="2CD89A32"/>
    <w:multiLevelType w:val="hybridMultilevel"/>
    <w:lvl w:ilvl="0">
      <w:lvlJc w:val="left"/>
      <w:lvlText w:val="(%1)"/>
      <w:numFmt w:val="lowerLetter"/>
      <w:start w:val="2"/>
    </w:lvl>
  </w:abstractNum>
  <w:abstractNum w:abstractNumId="38">
    <w:nsid w:val="57E4CCAF"/>
    <w:multiLevelType w:val="hybridMultilevel"/>
    <w:lvl w:ilvl="0">
      <w:lvlJc w:val="left"/>
      <w:lvlText w:val="%1"/>
      <w:numFmt w:val="lowerLetter"/>
      <w:start w:val="1"/>
    </w:lvl>
    <w:lvl w:ilvl="1">
      <w:lvlJc w:val="left"/>
      <w:lvlText w:val="(%2)"/>
      <w:numFmt w:val="lowerLetter"/>
      <w:start w:val="4"/>
    </w:lvl>
  </w:abstractNum>
  <w:abstractNum w:abstractNumId="39">
    <w:nsid w:val="7A6D8D3C"/>
    <w:multiLevelType w:val="hybridMultilevel"/>
    <w:lvl w:ilvl="0">
      <w:lvlJc w:val="left"/>
      <w:lvlText w:val="(%1)"/>
      <w:numFmt w:val="lowerLetter"/>
      <w:start w:val="1"/>
    </w:lvl>
    <w:lvl w:ilvl="1">
      <w:lvlJc w:val="left"/>
      <w:lvlText w:val="%2"/>
      <w:numFmt w:val="lowerLetter"/>
      <w:start w:val="1"/>
    </w:lvl>
  </w:abstractNum>
  <w:abstractNum w:abstractNumId="40">
    <w:nsid w:val="4B588F54"/>
    <w:multiLevelType w:val="hybridMultilevel"/>
    <w:lvl w:ilvl="0">
      <w:lvlJc w:val="left"/>
      <w:lvlText w:val="(%1)"/>
      <w:numFmt w:val="lowerLetter"/>
      <w:start w:val="5"/>
    </w:lvl>
  </w:abstractNum>
  <w:abstractNum w:abstractNumId="41">
    <w:nsid w:val="542289EC"/>
    <w:multiLevelType w:val="hybridMultilevel"/>
    <w:lvl w:ilvl="0">
      <w:lvlJc w:val="left"/>
      <w:lvlText w:val="%1."/>
      <w:numFmt w:val="decimal"/>
      <w:start w:val="10"/>
    </w:lvl>
  </w:abstractNum>
  <w:abstractNum w:abstractNumId="42">
    <w:nsid w:val="6DE91B18"/>
    <w:multiLevelType w:val="hybridMultilevel"/>
    <w:lvl w:ilvl="0">
      <w:lvlJc w:val="left"/>
      <w:lvlText w:val="(%1)"/>
      <w:numFmt w:val="lowerLetter"/>
      <w:start w:val="2"/>
    </w:lvl>
  </w:abstractNum>
  <w:abstractNum w:abstractNumId="43">
    <w:nsid w:val="38437FDB"/>
    <w:multiLevelType w:val="hybridMultilevel"/>
    <w:lvl w:ilvl="0">
      <w:lvlJc w:val="left"/>
      <w:lvlText w:val="(%1)"/>
      <w:numFmt w:val="lowerLetter"/>
      <w:start w:val="3"/>
    </w:lvl>
  </w:abstractNum>
  <w:abstractNum w:abstractNumId="44">
    <w:nsid w:val="7644A45C"/>
    <w:multiLevelType w:val="hybridMultilevel"/>
    <w:lvl w:ilvl="0">
      <w:lvlJc w:val="left"/>
      <w:lvlText w:val="%1."/>
      <w:numFmt w:val="decimal"/>
      <w:start w:val="11"/>
    </w:lvl>
  </w:abstractNum>
  <w:abstractNum w:abstractNumId="45">
    <w:nsid w:val="32FFF902"/>
    <w:multiLevelType w:val="hybridMultilevel"/>
    <w:lvl w:ilvl="0">
      <w:lvlJc w:val="left"/>
      <w:lvlText w:val="%1."/>
      <w:numFmt w:val="decimal"/>
      <w:start w:val="13"/>
    </w:lvl>
  </w:abstractNum>
  <w:abstractNum w:abstractNumId="46">
    <w:nsid w:val="684A481A"/>
    <w:multiLevelType w:val="hybridMultilevel"/>
    <w:lvl w:ilvl="0">
      <w:lvlJc w:val="left"/>
      <w:lvlText w:val="%1."/>
      <w:numFmt w:val="decimal"/>
      <w:start w:val="14"/>
    </w:lvl>
  </w:abstractNum>
  <w:abstractNum w:abstractNumId="47">
    <w:nsid w:val="579478FE"/>
    <w:multiLevelType w:val="hybridMultilevel"/>
    <w:lvl w:ilvl="0">
      <w:lvlJc w:val="left"/>
      <w:lvlText w:val="%1."/>
      <w:numFmt w:val="decimal"/>
      <w:start w:val="15"/>
    </w:lvl>
  </w:abstractNum>
  <w:abstractNum w:abstractNumId="48">
    <w:nsid w:val="749ABB43"/>
    <w:multiLevelType w:val="hybridMultilevel"/>
    <w:lvl w:ilvl="0">
      <w:lvlJc w:val="left"/>
      <w:lvlText w:val="%1."/>
      <w:numFmt w:val="decimal"/>
      <w:start w:val="19"/>
    </w:lvl>
  </w:abstractNum>
  <w:abstractNum w:abstractNumId="49">
    <w:nsid w:val="3DC240FB"/>
    <w:multiLevelType w:val="hybridMultilevel"/>
    <w:lvl w:ilvl="0">
      <w:lvlJc w:val="left"/>
      <w:lvlText w:val="%1."/>
      <w:numFmt w:val="decimal"/>
      <w:start w:val="21"/>
    </w:lvl>
  </w:abstractNum>
  <w:abstractNum w:abstractNumId="50">
    <w:nsid w:val="1BA026F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2019-12-29T02:08:01Z</dcterms:created>
  <dcterms:modified xsi:type="dcterms:W3CDTF">2019-12-29T02:08:01Z</dcterms:modified>
</cp:coreProperties>
</file>