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38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3821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06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Dorsch Marion</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500" w:type="dxa"/>
            <w:vAlign w:val="bottom"/>
            <w:tcBorders>
              <w:top w:val="single" w:sz="8" w:color="0000EE"/>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11/21/2017</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38 SIDNEY STREET, SUITE 200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26"/>
        <w:spacing w:after="0"/>
        <w:rPr>
          <w:sz w:val="20"/>
          <w:szCs w:val="20"/>
          <w:color w:val="auto"/>
        </w:rPr>
      </w:pPr>
      <w:r>
        <w:rPr>
          <w:rFonts w:ascii="Arial" w:cs="Arial" w:eastAsia="Arial" w:hAnsi="Arial"/>
          <w:sz w:val="17"/>
          <w:szCs w:val="17"/>
          <w:color w:val="0000FF"/>
        </w:rPr>
        <w:t>Chief Scientific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106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jc w:val="center"/>
              <w:ind w:left="60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6"/>
              <w:spacing w:after="0"/>
              <w:rPr>
                <w:sz w:val="20"/>
                <w:szCs w:val="20"/>
                <w:color w:val="auto"/>
              </w:rPr>
            </w:pPr>
            <w:r>
              <w:rPr>
                <w:rFonts w:ascii="Arial" w:cs="Arial" w:eastAsia="Arial" w:hAnsi="Arial"/>
                <w:sz w:val="17"/>
                <w:szCs w:val="17"/>
                <w:color w:val="0000FF"/>
                <w:w w:val="91"/>
              </w:rPr>
              <w:t>11/21/2017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92"/>
              </w:rPr>
              <w:t>18,334</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37.11</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18,334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6"/>
              <w:spacing w:after="0"/>
              <w:rPr>
                <w:sz w:val="20"/>
                <w:szCs w:val="20"/>
                <w:color w:val="auto"/>
              </w:rPr>
            </w:pPr>
            <w:r>
              <w:rPr>
                <w:rFonts w:ascii="Arial" w:cs="Arial" w:eastAsia="Arial" w:hAnsi="Arial"/>
                <w:sz w:val="17"/>
                <w:szCs w:val="17"/>
                <w:color w:val="0000FF"/>
                <w:w w:val="91"/>
              </w:rPr>
              <w:t>11/21/2017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93"/>
              </w:rPr>
              <w:t>1,601</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66.81</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16,733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6"/>
              <w:spacing w:after="0"/>
              <w:rPr>
                <w:sz w:val="20"/>
                <w:szCs w:val="20"/>
                <w:color w:val="auto"/>
              </w:rPr>
            </w:pPr>
            <w:r>
              <w:rPr>
                <w:rFonts w:ascii="Arial" w:cs="Arial" w:eastAsia="Arial" w:hAnsi="Arial"/>
                <w:sz w:val="17"/>
                <w:szCs w:val="17"/>
                <w:color w:val="0000FF"/>
                <w:w w:val="91"/>
              </w:rPr>
              <w:t>11/21/2017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93"/>
              </w:rPr>
              <w:t>4,750</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65.81</w:t>
            </w:r>
            <w:r>
              <w:rPr>
                <w:rFonts w:ascii="Arial" w:cs="Arial" w:eastAsia="Arial" w:hAnsi="Arial"/>
                <w:sz w:val="22"/>
                <w:szCs w:val="22"/>
                <w:color w:val="008000"/>
                <w:w w:val="88"/>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11,983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6"/>
              <w:spacing w:after="0"/>
              <w:rPr>
                <w:sz w:val="20"/>
                <w:szCs w:val="20"/>
                <w:color w:val="auto"/>
              </w:rPr>
            </w:pPr>
            <w:r>
              <w:rPr>
                <w:rFonts w:ascii="Arial" w:cs="Arial" w:eastAsia="Arial" w:hAnsi="Arial"/>
                <w:sz w:val="17"/>
                <w:szCs w:val="17"/>
                <w:color w:val="0000FF"/>
                <w:w w:val="91"/>
              </w:rPr>
              <w:t>11/21/2017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92"/>
              </w:rPr>
              <w:t>11,483</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65.16</w:t>
            </w:r>
            <w:r>
              <w:rPr>
                <w:rFonts w:ascii="Arial" w:cs="Arial" w:eastAsia="Arial" w:hAnsi="Arial"/>
                <w:sz w:val="22"/>
                <w:szCs w:val="22"/>
                <w:color w:val="008000"/>
                <w:w w:val="88"/>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8"/>
              </w:rPr>
              <w:t>500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6"/>
              <w:spacing w:after="0"/>
              <w:rPr>
                <w:sz w:val="20"/>
                <w:szCs w:val="20"/>
                <w:color w:val="auto"/>
              </w:rPr>
            </w:pPr>
            <w:r>
              <w:rPr>
                <w:rFonts w:ascii="Arial" w:cs="Arial" w:eastAsia="Arial" w:hAnsi="Arial"/>
                <w:sz w:val="17"/>
                <w:szCs w:val="17"/>
                <w:color w:val="0000FF"/>
                <w:w w:val="91"/>
              </w:rPr>
              <w:t>11/21/2017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2"/>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ind w:left="107"/>
              <w:spacing w:after="0"/>
              <w:rPr>
                <w:sz w:val="20"/>
                <w:szCs w:val="20"/>
                <w:color w:val="auto"/>
              </w:rPr>
            </w:pPr>
            <w:r>
              <w:rPr>
                <w:rFonts w:ascii="Arial" w:cs="Arial" w:eastAsia="Arial" w:hAnsi="Arial"/>
                <w:sz w:val="17"/>
                <w:szCs w:val="17"/>
                <w:color w:val="0000FF"/>
                <w:w w:val="98"/>
              </w:rPr>
              <w:t>500</w:t>
            </w:r>
          </w:p>
        </w:tc>
        <w:tc>
          <w:tcPr>
            <w:tcW w:w="68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64.44</w:t>
            </w:r>
            <w:r>
              <w:rPr>
                <w:rFonts w:ascii="Arial" w:cs="Arial" w:eastAsia="Arial" w:hAnsi="Arial"/>
                <w:sz w:val="22"/>
                <w:szCs w:val="22"/>
                <w:color w:val="008000"/>
                <w:w w:val="88"/>
                <w:vertAlign w:val="superscript"/>
              </w:rPr>
              <w:t>(6)</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37.11</w:t>
            </w:r>
          </w:p>
        </w:tc>
        <w:tc>
          <w:tcPr>
            <w:tcW w:w="1080" w:type="dxa"/>
            <w:vAlign w:val="bottom"/>
          </w:tcPr>
          <w:p>
            <w:pPr>
              <w:ind w:left="280"/>
              <w:spacing w:after="0"/>
              <w:rPr>
                <w:sz w:val="20"/>
                <w:szCs w:val="20"/>
                <w:color w:val="auto"/>
              </w:rPr>
            </w:pPr>
            <w:r>
              <w:rPr>
                <w:rFonts w:ascii="Arial" w:cs="Arial" w:eastAsia="Arial" w:hAnsi="Arial"/>
                <w:sz w:val="13"/>
                <w:szCs w:val="13"/>
                <w:color w:val="0000FF"/>
              </w:rPr>
              <w:t>11/21/2017</w:t>
            </w:r>
          </w:p>
        </w:tc>
        <w:tc>
          <w:tcPr>
            <w:tcW w:w="1180" w:type="dxa"/>
            <w:vAlign w:val="bottom"/>
          </w:tcPr>
          <w:p>
            <w:pPr>
              <w:spacing w:after="0"/>
              <w:rPr>
                <w:sz w:val="17"/>
                <w:szCs w:val="17"/>
                <w:color w:val="auto"/>
              </w:rPr>
            </w:pPr>
          </w:p>
        </w:tc>
        <w:tc>
          <w:tcPr>
            <w:tcW w:w="640" w:type="dxa"/>
            <w:vAlign w:val="bottom"/>
            <w:gridSpan w:val="2"/>
          </w:tcPr>
          <w:p>
            <w:pPr>
              <w:ind w:left="100"/>
              <w:spacing w:after="0" w:line="199"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0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Arial" w:cs="Arial" w:eastAsia="Arial" w:hAnsi="Arial"/>
                <w:sz w:val="13"/>
                <w:szCs w:val="13"/>
                <w:color w:val="0000FF"/>
              </w:rPr>
              <w:t>18,334</w:t>
            </w: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(7)</w:t>
            </w:r>
          </w:p>
        </w:tc>
        <w:tc>
          <w:tcPr>
            <w:tcW w:w="740" w:type="dxa"/>
            <w:vAlign w:val="bottom"/>
          </w:tcPr>
          <w:p>
            <w:pPr>
              <w:ind w:left="40"/>
              <w:spacing w:after="0"/>
              <w:rPr>
                <w:sz w:val="20"/>
                <w:szCs w:val="20"/>
                <w:color w:val="auto"/>
              </w:rPr>
            </w:pPr>
            <w:r>
              <w:rPr>
                <w:rFonts w:ascii="Arial" w:cs="Arial" w:eastAsia="Arial" w:hAnsi="Arial"/>
                <w:sz w:val="13"/>
                <w:szCs w:val="13"/>
                <w:color w:val="0000FF"/>
              </w:rPr>
              <w:t>11/21/2026</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18,334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91,666</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jc w:val="right"/>
              <w:ind w:right="17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exercise reported on this Form 4 was effected pursuant to a trading plan adopted on June 22, 2017 pursuant to Rule 10b5-1 under the Securities Exchange Act of 1934, as amended (the "Exchange Act").</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trading plan adopted on June 22, 2017 pursuant to Rule 10b5-1 under the Exchange Act.</w:t>
      </w:r>
    </w:p>
    <w:p>
      <w:pPr>
        <w:spacing w:after="0" w:line="51" w:lineRule="exact"/>
        <w:rPr>
          <w:rFonts w:ascii="Arial" w:cs="Arial" w:eastAsia="Arial" w:hAnsi="Arial"/>
          <w:sz w:val="13"/>
          <w:szCs w:val="13"/>
          <w:color w:val="008000"/>
        </w:rPr>
      </w:pPr>
    </w:p>
    <w:p>
      <w:pPr>
        <w:ind w:left="40" w:right="1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$66.51 to $67.49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3 through 6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$65.44 to $66.42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$64.54 to $65.42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$64.42 to $64.51 per share.</w:t>
      </w:r>
    </w:p>
    <w:p>
      <w:pPr>
        <w:spacing w:after="0" w:line="51"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November 21, 2016. This option vested with respect to 25% of the shares underlying the option on November 21, 2017 and vests as to an additional 1/48th of the shares underlying the option each month thereafter.</w:t>
      </w:r>
    </w:p>
    <w:p>
      <w:pPr>
        <w:spacing w:after="0" w:line="2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11/22/2017</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0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46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2019-12-04T02:22:22Z</dcterms:created>
  <dcterms:modified xsi:type="dcterms:W3CDTF">2019-12-04T02:22:22Z</dcterms:modified>
</cp:coreProperties>
</file>