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Goldberg Mark Alan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</w:tcPr>
          <w:p>
            <w:pPr>
              <w:ind w:left="80"/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5,454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5,454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3,562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ind w:righ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ind w:righ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ind w:righ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19.53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5,454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06/23/2026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5,454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Effected pursuant to a trading plan adopted on August 5, 2020 pursuant to Rule 10b5-1 under the Securities Exchange Act of 1934, as amended.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This option was granted on June 23, 2016 and is fully vested as of the date hereof.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Ariel Hurley, Attorney-in-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10/09/2020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-4561205</wp:posOffset>
            </wp:positionV>
            <wp:extent cx="7033260" cy="3504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2475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2020-10-09T15:06:55Z</dcterms:created>
  <dcterms:modified xsi:type="dcterms:W3CDTF">2020-10-09T15:06:55Z</dcterms:modified>
</cp:coreProperties>
</file>