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374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7400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2580" w:type="dxa"/>
            <w:vAlign w:val="bottom"/>
            <w:gridSpan w:val="3"/>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260" w:type="dxa"/>
            <w:vAlign w:val="bottom"/>
            <w:vMerge w:val="restart"/>
          </w:tcPr>
          <w:p>
            <w:pPr>
              <w:spacing w:after="0"/>
              <w:rPr>
                <w:rFonts w:ascii="Arial" w:cs="Arial" w:eastAsia="Arial" w:hAnsi="Arial"/>
                <w:sz w:val="21"/>
                <w:szCs w:val="21"/>
                <w:color w:val="0000EE"/>
                <w:w w:val="94"/>
              </w:rPr>
            </w:pPr>
            <w:hyperlink r:id="rId12">
              <w:r>
                <w:rPr>
                  <w:rFonts w:ascii="Arial" w:cs="Arial" w:eastAsia="Arial" w:hAnsi="Arial"/>
                  <w:sz w:val="21"/>
                  <w:szCs w:val="21"/>
                  <w:color w:val="0000EE"/>
                  <w:w w:val="94"/>
                </w:rPr>
                <w:t>Haviland Kate</w:t>
              </w:r>
            </w:hyperlink>
          </w:p>
        </w:tc>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80" w:type="dxa"/>
            <w:vAlign w:val="bottom"/>
            <w:gridSpan w:val="3"/>
          </w:tcPr>
          <w:p>
            <w:pPr>
              <w:ind w:left="80"/>
              <w:spacing w:after="0" w:line="18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260" w:type="dxa"/>
            <w:vAlign w:val="bottom"/>
            <w:tcBorders>
              <w:bottom w:val="single" w:sz="8" w:color="0000EE"/>
            </w:tcBorders>
            <w:vMerge w:val="continue"/>
          </w:tcPr>
          <w:p>
            <w:pPr>
              <w:spacing w:after="0"/>
              <w:rPr>
                <w:sz w:val="5"/>
                <w:szCs w:val="5"/>
                <w:color w:val="auto"/>
              </w:rPr>
            </w:pPr>
          </w:p>
        </w:tc>
        <w:tc>
          <w:tcPr>
            <w:tcW w:w="12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40" w:type="dxa"/>
            <w:vAlign w:val="bottom"/>
            <w:tcBorders>
              <w:bottom w:val="single" w:sz="8" w:color="2C2C2C"/>
            </w:tcBorders>
          </w:tcPr>
          <w:p>
            <w:pPr>
              <w:spacing w:after="0"/>
              <w:rPr>
                <w:sz w:val="2"/>
                <w:szCs w:val="2"/>
                <w:color w:val="auto"/>
              </w:rPr>
            </w:pPr>
          </w:p>
        </w:tc>
        <w:tc>
          <w:tcPr>
            <w:tcW w:w="16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20"/>
              <w:spacing w:after="0"/>
              <w:rPr>
                <w:sz w:val="20"/>
                <w:szCs w:val="20"/>
                <w:color w:val="auto"/>
              </w:rPr>
            </w:pPr>
            <w:r>
              <w:rPr>
                <w:rFonts w:ascii="Arial" w:cs="Arial" w:eastAsia="Arial" w:hAnsi="Arial"/>
                <w:sz w:val="13"/>
                <w:szCs w:val="13"/>
                <w:color w:val="auto"/>
              </w:rPr>
              <w:t>(First)</w:t>
            </w:r>
          </w:p>
        </w:tc>
        <w:tc>
          <w:tcPr>
            <w:tcW w:w="126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3800" w:type="dxa"/>
            <w:vAlign w:val="bottom"/>
            <w:gridSpan w:val="3"/>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2400" w:type="dxa"/>
            <w:vAlign w:val="bottom"/>
            <w:gridSpan w:val="3"/>
          </w:tcPr>
          <w:p>
            <w:pPr>
              <w:ind w:left="160"/>
              <w:spacing w:after="0"/>
              <w:rPr>
                <w:sz w:val="20"/>
                <w:szCs w:val="20"/>
                <w:color w:val="auto"/>
              </w:rPr>
            </w:pPr>
            <w:r>
              <w:rPr>
                <w:rFonts w:ascii="Arial" w:cs="Arial" w:eastAsia="Arial" w:hAnsi="Arial"/>
                <w:sz w:val="17"/>
                <w:szCs w:val="17"/>
                <w:color w:val="0000FF"/>
              </w:rPr>
              <w:t>03/14/2017</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38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38 SIDNEY STREET, SUITE 200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46"/>
        <w:spacing w:after="0"/>
        <w:rPr>
          <w:sz w:val="20"/>
          <w:szCs w:val="20"/>
          <w:color w:val="auto"/>
        </w:rPr>
      </w:pPr>
      <w:r>
        <w:rPr>
          <w:rFonts w:ascii="Arial" w:cs="Arial" w:eastAsia="Arial" w:hAnsi="Arial"/>
          <w:sz w:val="17"/>
          <w:szCs w:val="17"/>
          <w:color w:val="0000FF"/>
        </w:rPr>
        <w:t>Chief Business Officer</w:t>
      </w:r>
    </w:p>
    <w:p>
      <w:pPr>
        <w:spacing w:after="0" w:line="408" w:lineRule="exact"/>
        <w:rPr>
          <w:sz w:val="20"/>
          <w:szCs w:val="20"/>
          <w:color w:val="auto"/>
        </w:rPr>
      </w:pPr>
    </w:p>
    <w:p>
      <w:pPr>
        <w:sectPr>
          <w:pgSz w:w="11900" w:h="16838" w:orient="portrait"/>
          <w:cols w:equalWidth="0" w:num="2">
            <w:col w:w="7980" w:space="74"/>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7"/>
          </w:tcPr>
          <w:p>
            <w:pPr>
              <w:jc w:val="center"/>
              <w:ind w:right="35"/>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3"/>
          </w:tcPr>
          <w:p>
            <w:pPr>
              <w:jc w:val="right"/>
              <w:ind w:right="579"/>
              <w:spacing w:after="0" w:line="180" w:lineRule="exact"/>
              <w:rPr>
                <w:sz w:val="20"/>
                <w:szCs w:val="20"/>
                <w:color w:val="auto"/>
              </w:rPr>
            </w:pPr>
            <w:r>
              <w:rPr>
                <w:rFonts w:ascii="Arial" w:cs="Arial" w:eastAsia="Arial" w:hAnsi="Arial"/>
                <w:sz w:val="17"/>
                <w:szCs w:val="17"/>
                <w:color w:val="0000FF"/>
              </w:rPr>
              <w:t>03/16/2017</w:t>
            </w: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02139</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7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816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6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3"/>
          </w:tcPr>
          <w:p>
            <w:pPr>
              <w:ind w:left="760"/>
              <w:spacing w:after="0" w:line="134"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03/14/2017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1"/>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96"/>
              </w:rPr>
              <w:t>12,714</w:t>
            </w:r>
          </w:p>
        </w:tc>
        <w:tc>
          <w:tcPr>
            <w:tcW w:w="680" w:type="dxa"/>
            <w:vAlign w:val="bottom"/>
            <w:tcBorders>
              <w:bottom w:val="single" w:sz="8" w:color="2C2C2C"/>
            </w:tcBorders>
          </w:tcPr>
          <w:p>
            <w:pPr>
              <w:jc w:val="right"/>
              <w:ind w:right="155"/>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16.28</w:t>
            </w:r>
          </w:p>
        </w:tc>
        <w:tc>
          <w:tcPr>
            <w:tcW w:w="1340" w:type="dxa"/>
            <w:vAlign w:val="bottom"/>
            <w:tcBorders>
              <w:bottom w:val="single" w:sz="8" w:color="2C2C2C"/>
            </w:tcBorders>
            <w:gridSpan w:val="3"/>
          </w:tcPr>
          <w:p>
            <w:pPr>
              <w:jc w:val="right"/>
              <w:ind w:right="337"/>
              <w:spacing w:after="0"/>
              <w:rPr>
                <w:sz w:val="20"/>
                <w:szCs w:val="20"/>
                <w:color w:val="auto"/>
              </w:rPr>
            </w:pPr>
            <w:r>
              <w:rPr>
                <w:rFonts w:ascii="Arial" w:cs="Arial" w:eastAsia="Arial" w:hAnsi="Arial"/>
                <w:sz w:val="17"/>
                <w:szCs w:val="17"/>
                <w:color w:val="0000FF"/>
              </w:rPr>
              <w:t>12,714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03/14/2017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1"/>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(2)</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96"/>
              </w:rPr>
              <w:t>12,714</w:t>
            </w:r>
          </w:p>
        </w:tc>
        <w:tc>
          <w:tcPr>
            <w:tcW w:w="680" w:type="dxa"/>
            <w:vAlign w:val="bottom"/>
            <w:tcBorders>
              <w:bottom w:val="single" w:sz="8" w:color="2C2C2C"/>
            </w:tcBorders>
          </w:tcPr>
          <w:p>
            <w:pPr>
              <w:jc w:val="right"/>
              <w:ind w:right="155"/>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40.01</w:t>
            </w:r>
            <w:r>
              <w:rPr>
                <w:rFonts w:ascii="Arial" w:cs="Arial" w:eastAsia="Arial" w:hAnsi="Arial"/>
                <w:sz w:val="22"/>
                <w:szCs w:val="22"/>
                <w:color w:val="008000"/>
                <w:w w:val="91"/>
                <w:vertAlign w:val="superscript"/>
              </w:rPr>
              <w:t>(3)</w:t>
            </w:r>
          </w:p>
        </w:tc>
        <w:tc>
          <w:tcPr>
            <w:tcW w:w="5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537"/>
              <w:spacing w:after="0"/>
              <w:rPr>
                <w:sz w:val="20"/>
                <w:szCs w:val="20"/>
                <w:color w:val="auto"/>
              </w:rPr>
            </w:pPr>
            <w:r>
              <w:rPr>
                <w:rFonts w:ascii="Arial" w:cs="Arial" w:eastAsia="Arial" w:hAnsi="Arial"/>
                <w:sz w:val="17"/>
                <w:szCs w:val="17"/>
                <w:color w:val="0000FF"/>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360" w:type="dxa"/>
            <w:vAlign w:val="bottom"/>
            <w:tcBorders>
              <w:top w:val="single" w:sz="8" w:color="2C2C2C"/>
            </w:tcBorders>
            <w:gridSpan w:val="13"/>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1"/>
          </w:tcPr>
          <w:p>
            <w:pPr>
              <w:jc w:val="center"/>
              <w:ind w:left="48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ind w:left="10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16.28</w:t>
            </w:r>
          </w:p>
        </w:tc>
        <w:tc>
          <w:tcPr>
            <w:tcW w:w="1080" w:type="dxa"/>
            <w:vAlign w:val="bottom"/>
          </w:tcPr>
          <w:p>
            <w:pPr>
              <w:ind w:left="260"/>
              <w:spacing w:after="0"/>
              <w:rPr>
                <w:sz w:val="20"/>
                <w:szCs w:val="20"/>
                <w:color w:val="auto"/>
              </w:rPr>
            </w:pPr>
            <w:r>
              <w:rPr>
                <w:rFonts w:ascii="Arial" w:cs="Arial" w:eastAsia="Arial" w:hAnsi="Arial"/>
                <w:sz w:val="13"/>
                <w:szCs w:val="13"/>
                <w:color w:val="0000FF"/>
              </w:rPr>
              <w:t>03/14/2017</w:t>
            </w:r>
          </w:p>
        </w:tc>
        <w:tc>
          <w:tcPr>
            <w:tcW w:w="1180" w:type="dxa"/>
            <w:vAlign w:val="bottom"/>
          </w:tcPr>
          <w:p>
            <w:pPr>
              <w:spacing w:after="0"/>
              <w:rPr>
                <w:sz w:val="18"/>
                <w:szCs w:val="18"/>
                <w:color w:val="auto"/>
              </w:rPr>
            </w:pPr>
          </w:p>
        </w:tc>
        <w:tc>
          <w:tcPr>
            <w:tcW w:w="640" w:type="dxa"/>
            <w:vAlign w:val="bottom"/>
            <w:gridSpan w:val="2"/>
          </w:tcPr>
          <w:p>
            <w:pPr>
              <w:ind w:left="100"/>
              <w:spacing w:after="0" w:line="212"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200" w:type="dxa"/>
            <w:vAlign w:val="bottom"/>
          </w:tcPr>
          <w:p>
            <w:pPr>
              <w:spacing w:after="0"/>
              <w:rPr>
                <w:sz w:val="18"/>
                <w:szCs w:val="18"/>
                <w:color w:val="auto"/>
              </w:rPr>
            </w:pPr>
          </w:p>
        </w:tc>
        <w:tc>
          <w:tcPr>
            <w:tcW w:w="860" w:type="dxa"/>
            <w:vAlign w:val="bottom"/>
          </w:tcPr>
          <w:p>
            <w:pPr>
              <w:ind w:left="380"/>
              <w:spacing w:after="0"/>
              <w:rPr>
                <w:sz w:val="20"/>
                <w:szCs w:val="20"/>
                <w:color w:val="auto"/>
              </w:rPr>
            </w:pPr>
            <w:r>
              <w:rPr>
                <w:rFonts w:ascii="Arial" w:cs="Arial" w:eastAsia="Arial" w:hAnsi="Arial"/>
                <w:sz w:val="13"/>
                <w:szCs w:val="13"/>
                <w:color w:val="0000FF"/>
              </w:rPr>
              <w:t>12,714</w:t>
            </w: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(4)</w:t>
            </w:r>
          </w:p>
        </w:tc>
        <w:tc>
          <w:tcPr>
            <w:tcW w:w="740" w:type="dxa"/>
            <w:vAlign w:val="bottom"/>
          </w:tcPr>
          <w:p>
            <w:pPr>
              <w:ind w:left="40"/>
              <w:spacing w:after="0"/>
              <w:rPr>
                <w:sz w:val="20"/>
                <w:szCs w:val="20"/>
                <w:color w:val="auto"/>
              </w:rPr>
            </w:pPr>
            <w:r>
              <w:rPr>
                <w:rFonts w:ascii="Arial" w:cs="Arial" w:eastAsia="Arial" w:hAnsi="Arial"/>
                <w:sz w:val="13"/>
                <w:szCs w:val="13"/>
                <w:color w:val="0000FF"/>
              </w:rPr>
              <w:t>02/01/2026</w:t>
            </w: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12,714</w:t>
            </w:r>
          </w:p>
        </w:tc>
        <w:tc>
          <w:tcPr>
            <w:tcW w:w="60" w:type="dxa"/>
            <w:vAlign w:val="bottom"/>
          </w:tcPr>
          <w:p>
            <w:pPr>
              <w:spacing w:after="0"/>
              <w:rPr>
                <w:sz w:val="18"/>
                <w:szCs w:val="18"/>
                <w:color w:val="auto"/>
              </w:rPr>
            </w:pPr>
          </w:p>
        </w:tc>
        <w:tc>
          <w:tcPr>
            <w:tcW w:w="6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000" w:type="dxa"/>
            <w:vAlign w:val="bottom"/>
            <w:gridSpan w:val="2"/>
          </w:tcPr>
          <w:p>
            <w:pPr>
              <w:ind w:left="240"/>
              <w:spacing w:after="0" w:line="212" w:lineRule="exact"/>
              <w:rPr>
                <w:sz w:val="20"/>
                <w:szCs w:val="20"/>
                <w:color w:val="auto"/>
              </w:rPr>
            </w:pPr>
            <w:r>
              <w:rPr>
                <w:rFonts w:ascii="Arial" w:cs="Arial" w:eastAsia="Arial" w:hAnsi="Arial"/>
                <w:sz w:val="13"/>
                <w:szCs w:val="13"/>
                <w:color w:val="0000FF"/>
              </w:rPr>
              <w:t>127,286</w:t>
            </w:r>
            <w:r>
              <w:rPr>
                <w:rFonts w:ascii="Arial" w:cs="Arial" w:eastAsia="Arial" w:hAnsi="Arial"/>
                <w:sz w:val="22"/>
                <w:szCs w:val="22"/>
                <w:color w:val="008000"/>
                <w:vertAlign w:val="superscript"/>
              </w:rPr>
              <w:t>(5)</w:t>
            </w: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gridSpan w:val="2"/>
          </w:tcPr>
          <w:p>
            <w:pPr>
              <w:ind w:left="60"/>
              <w:spacing w:after="0" w:line="95"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jc w:val="right"/>
              <w:ind w:right="175"/>
              <w:spacing w:after="0" w:line="95"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exercise reported on this Form 4 was effected pursuant to a trading plan adopted pursuant to Rule 10b5-1 under the Securities Exchange Act of 1934, as amended (the "Exchange Act").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trading plan adopted pursuant to Rule 10b5-1 under the Exchange Act.</w:t>
      </w:r>
    </w:p>
    <w:p>
      <w:pPr>
        <w:spacing w:after="0" w:line="51" w:lineRule="exact"/>
        <w:rPr>
          <w:rFonts w:ascii="Arial" w:cs="Arial" w:eastAsia="Arial" w:hAnsi="Arial"/>
          <w:sz w:val="13"/>
          <w:szCs w:val="13"/>
          <w:color w:val="008000"/>
        </w:rPr>
      </w:pPr>
    </w:p>
    <w:p>
      <w:pPr>
        <w:ind w:left="40" w:right="18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These shares were sold in multiple transactions at prices ranging from $39.77 to $40.27 per share. The Reporting Person undertakes to provide to the Issuer, any security holder of the Issuer or the staff of the Securities and Exchange Commission, upon request, full information regarding the number of shares sold at each separate price within the range.</w:t>
      </w:r>
    </w:p>
    <w:p>
      <w:pPr>
        <w:ind w:left="40" w:right="3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February 1, 2016. This option vests with respect to 25% of the shares underlying the option on January 5, 2017 and as to an additional 1/48th of the shares underlying the option each month thereafter.</w:t>
      </w:r>
    </w:p>
    <w:p>
      <w:pPr>
        <w:spacing w:after="0" w:line="9" w:lineRule="exact"/>
        <w:rPr>
          <w:rFonts w:ascii="Arial" w:cs="Arial" w:eastAsia="Arial" w:hAnsi="Arial"/>
          <w:sz w:val="13"/>
          <w:szCs w:val="13"/>
          <w:color w:val="008000"/>
        </w:rPr>
      </w:pPr>
    </w:p>
    <w:p>
      <w:pPr>
        <w:ind w:left="40" w:right="24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Table II, column 9 of the Form 4 filed on March 16, 2017 (the "Original Form 4") inadvertently omitted an aggregate of 40,000 shares underlying stock options, which the Reporting Person previously reported on a Form 4 filed on February 21, 2017. This amendment is being filed to increase the aggregate number of shares underlying derivative securities reported in Table II, column 9 of the Original Form 4 by 40,000 shares.</w:t>
      </w:r>
    </w:p>
    <w:p>
      <w:pPr>
        <w:spacing w:after="0" w:line="3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Christopher Frankenfield,</w:t>
            </w:r>
          </w:p>
        </w:tc>
        <w:tc>
          <w:tcPr>
            <w:tcW w:w="28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06/30/2017</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Arial" w:cs="Arial" w:eastAsia="Arial" w:hAnsi="Arial"/>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3022"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2019-12-04T02:39:49Z</dcterms:created>
  <dcterms:modified xsi:type="dcterms:W3CDTF">2019-12-04T02:39:49Z</dcterms:modified>
</cp:coreProperties>
</file>