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2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2"/>
                </w:rPr>
                <w:t>Demetri George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</w:tcPr>
          <w:p>
            <w:pPr>
              <w:ind w:left="60"/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BPMC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BLUEPRINT MEDICINES CORPORATION</w:t>
            </w: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 SIDNEY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40" w:type="dxa"/>
            <w:vAlign w:val="bottom"/>
            <w:gridSpan w:val="1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06/19/2020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1,312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80" w:type="dxa"/>
            <w:vAlign w:val="bottom"/>
            <w:gridSpan w:val="15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1,312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Each restricted stock unit represents a contingent right to receive one share of the Issuer's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2. On June 19, 2019, the reporting person was granted 1,312 restricted stock units. These restricted stock units are fully vested.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06/23/2020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-4258310</wp:posOffset>
            </wp:positionV>
            <wp:extent cx="7033260" cy="32029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20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39147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2020-06-23T15:19:59Z</dcterms:created>
  <dcterms:modified xsi:type="dcterms:W3CDTF">2020-06-23T15:19:59Z</dcterms:modified>
</cp:coreProperties>
</file>