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Borisy Alexis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320" w:type="dxa"/>
            <w:vAlign w:val="bottom"/>
            <w:gridSpan w:val="3"/>
          </w:tcPr>
          <w:p>
            <w:pPr>
              <w:ind w:left="80"/>
              <w:spacing w:after="0"/>
              <w:rPr>
                <w:sz w:val="20"/>
                <w:szCs w:val="20"/>
                <w:color w:val="auto"/>
              </w:rPr>
            </w:pPr>
            <w:r>
              <w:rPr>
                <w:rFonts w:ascii="Arial" w:cs="Arial" w:eastAsia="Arial" w:hAnsi="Arial"/>
                <w:sz w:val="18"/>
                <w:szCs w:val="18"/>
                <w:color w:val="0000FF"/>
              </w:rPr>
              <w:t>05/09/2018</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05/09/2018</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20" w:type="dxa"/>
            <w:vAlign w:val="bottom"/>
            <w:vMerge w:val="restart"/>
          </w:tcPr>
          <w:p>
            <w:pPr>
              <w:ind w:left="320"/>
              <w:spacing w:after="0"/>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780" w:type="dxa"/>
            <w:vAlign w:val="bottom"/>
            <w:gridSpan w:val="3"/>
            <w:vMerge w:val="restart"/>
          </w:tcPr>
          <w:p>
            <w:pPr>
              <w:ind w:left="1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460" w:type="dxa"/>
            <w:vAlign w:val="bottom"/>
          </w:tcPr>
          <w:p>
            <w:pPr>
              <w:spacing w:after="0"/>
              <w:rPr>
                <w:sz w:val="22"/>
                <w:szCs w:val="22"/>
                <w:color w:val="auto"/>
              </w:rPr>
            </w:pPr>
          </w:p>
        </w:tc>
        <w:tc>
          <w:tcPr>
            <w:tcW w:w="800" w:type="dxa"/>
            <w:vAlign w:val="bottom"/>
            <w:vMerge w:val="restart"/>
          </w:tcPr>
          <w:p>
            <w:pPr>
              <w:jc w:val="center"/>
              <w:ind w:right="460"/>
              <w:spacing w:after="0"/>
              <w:rPr>
                <w:sz w:val="20"/>
                <w:szCs w:val="20"/>
                <w:color w:val="auto"/>
              </w:rPr>
            </w:pPr>
            <w:r>
              <w:rPr>
                <w:rFonts w:ascii="Arial" w:cs="Arial" w:eastAsia="Arial" w:hAnsi="Arial"/>
                <w:sz w:val="35"/>
                <w:szCs w:val="35"/>
                <w:color w:val="0000FF"/>
                <w:w w:val="90"/>
                <w:vertAlign w:val="subscript"/>
              </w:rPr>
              <w:t>0</w:t>
            </w:r>
            <w:r>
              <w:rPr>
                <w:rFonts w:ascii="Arial" w:cs="Arial" w:eastAsia="Arial" w:hAnsi="Arial"/>
                <w:sz w:val="11"/>
                <w:szCs w:val="11"/>
                <w:color w:val="008000"/>
                <w:w w:val="90"/>
              </w:rPr>
              <w:t>(2)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420" w:type="dxa"/>
            <w:vAlign w:val="bottom"/>
            <w:tcBorders>
              <w:top w:val="single" w:sz="8" w:color="2C2C2C"/>
            </w:tcBorders>
            <w:gridSpan w:val="3"/>
          </w:tcPr>
          <w:p>
            <w:pPr>
              <w:jc w:val="right"/>
              <w:ind w:right="360"/>
              <w:spacing w:after="0"/>
              <w:rPr>
                <w:sz w:val="20"/>
                <w:szCs w:val="20"/>
                <w:color w:val="auto"/>
              </w:rPr>
            </w:pPr>
            <w:r>
              <w:rPr>
                <w:rFonts w:ascii="Arial" w:cs="Arial" w:eastAsia="Arial" w:hAnsi="Arial"/>
                <w:sz w:val="18"/>
                <w:szCs w:val="18"/>
                <w:color w:val="0000FF"/>
              </w:rPr>
              <w:t>53,249</w:t>
            </w:r>
          </w:p>
        </w:tc>
        <w:tc>
          <w:tcPr>
            <w:tcW w:w="940" w:type="dxa"/>
            <w:vAlign w:val="bottom"/>
            <w:tcBorders>
              <w:top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May 9, 2018, Third Rock Ventures II, L.P. ("TRV II") sold (i) 810,000 shares of Common Stock of the Issuer in multiple transactions at prices ranging from $79.05 to $79.42, inclusive, at a weighted average price per share of $79.0502 and (ii) 15,400 shares of Common Stock of the Issuer in multiple transactions at prices ranging from $80.07 to $80.12, inclusive, at a weighted average price per share of $80.0713.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After the above transaction, TRV II owned 1,160,853 shares of Common Stock of the Issuer.</w:t>
      </w:r>
    </w:p>
    <w:p>
      <w:pPr>
        <w:spacing w:after="0" w:line="4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partner of Third Rock Ventures GP II, L.P., which is the general partner of the TRV II. The reporting person disclaims beneficial ownership over such shares, except to the extent of his pecuniary interest therein, if any, and this report shall not be deemed an admission that he is the beneficial owner of such shares.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Alexis Borisy</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05/11/2018</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944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2019-12-23T15:55:59Z</dcterms:created>
  <dcterms:modified xsi:type="dcterms:W3CDTF">2019-12-23T15:55:59Z</dcterms:modified>
</cp:coreProperties>
</file>