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29210</wp:posOffset>
            </wp:positionV>
            <wp:extent cx="6967220" cy="17564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56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Rowland Charles A Jr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80" w:type="dxa"/>
            <w:vAlign w:val="bottom"/>
            <w:gridSpan w:val="8"/>
          </w:tcPr>
          <w:p>
            <w:pPr>
              <w:ind w:left="80"/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Blueprint Medicines Corp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BPMC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06/24/2020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C/O BLUEPRINT MEDICINES CORPORATION</w:t>
            </w: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 SIDNEY STREET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06/24/2020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2,250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3,562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76.24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06/24/2020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4,500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06/24/2030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4,500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-3149600</wp:posOffset>
            </wp:positionV>
            <wp:extent cx="7033260" cy="32899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3289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0" w:right="300" w:firstLine="3"/>
        <w:spacing w:after="0" w:line="320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The reported transaction involved the Reporting Person's receipt of a grant of restricted stock units. The restricted stock units vest with respect to 100% of the shares underlying the restricted stock units on the earlier of (i) the next annual meeting of the Issuer's stockholders and (ii) June 24, 2021. Each restricted stock unit represents a contingent right to receive one share of the Issuer's common stock.</w:t>
      </w: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vests with respect to 100% of the shares underlying the option on the earlier of (i) the next annual meeting of the Issuer's stockholders and (ii) June 24, 2021.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Christopher Frankenfield,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06/26/2020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1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Attorney-in-Fact</w:t>
            </w:r>
          </w:p>
        </w:tc>
        <w:tc>
          <w:tcPr>
            <w:tcW w:w="8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83292" TargetMode="External"/><Relationship Id="rId14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2020-06-26T15:12:09Z</dcterms:created>
  <dcterms:modified xsi:type="dcterms:W3CDTF">2020-06-26T15:12:09Z</dcterms:modified>
</cp:coreProperties>
</file>