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254635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August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Blueprint Medicines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50"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3860" w:type="dxa"/>
            <w:vAlign w:val="bottom"/>
          </w:tcPr>
          <w:p>
            <w:pPr>
              <w:jc w:val="center"/>
              <w:ind w:right="200"/>
              <w:spacing w:after="0"/>
              <w:rPr>
                <w:sz w:val="20"/>
                <w:szCs w:val="20"/>
                <w:color w:val="auto"/>
              </w:rPr>
            </w:pPr>
            <w:r>
              <w:rPr>
                <w:rFonts w:ascii="Arial" w:cs="Arial" w:eastAsia="Arial" w:hAnsi="Arial"/>
                <w:sz w:val="12"/>
                <w:szCs w:val="12"/>
                <w:b w:val="1"/>
                <w:bCs w:val="1"/>
                <w:color w:val="auto"/>
                <w:w w:val="91"/>
              </w:rPr>
              <w:t>Delaware</w:t>
            </w:r>
          </w:p>
        </w:tc>
        <w:tc>
          <w:tcPr>
            <w:tcW w:w="3920" w:type="dxa"/>
            <w:vAlign w:val="bottom"/>
          </w:tcPr>
          <w:p>
            <w:pPr>
              <w:jc w:val="center"/>
              <w:ind w:right="300"/>
              <w:spacing w:after="0"/>
              <w:rPr>
                <w:sz w:val="20"/>
                <w:szCs w:val="20"/>
                <w:color w:val="auto"/>
              </w:rPr>
            </w:pPr>
            <w:r>
              <w:rPr>
                <w:rFonts w:ascii="Arial" w:cs="Arial" w:eastAsia="Arial" w:hAnsi="Arial"/>
                <w:sz w:val="12"/>
                <w:szCs w:val="12"/>
                <w:b w:val="1"/>
                <w:bCs w:val="1"/>
                <w:color w:val="auto"/>
                <w:w w:val="90"/>
              </w:rPr>
              <w:t>001-37359</w:t>
            </w:r>
          </w:p>
        </w:tc>
        <w:tc>
          <w:tcPr>
            <w:tcW w:w="352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26-3632015</w:t>
            </w:r>
          </w:p>
        </w:tc>
      </w:tr>
      <w:tr>
        <w:trPr>
          <w:trHeight w:val="144"/>
        </w:trPr>
        <w:tc>
          <w:tcPr>
            <w:tcW w:w="3860" w:type="dxa"/>
            <w:vAlign w:val="bottom"/>
          </w:tcPr>
          <w:p>
            <w:pPr>
              <w:jc w:val="center"/>
              <w:ind w:right="200"/>
              <w:spacing w:after="0"/>
              <w:rPr>
                <w:sz w:val="20"/>
                <w:szCs w:val="20"/>
                <w:color w:val="auto"/>
              </w:rPr>
            </w:pPr>
            <w:r>
              <w:rPr>
                <w:rFonts w:ascii="Arial" w:cs="Arial" w:eastAsia="Arial" w:hAnsi="Arial"/>
                <w:sz w:val="12"/>
                <w:szCs w:val="12"/>
                <w:color w:val="auto"/>
                <w:w w:val="93"/>
              </w:rPr>
              <w:t>(State or other jurisdiction</w:t>
            </w:r>
          </w:p>
        </w:tc>
        <w:tc>
          <w:tcPr>
            <w:tcW w:w="3920" w:type="dxa"/>
            <w:vAlign w:val="bottom"/>
          </w:tcPr>
          <w:p>
            <w:pPr>
              <w:jc w:val="center"/>
              <w:ind w:right="300"/>
              <w:spacing w:after="0"/>
              <w:rPr>
                <w:sz w:val="20"/>
                <w:szCs w:val="20"/>
                <w:color w:val="auto"/>
              </w:rPr>
            </w:pPr>
            <w:r>
              <w:rPr>
                <w:rFonts w:ascii="Arial" w:cs="Arial" w:eastAsia="Arial" w:hAnsi="Arial"/>
                <w:sz w:val="12"/>
                <w:szCs w:val="12"/>
                <w:color w:val="auto"/>
                <w:w w:val="92"/>
              </w:rPr>
              <w:t>(Commission File Number)</w:t>
            </w:r>
          </w:p>
        </w:tc>
        <w:tc>
          <w:tcPr>
            <w:tcW w:w="3520" w:type="dxa"/>
            <w:vAlign w:val="bottom"/>
          </w:tcPr>
          <w:p>
            <w:pPr>
              <w:jc w:val="center"/>
              <w:ind w:right="40"/>
              <w:spacing w:after="0"/>
              <w:rPr>
                <w:sz w:val="20"/>
                <w:szCs w:val="20"/>
                <w:color w:val="auto"/>
              </w:rPr>
            </w:pPr>
            <w:r>
              <w:rPr>
                <w:rFonts w:ascii="Arial" w:cs="Arial" w:eastAsia="Arial" w:hAnsi="Arial"/>
                <w:sz w:val="12"/>
                <w:szCs w:val="12"/>
                <w:color w:val="auto"/>
                <w:w w:val="93"/>
              </w:rPr>
              <w:t>(I.R.S. Employer</w:t>
            </w:r>
          </w:p>
        </w:tc>
      </w:tr>
      <w:tr>
        <w:trPr>
          <w:trHeight w:val="153"/>
        </w:trPr>
        <w:tc>
          <w:tcPr>
            <w:tcW w:w="3860" w:type="dxa"/>
            <w:vAlign w:val="bottom"/>
          </w:tcPr>
          <w:p>
            <w:pPr>
              <w:jc w:val="center"/>
              <w:ind w:right="200"/>
              <w:spacing w:after="0"/>
              <w:rPr>
                <w:sz w:val="20"/>
                <w:szCs w:val="20"/>
                <w:color w:val="auto"/>
              </w:rPr>
            </w:pPr>
            <w:r>
              <w:rPr>
                <w:rFonts w:ascii="Arial" w:cs="Arial" w:eastAsia="Arial" w:hAnsi="Arial"/>
                <w:sz w:val="12"/>
                <w:szCs w:val="12"/>
                <w:color w:val="auto"/>
                <w:w w:val="92"/>
              </w:rPr>
              <w:t>of incorporation)</w:t>
            </w:r>
          </w:p>
        </w:tc>
        <w:tc>
          <w:tcPr>
            <w:tcW w:w="3920" w:type="dxa"/>
            <w:vAlign w:val="bottom"/>
          </w:tcPr>
          <w:p>
            <w:pPr>
              <w:spacing w:after="0"/>
              <w:rPr>
                <w:sz w:val="13"/>
                <w:szCs w:val="13"/>
                <w:color w:val="auto"/>
              </w:rPr>
            </w:pPr>
          </w:p>
        </w:tc>
        <w:tc>
          <w:tcPr>
            <w:tcW w:w="3520" w:type="dxa"/>
            <w:vAlign w:val="bottom"/>
          </w:tcPr>
          <w:p>
            <w:pPr>
              <w:jc w:val="center"/>
              <w:ind w:right="40"/>
              <w:spacing w:after="0"/>
              <w:rPr>
                <w:sz w:val="20"/>
                <w:szCs w:val="20"/>
                <w:color w:val="auto"/>
              </w:rPr>
            </w:pPr>
            <w:r>
              <w:rPr>
                <w:rFonts w:ascii="Arial" w:cs="Arial" w:eastAsia="Arial" w:hAnsi="Arial"/>
                <w:sz w:val="12"/>
                <w:szCs w:val="12"/>
                <w:color w:val="auto"/>
                <w:w w:val="96"/>
              </w:rPr>
              <w:t>Identification No.)</w:t>
            </w:r>
          </w:p>
        </w:tc>
      </w:tr>
      <w:tr>
        <w:trPr>
          <w:trHeight w:val="275"/>
        </w:trPr>
        <w:tc>
          <w:tcPr>
            <w:tcW w:w="3860" w:type="dxa"/>
            <w:vAlign w:val="bottom"/>
          </w:tcPr>
          <w:p>
            <w:pPr>
              <w:jc w:val="center"/>
              <w:ind w:left="1600"/>
              <w:spacing w:after="0"/>
              <w:rPr>
                <w:sz w:val="20"/>
                <w:szCs w:val="20"/>
                <w:color w:val="auto"/>
              </w:rPr>
            </w:pPr>
            <w:r>
              <w:rPr>
                <w:rFonts w:ascii="Arial" w:cs="Arial" w:eastAsia="Arial" w:hAnsi="Arial"/>
                <w:sz w:val="12"/>
                <w:szCs w:val="12"/>
                <w:b w:val="1"/>
                <w:bCs w:val="1"/>
                <w:color w:val="auto"/>
                <w:w w:val="89"/>
              </w:rPr>
              <w:t>45 Sidney Street</w:t>
            </w:r>
          </w:p>
        </w:tc>
        <w:tc>
          <w:tcPr>
            <w:tcW w:w="3920" w:type="dxa"/>
            <w:vAlign w:val="bottom"/>
          </w:tcPr>
          <w:p>
            <w:pPr>
              <w:spacing w:after="0"/>
              <w:rPr>
                <w:sz w:val="23"/>
                <w:szCs w:val="23"/>
                <w:color w:val="auto"/>
              </w:rPr>
            </w:pPr>
          </w:p>
        </w:tc>
        <w:tc>
          <w:tcPr>
            <w:tcW w:w="3520" w:type="dxa"/>
            <w:vAlign w:val="bottom"/>
          </w:tcPr>
          <w:p>
            <w:pPr>
              <w:spacing w:after="0"/>
              <w:rPr>
                <w:sz w:val="23"/>
                <w:szCs w:val="23"/>
                <w:color w:val="auto"/>
              </w:rPr>
            </w:pPr>
          </w:p>
        </w:tc>
      </w:tr>
      <w:tr>
        <w:trPr>
          <w:trHeight w:val="148"/>
        </w:trPr>
        <w:tc>
          <w:tcPr>
            <w:tcW w:w="3860" w:type="dxa"/>
            <w:vAlign w:val="bottom"/>
          </w:tcPr>
          <w:p>
            <w:pPr>
              <w:jc w:val="center"/>
              <w:ind w:left="1620"/>
              <w:spacing w:after="0"/>
              <w:rPr>
                <w:sz w:val="20"/>
                <w:szCs w:val="20"/>
                <w:color w:val="auto"/>
              </w:rPr>
            </w:pPr>
            <w:r>
              <w:rPr>
                <w:rFonts w:ascii="Arial" w:cs="Arial" w:eastAsia="Arial" w:hAnsi="Arial"/>
                <w:sz w:val="12"/>
                <w:szCs w:val="12"/>
                <w:b w:val="1"/>
                <w:bCs w:val="1"/>
                <w:color w:val="auto"/>
                <w:w w:val="88"/>
              </w:rPr>
              <w:t>Cambridge, Massachusetts</w:t>
            </w:r>
          </w:p>
        </w:tc>
        <w:tc>
          <w:tcPr>
            <w:tcW w:w="3920" w:type="dxa"/>
            <w:vAlign w:val="bottom"/>
          </w:tcPr>
          <w:p>
            <w:pPr>
              <w:spacing w:after="0"/>
              <w:rPr>
                <w:sz w:val="12"/>
                <w:szCs w:val="12"/>
                <w:color w:val="auto"/>
              </w:rPr>
            </w:pPr>
          </w:p>
        </w:tc>
        <w:tc>
          <w:tcPr>
            <w:tcW w:w="3520" w:type="dxa"/>
            <w:vAlign w:val="bottom"/>
          </w:tcPr>
          <w:p>
            <w:pPr>
              <w:jc w:val="right"/>
              <w:ind w:right="2560"/>
              <w:spacing w:after="0"/>
              <w:rPr>
                <w:sz w:val="20"/>
                <w:szCs w:val="20"/>
                <w:color w:val="auto"/>
              </w:rPr>
            </w:pPr>
            <w:r>
              <w:rPr>
                <w:rFonts w:ascii="Arial" w:cs="Arial" w:eastAsia="Arial" w:hAnsi="Arial"/>
                <w:sz w:val="12"/>
                <w:szCs w:val="12"/>
                <w:b w:val="1"/>
                <w:bCs w:val="1"/>
                <w:color w:val="auto"/>
              </w:rPr>
              <w:t>02139</w:t>
            </w:r>
          </w:p>
        </w:tc>
      </w:tr>
      <w:tr>
        <w:trPr>
          <w:trHeight w:val="153"/>
        </w:trPr>
        <w:tc>
          <w:tcPr>
            <w:tcW w:w="3860" w:type="dxa"/>
            <w:vAlign w:val="bottom"/>
          </w:tcPr>
          <w:p>
            <w:pPr>
              <w:jc w:val="center"/>
              <w:ind w:left="1600"/>
              <w:spacing w:after="0"/>
              <w:rPr>
                <w:sz w:val="20"/>
                <w:szCs w:val="20"/>
                <w:color w:val="auto"/>
              </w:rPr>
            </w:pPr>
            <w:r>
              <w:rPr>
                <w:rFonts w:ascii="Arial" w:cs="Arial" w:eastAsia="Arial" w:hAnsi="Arial"/>
                <w:sz w:val="12"/>
                <w:szCs w:val="12"/>
                <w:color w:val="auto"/>
                <w:w w:val="93"/>
              </w:rPr>
              <w:t>(Address of principal executive offices)</w:t>
            </w:r>
          </w:p>
        </w:tc>
        <w:tc>
          <w:tcPr>
            <w:tcW w:w="3920" w:type="dxa"/>
            <w:vAlign w:val="bottom"/>
          </w:tcPr>
          <w:p>
            <w:pPr>
              <w:spacing w:after="0"/>
              <w:rPr>
                <w:sz w:val="13"/>
                <w:szCs w:val="13"/>
                <w:color w:val="auto"/>
              </w:rPr>
            </w:pPr>
          </w:p>
        </w:tc>
        <w:tc>
          <w:tcPr>
            <w:tcW w:w="3520" w:type="dxa"/>
            <w:vAlign w:val="bottom"/>
          </w:tcPr>
          <w:p>
            <w:pPr>
              <w:jc w:val="center"/>
              <w:ind w:right="1960"/>
              <w:spacing w:after="0"/>
              <w:rPr>
                <w:sz w:val="20"/>
                <w:szCs w:val="20"/>
                <w:color w:val="auto"/>
              </w:rPr>
            </w:pPr>
            <w:r>
              <w:rPr>
                <w:rFonts w:ascii="Arial" w:cs="Arial" w:eastAsia="Arial" w:hAnsi="Arial"/>
                <w:sz w:val="12"/>
                <w:szCs w:val="12"/>
                <w:color w:val="auto"/>
                <w:w w:val="95"/>
              </w:rPr>
              <w:t>(Zip Code)</w:t>
            </w:r>
          </w:p>
        </w:tc>
      </w:tr>
      <w:tr>
        <w:trPr>
          <w:trHeight w:val="288"/>
        </w:trPr>
        <w:tc>
          <w:tcPr>
            <w:tcW w:w="3860" w:type="dxa"/>
            <w:vAlign w:val="bottom"/>
          </w:tcPr>
          <w:p>
            <w:pPr>
              <w:spacing w:after="0"/>
              <w:rPr>
                <w:sz w:val="24"/>
                <w:szCs w:val="24"/>
                <w:color w:val="auto"/>
              </w:rPr>
            </w:pPr>
          </w:p>
        </w:tc>
        <w:tc>
          <w:tcPr>
            <w:tcW w:w="3920" w:type="dxa"/>
            <w:vAlign w:val="bottom"/>
          </w:tcPr>
          <w:p>
            <w:pPr>
              <w:jc w:val="center"/>
              <w:ind w:right="300"/>
              <w:spacing w:after="0"/>
              <w:rPr>
                <w:sz w:val="20"/>
                <w:szCs w:val="20"/>
                <w:color w:val="auto"/>
              </w:rPr>
            </w:pPr>
            <w:r>
              <w:rPr>
                <w:rFonts w:ascii="Arial" w:cs="Arial" w:eastAsia="Arial" w:hAnsi="Arial"/>
                <w:sz w:val="12"/>
                <w:szCs w:val="12"/>
                <w:color w:val="auto"/>
                <w:w w:val="90"/>
              </w:rPr>
              <w:t xml:space="preserve">Registrant’s telephone number, including area code: </w:t>
            </w:r>
            <w:r>
              <w:rPr>
                <w:rFonts w:ascii="Arial" w:cs="Arial" w:eastAsia="Arial" w:hAnsi="Arial"/>
                <w:sz w:val="12"/>
                <w:szCs w:val="12"/>
                <w:b w:val="1"/>
                <w:bCs w:val="1"/>
                <w:color w:val="auto"/>
                <w:w w:val="90"/>
              </w:rPr>
              <w:t>(617) 374-7580</w:t>
            </w:r>
          </w:p>
        </w:tc>
        <w:tc>
          <w:tcPr>
            <w:tcW w:w="3520" w:type="dxa"/>
            <w:vAlign w:val="bottom"/>
          </w:tcPr>
          <w:p>
            <w:pPr>
              <w:spacing w:after="0"/>
              <w:rPr>
                <w:sz w:val="24"/>
                <w:szCs w:val="24"/>
                <w:color w:val="auto"/>
              </w:rPr>
            </w:pPr>
          </w:p>
        </w:tc>
      </w:tr>
      <w:tr>
        <w:trPr>
          <w:trHeight w:val="288"/>
        </w:trPr>
        <w:tc>
          <w:tcPr>
            <w:tcW w:w="3860" w:type="dxa"/>
            <w:vAlign w:val="bottom"/>
          </w:tcPr>
          <w:p>
            <w:pPr>
              <w:spacing w:after="0"/>
              <w:rPr>
                <w:sz w:val="24"/>
                <w:szCs w:val="24"/>
                <w:color w:val="auto"/>
              </w:rPr>
            </w:pPr>
          </w:p>
        </w:tc>
        <w:tc>
          <w:tcPr>
            <w:tcW w:w="3920" w:type="dxa"/>
            <w:vAlign w:val="bottom"/>
          </w:tcPr>
          <w:p>
            <w:pPr>
              <w:jc w:val="center"/>
              <w:ind w:right="300"/>
              <w:spacing w:after="0"/>
              <w:rPr>
                <w:sz w:val="20"/>
                <w:szCs w:val="20"/>
                <w:color w:val="auto"/>
              </w:rPr>
            </w:pPr>
            <w:r>
              <w:rPr>
                <w:rFonts w:ascii="Arial" w:cs="Arial" w:eastAsia="Arial" w:hAnsi="Arial"/>
                <w:sz w:val="12"/>
                <w:szCs w:val="12"/>
                <w:color w:val="auto"/>
                <w:w w:val="90"/>
              </w:rPr>
              <w:t>(Former name or former address, if changed since last report)</w:t>
            </w:r>
          </w:p>
        </w:tc>
        <w:tc>
          <w:tcPr>
            <w:tcW w:w="3520" w:type="dxa"/>
            <w:vAlign w:val="bottom"/>
          </w:tcPr>
          <w:p>
            <w:pPr>
              <w:spacing w:after="0"/>
              <w:rPr>
                <w:sz w:val="24"/>
                <w:szCs w:val="24"/>
                <w:color w:val="auto"/>
              </w:rPr>
            </w:pPr>
          </w:p>
        </w:tc>
      </w:tr>
      <w:tr>
        <w:trPr>
          <w:trHeight w:val="36"/>
        </w:trPr>
        <w:tc>
          <w:tcPr>
            <w:tcW w:w="386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bl>
    <w:p>
      <w:pPr>
        <w:spacing w:after="0" w:line="180" w:lineRule="exact"/>
        <w:rPr>
          <w:sz w:val="24"/>
          <w:szCs w:val="24"/>
          <w:color w:val="auto"/>
        </w:rPr>
      </w:pPr>
    </w:p>
    <w:p>
      <w:pPr>
        <w:ind w:left="420"/>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0" w:lineRule="exact"/>
        <w:rPr>
          <w:sz w:val="24"/>
          <w:szCs w:val="24"/>
          <w:color w:val="auto"/>
        </w:rPr>
      </w:pPr>
    </w:p>
    <w:p>
      <w:pPr>
        <w:ind w:right="80" w:firstLine="432"/>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2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80" w:lineRule="exact"/>
        <w:rPr>
          <w:sz w:val="24"/>
          <w:szCs w:val="24"/>
          <w:color w:val="auto"/>
        </w:rPr>
      </w:pPr>
    </w:p>
    <w:p>
      <w:pPr>
        <w:ind w:right="480" w:firstLine="432"/>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Securities registered pursuant to Section 12(b) of the Exchange Act:</w:t>
      </w:r>
    </w:p>
    <w:p>
      <w:pPr>
        <w:spacing w:after="0" w:line="139" w:lineRule="exact"/>
        <w:rPr>
          <w:sz w:val="24"/>
          <w:szCs w:val="24"/>
          <w:color w:val="auto"/>
        </w:rPr>
      </w:pPr>
    </w:p>
    <w:tbl>
      <w:tblPr>
        <w:tblLayout w:type="fixed"/>
        <w:tblInd w:w="10" w:type="dxa"/>
        <w:tblCellMar>
          <w:top w:w="0" w:type="dxa"/>
          <w:left w:w="0" w:type="dxa"/>
          <w:bottom w:w="0" w:type="dxa"/>
          <w:right w:w="0" w:type="dxa"/>
        </w:tblCellMar>
      </w:tblPr>
      <w:tr>
        <w:trPr>
          <w:trHeight w:val="144"/>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Trading symbol(s)</w:t>
            </w:r>
          </w:p>
        </w:tc>
        <w:tc>
          <w:tcPr>
            <w:tcW w:w="4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Name of each exchange on which</w:t>
            </w:r>
          </w:p>
        </w:tc>
      </w:tr>
      <w:tr>
        <w:trPr>
          <w:trHeight w:val="153"/>
        </w:trPr>
        <w:tc>
          <w:tcPr>
            <w:tcW w:w="4520" w:type="dxa"/>
            <w:vAlign w:val="bottom"/>
            <w:tcBorders>
              <w:left w:val="single" w:sz="8" w:color="auto"/>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6"/>
              </w:rPr>
              <w:t>registered</w:t>
            </w:r>
          </w:p>
        </w:tc>
      </w:tr>
      <w:tr>
        <w:trPr>
          <w:trHeight w:val="133"/>
        </w:trPr>
        <w:tc>
          <w:tcPr>
            <w:tcW w:w="452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Common stock, par value $0.001 per share</w:t>
            </w:r>
          </w:p>
        </w:tc>
        <w:tc>
          <w:tcPr>
            <w:tcW w:w="22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BPMC</w:t>
            </w:r>
          </w:p>
        </w:tc>
        <w:tc>
          <w:tcPr>
            <w:tcW w:w="45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0"/>
              </w:rPr>
              <w:t>Nasdaq Global Select Market</w:t>
            </w:r>
          </w:p>
        </w:tc>
      </w:tr>
      <w:tr>
        <w:trPr>
          <w:trHeight w:val="149"/>
        </w:trPr>
        <w:tc>
          <w:tcPr>
            <w:tcW w:w="45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4520" w:type="dxa"/>
            <w:vAlign w:val="bottom"/>
            <w:tcBorders>
              <w:bottom w:val="single" w:sz="8" w:color="auto"/>
            </w:tcBorders>
          </w:tcPr>
          <w:p>
            <w:pPr>
              <w:spacing w:after="0"/>
              <w:rPr>
                <w:sz w:val="12"/>
                <w:szCs w:val="12"/>
                <w:color w:val="auto"/>
              </w:rPr>
            </w:pPr>
          </w:p>
        </w:tc>
      </w:tr>
      <w:tr>
        <w:trPr>
          <w:trHeight w:val="450"/>
        </w:trPr>
        <w:tc>
          <w:tcPr>
            <w:tcW w:w="4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44"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202529"/>
        </w:rPr>
        <w:t>Item 2.02 Results of Operations and Financial Condition.</w:t>
      </w:r>
    </w:p>
    <w:p>
      <w:pPr>
        <w:spacing w:after="0" w:line="154"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On August 2, 2023, Blueprint Medicines Corporation (the “Company”) announced its financial results for the quarter ended June 30, 2023 and other business highlights. The full text of the press release issued in connection with the announcement is furnished as Exhibit 99.1 to this Current Report on Form 8-K and is incorporated by reference herein.</w:t>
      </w:r>
    </w:p>
    <w:p>
      <w:pPr>
        <w:spacing w:after="0" w:line="115"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202529"/>
        </w:rPr>
        <w:t>Item 7.01 Regulation FD.</w:t>
      </w:r>
    </w:p>
    <w:p>
      <w:pPr>
        <w:spacing w:after="0" w:line="154"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On August 2, 2023, the Company is hosting an investor conference call and webcast to review its financial results and other business highlights. A copy of the presentation for the investor conference call and for the webcast is furnished as Exhibit 99.2 to this Current Report on Form 8-K.</w:t>
      </w:r>
    </w:p>
    <w:p>
      <w:pPr>
        <w:spacing w:after="0" w:line="115" w:lineRule="exact"/>
        <w:rPr>
          <w:sz w:val="20"/>
          <w:szCs w:val="20"/>
          <w:color w:val="auto"/>
        </w:rPr>
      </w:pPr>
    </w:p>
    <w:p>
      <w:pPr>
        <w:ind w:firstLine="432"/>
        <w:spacing w:after="0" w:line="379" w:lineRule="auto"/>
        <w:rPr>
          <w:sz w:val="20"/>
          <w:szCs w:val="20"/>
          <w:color w:val="auto"/>
        </w:rPr>
      </w:pPr>
      <w:r>
        <w:rPr>
          <w:rFonts w:ascii="Arial" w:cs="Arial" w:eastAsia="Arial" w:hAnsi="Arial"/>
          <w:sz w:val="10"/>
          <w:szCs w:val="10"/>
          <w:color w:val="auto"/>
        </w:rPr>
        <w:t>The information in Item 7.01 of this Current Report on Form 8-K, including Exhibit 99.2 attached hereto, is intended to be furnished and shall not be deemed “filed” for purposes of Section 18 of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212529"/>
        </w:rPr>
        <w:t>Item 9.01 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212529"/>
        </w:rPr>
        <w:t>(d) Exhibits.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exhibits relating to Items 2.02 and 7.01 of this Form 8-K shall be deemed to be furnished and not filed: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0" w:type="dxa"/>
            <w:vAlign w:val="bottom"/>
          </w:tcPr>
          <w:p>
            <w:pPr>
              <w:spacing w:after="0"/>
              <w:rPr>
                <w:sz w:val="12"/>
                <w:szCs w:val="12"/>
                <w:color w:val="auto"/>
              </w:rPr>
            </w:pP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212529"/>
              </w:rPr>
              <w:t>Exhibit</w:t>
            </w:r>
          </w:p>
        </w:tc>
        <w:tc>
          <w:tcPr>
            <w:tcW w:w="9280" w:type="dxa"/>
            <w:vAlign w:val="bottom"/>
            <w:gridSpan w:val="3"/>
          </w:tcPr>
          <w:p>
            <w:pPr>
              <w:spacing w:after="0"/>
              <w:rPr>
                <w:sz w:val="20"/>
                <w:szCs w:val="20"/>
                <w:color w:val="auto"/>
              </w:rPr>
            </w:pPr>
            <w:r>
              <w:rPr>
                <w:rFonts w:ascii="Arial" w:cs="Arial" w:eastAsia="Arial" w:hAnsi="Arial"/>
                <w:sz w:val="12"/>
                <w:szCs w:val="12"/>
                <w:b w:val="1"/>
                <w:bCs w:val="1"/>
                <w:color w:val="212529"/>
              </w:rPr>
              <w:t>Description</w:t>
            </w:r>
          </w:p>
        </w:tc>
      </w:tr>
      <w:tr>
        <w:trPr>
          <w:trHeight w:val="148"/>
        </w:trPr>
        <w:tc>
          <w:tcPr>
            <w:tcW w:w="420" w:type="dxa"/>
            <w:vAlign w:val="bottom"/>
          </w:tcPr>
          <w:p>
            <w:pPr>
              <w:spacing w:after="0"/>
              <w:rPr>
                <w:sz w:val="12"/>
                <w:szCs w:val="12"/>
                <w:color w:val="auto"/>
              </w:rPr>
            </w:pP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212529"/>
              </w:rPr>
              <w:t>No.</w:t>
            </w:r>
          </w:p>
        </w:tc>
        <w:tc>
          <w:tcPr>
            <w:tcW w:w="3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120" w:type="dxa"/>
            <w:vAlign w:val="bottom"/>
          </w:tcPr>
          <w:p>
            <w:pPr>
              <w:spacing w:after="0"/>
              <w:rPr>
                <w:sz w:val="12"/>
                <w:szCs w:val="12"/>
                <w:color w:val="auto"/>
              </w:rPr>
            </w:pPr>
          </w:p>
        </w:tc>
      </w:tr>
      <w:tr>
        <w:trPr>
          <w:trHeight w:val="126"/>
        </w:trPr>
        <w:tc>
          <w:tcPr>
            <w:tcW w:w="420" w:type="dxa"/>
            <w:vAlign w:val="bottom"/>
          </w:tcPr>
          <w:p>
            <w:pPr>
              <w:spacing w:after="0"/>
              <w:rPr>
                <w:sz w:val="10"/>
                <w:szCs w:val="10"/>
                <w:color w:val="auto"/>
              </w:rPr>
            </w:pPr>
          </w:p>
        </w:tc>
        <w:tc>
          <w:tcPr>
            <w:tcW w:w="220" w:type="dxa"/>
            <w:vAlign w:val="bottom"/>
          </w:tcPr>
          <w:p>
            <w:pPr>
              <w:spacing w:after="0" w:line="126" w:lineRule="exact"/>
              <w:rPr>
                <w:sz w:val="20"/>
                <w:szCs w:val="20"/>
                <w:color w:val="auto"/>
              </w:rPr>
            </w:pPr>
            <w:r>
              <w:rPr>
                <w:rFonts w:ascii="Arial" w:cs="Arial" w:eastAsia="Arial" w:hAnsi="Arial"/>
                <w:sz w:val="12"/>
                <w:szCs w:val="12"/>
                <w:color w:val="0000EE"/>
                <w:w w:val="85"/>
              </w:rPr>
              <w:t>99.</w:t>
            </w:r>
            <w:r>
              <w:rPr>
                <w:rFonts w:ascii="Arial" w:cs="Arial" w:eastAsia="Arial" w:hAnsi="Arial"/>
                <w:sz w:val="12"/>
                <w:szCs w:val="12"/>
                <w:u w:val="single" w:color="auto"/>
                <w:color w:val="0000EE"/>
                <w:w w:val="85"/>
              </w:rPr>
              <w:t>1</w:t>
            </w:r>
          </w:p>
        </w:tc>
        <w:tc>
          <w:tcPr>
            <w:tcW w:w="1380" w:type="dxa"/>
            <w:vAlign w:val="bottom"/>
          </w:tcPr>
          <w:p>
            <w:pPr>
              <w:spacing w:after="0"/>
              <w:rPr>
                <w:sz w:val="10"/>
                <w:szCs w:val="10"/>
                <w:color w:val="auto"/>
              </w:rPr>
            </w:pPr>
          </w:p>
        </w:tc>
        <w:tc>
          <w:tcPr>
            <w:tcW w:w="9280" w:type="dxa"/>
            <w:vAlign w:val="bottom"/>
            <w:gridSpan w:val="3"/>
          </w:tcPr>
          <w:p>
            <w:pPr>
              <w:spacing w:after="0" w:line="126" w:lineRule="exact"/>
              <w:rPr>
                <w:sz w:val="20"/>
                <w:szCs w:val="20"/>
                <w:color w:val="auto"/>
              </w:rPr>
            </w:pPr>
            <w:r>
              <w:rPr>
                <w:rFonts w:ascii="Arial" w:cs="Arial" w:eastAsia="Arial" w:hAnsi="Arial"/>
                <w:sz w:val="12"/>
                <w:szCs w:val="12"/>
                <w:color w:val="0000EE"/>
              </w:rPr>
              <w:t>Press release issued by Blueprint Medicines Corporation on August 2, 2023</w:t>
            </w: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220" w:type="dxa"/>
            <w:vAlign w:val="bottom"/>
            <w:tcBorders>
              <w:bottom w:val="single" w:sz="8" w:color="0000EE"/>
            </w:tcBorders>
          </w:tcPr>
          <w:p>
            <w:pPr>
              <w:spacing w:after="0" w:line="124" w:lineRule="exact"/>
              <w:rPr>
                <w:sz w:val="20"/>
                <w:szCs w:val="20"/>
                <w:color w:val="auto"/>
              </w:rPr>
            </w:pPr>
            <w:r>
              <w:rPr>
                <w:rFonts w:ascii="Arial" w:cs="Arial" w:eastAsia="Arial" w:hAnsi="Arial"/>
                <w:sz w:val="12"/>
                <w:szCs w:val="12"/>
                <w:color w:val="0000EE"/>
                <w:w w:val="85"/>
              </w:rPr>
              <w:t>99.</w:t>
            </w:r>
            <w:r>
              <w:rPr>
                <w:rFonts w:ascii="Arial" w:cs="Arial" w:eastAsia="Arial" w:hAnsi="Arial"/>
                <w:sz w:val="12"/>
                <w:szCs w:val="12"/>
                <w:u w:val="single" w:color="auto"/>
                <w:color w:val="0000EE"/>
                <w:w w:val="85"/>
              </w:rPr>
              <w:t>2</w:t>
            </w:r>
          </w:p>
        </w:tc>
        <w:tc>
          <w:tcPr>
            <w:tcW w:w="1380" w:type="dxa"/>
            <w:vAlign w:val="bottom"/>
          </w:tcPr>
          <w:p>
            <w:pPr>
              <w:spacing w:after="0"/>
              <w:rPr>
                <w:sz w:val="10"/>
                <w:szCs w:val="10"/>
                <w:color w:val="auto"/>
              </w:rPr>
            </w:pPr>
          </w:p>
        </w:tc>
        <w:tc>
          <w:tcPr>
            <w:tcW w:w="4160" w:type="dxa"/>
            <w:vAlign w:val="bottom"/>
            <w:tcBorders>
              <w:bottom w:val="single" w:sz="8" w:color="0000EE"/>
            </w:tcBorders>
            <w:gridSpan w:val="2"/>
          </w:tcPr>
          <w:p>
            <w:pPr>
              <w:spacing w:after="0" w:line="124" w:lineRule="exact"/>
              <w:rPr>
                <w:sz w:val="20"/>
                <w:szCs w:val="20"/>
                <w:color w:val="auto"/>
              </w:rPr>
            </w:pPr>
            <w:r>
              <w:rPr>
                <w:rFonts w:ascii="Arial" w:cs="Arial" w:eastAsia="Arial" w:hAnsi="Arial"/>
                <w:sz w:val="12"/>
                <w:szCs w:val="12"/>
                <w:color w:val="0000EE"/>
                <w:w w:val="90"/>
              </w:rPr>
              <w:t>Corporate slide presentation of Blueprint Medicines Corporation dated August 2, 2023</w:t>
            </w:r>
          </w:p>
        </w:tc>
        <w:tc>
          <w:tcPr>
            <w:tcW w:w="5120" w:type="dxa"/>
            <w:vAlign w:val="bottom"/>
          </w:tcPr>
          <w:p>
            <w:pPr>
              <w:spacing w:after="0"/>
              <w:rPr>
                <w:sz w:val="10"/>
                <w:szCs w:val="10"/>
                <w:color w:val="auto"/>
              </w:rPr>
            </w:pPr>
          </w:p>
        </w:tc>
      </w:tr>
      <w:tr>
        <w:trPr>
          <w:trHeight w:val="151"/>
        </w:trPr>
        <w:tc>
          <w:tcPr>
            <w:tcW w:w="640" w:type="dxa"/>
            <w:vAlign w:val="bottom"/>
            <w:gridSpan w:val="2"/>
          </w:tcPr>
          <w:p>
            <w:pPr>
              <w:ind w:left="420"/>
              <w:spacing w:after="0"/>
              <w:rPr>
                <w:sz w:val="20"/>
                <w:szCs w:val="20"/>
                <w:color w:val="auto"/>
              </w:rPr>
            </w:pPr>
            <w:r>
              <w:rPr>
                <w:rFonts w:ascii="Arial" w:cs="Arial" w:eastAsia="Arial" w:hAnsi="Arial"/>
                <w:sz w:val="12"/>
                <w:szCs w:val="12"/>
                <w:color w:val="212529"/>
                <w:w w:val="99"/>
              </w:rPr>
              <w:t>104</w:t>
            </w:r>
          </w:p>
        </w:tc>
        <w:tc>
          <w:tcPr>
            <w:tcW w:w="1380" w:type="dxa"/>
            <w:vAlign w:val="bottom"/>
          </w:tcPr>
          <w:p>
            <w:pPr>
              <w:spacing w:after="0"/>
              <w:rPr>
                <w:sz w:val="13"/>
                <w:szCs w:val="13"/>
                <w:color w:val="auto"/>
              </w:rPr>
            </w:pPr>
          </w:p>
        </w:tc>
        <w:tc>
          <w:tcPr>
            <w:tcW w:w="9280" w:type="dxa"/>
            <w:vAlign w:val="bottom"/>
            <w:gridSpan w:val="3"/>
          </w:tcPr>
          <w:p>
            <w:pPr>
              <w:spacing w:after="0"/>
              <w:rPr>
                <w:sz w:val="20"/>
                <w:szCs w:val="20"/>
                <w:color w:val="auto"/>
              </w:rPr>
            </w:pPr>
            <w:r>
              <w:rPr>
                <w:rFonts w:ascii="Arial" w:cs="Arial" w:eastAsia="Arial" w:hAnsi="Arial"/>
                <w:sz w:val="12"/>
                <w:szCs w:val="12"/>
                <w:color w:val="212529"/>
              </w:rPr>
              <w:t>Cover Page Interactive Data File (embedded within the Inline XBRL document and incorporated as Exhibit 101)</w:t>
            </w:r>
          </w:p>
        </w:tc>
      </w:tr>
      <w:tr>
        <w:trPr>
          <w:trHeight w:val="450"/>
        </w:trPr>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20" w:type="dxa"/>
            <w:vAlign w:val="bottom"/>
          </w:tcPr>
          <w:p>
            <w:pPr>
              <w:spacing w:after="0"/>
              <w:rPr>
                <w:sz w:val="13"/>
                <w:szCs w:val="13"/>
                <w:color w:val="auto"/>
              </w:rPr>
            </w:pPr>
          </w:p>
        </w:tc>
        <w:tc>
          <w:tcPr>
            <w:tcW w:w="7980" w:type="dxa"/>
            <w:vAlign w:val="bottom"/>
            <w:gridSpan w:val="2"/>
          </w:tcPr>
          <w:p>
            <w:pPr>
              <w:ind w:left="2320"/>
              <w:spacing w:after="0"/>
              <w:rPr>
                <w:sz w:val="20"/>
                <w:szCs w:val="20"/>
                <w:color w:val="auto"/>
              </w:rPr>
            </w:pPr>
            <w:r>
              <w:rPr>
                <w:rFonts w:ascii="Arial" w:cs="Arial" w:eastAsia="Arial" w:hAnsi="Arial"/>
                <w:sz w:val="12"/>
                <w:szCs w:val="12"/>
                <w:b w:val="1"/>
                <w:bCs w:val="1"/>
                <w:color w:val="auto"/>
              </w:rPr>
              <w:t>BLUEPRINT MEDICINES CORPORATION</w:t>
            </w:r>
          </w:p>
        </w:tc>
      </w:tr>
      <w:tr>
        <w:trPr>
          <w:trHeight w:val="288"/>
        </w:trPr>
        <w:tc>
          <w:tcPr>
            <w:tcW w:w="3320" w:type="dxa"/>
            <w:vAlign w:val="bottom"/>
          </w:tcPr>
          <w:p>
            <w:pPr>
              <w:spacing w:after="0"/>
              <w:rPr>
                <w:sz w:val="20"/>
                <w:szCs w:val="20"/>
                <w:color w:val="auto"/>
              </w:rPr>
            </w:pPr>
            <w:r>
              <w:rPr>
                <w:rFonts w:ascii="Arial" w:cs="Arial" w:eastAsia="Arial" w:hAnsi="Arial"/>
                <w:sz w:val="12"/>
                <w:szCs w:val="12"/>
                <w:color w:val="auto"/>
              </w:rPr>
              <w:t>Date: August 2, 2023</w:t>
            </w:r>
          </w:p>
        </w:tc>
        <w:tc>
          <w:tcPr>
            <w:tcW w:w="7980" w:type="dxa"/>
            <w:vAlign w:val="bottom"/>
            <w:gridSpan w:val="2"/>
          </w:tcPr>
          <w:p>
            <w:pPr>
              <w:ind w:left="2320"/>
              <w:spacing w:after="0"/>
              <w:rPr>
                <w:sz w:val="20"/>
                <w:szCs w:val="20"/>
                <w:color w:val="auto"/>
              </w:rPr>
            </w:pPr>
            <w:r>
              <w:rPr>
                <w:rFonts w:ascii="Arial" w:cs="Arial" w:eastAsia="Arial" w:hAnsi="Arial"/>
                <w:sz w:val="12"/>
                <w:szCs w:val="12"/>
                <w:color w:val="auto"/>
              </w:rPr>
              <w:t>By:   /s/ Kathryn Haviland</w:t>
            </w:r>
          </w:p>
        </w:tc>
      </w:tr>
      <w:tr>
        <w:trPr>
          <w:trHeight w:val="124"/>
        </w:trPr>
        <w:tc>
          <w:tcPr>
            <w:tcW w:w="33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3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Kathryn Haviland</w:t>
            </w:r>
          </w:p>
        </w:tc>
      </w:tr>
      <w:tr>
        <w:trPr>
          <w:trHeight w:val="153"/>
        </w:trPr>
        <w:tc>
          <w:tcPr>
            <w:tcW w:w="33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Chief Executive Officer</w:t>
            </w:r>
          </w:p>
        </w:tc>
      </w:tr>
      <w:tr>
        <w:trPr>
          <w:trHeight w:val="288"/>
        </w:trPr>
        <w:tc>
          <w:tcPr>
            <w:tcW w:w="3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Blueprint Medicines Reports Second Quarter 2023 Results</w:t>
      </w:r>
    </w:p>
    <w:p>
      <w:pPr>
        <w:spacing w:after="0" w:line="154" w:lineRule="exact"/>
        <w:rPr>
          <w:sz w:val="20"/>
          <w:szCs w:val="20"/>
          <w:color w:val="auto"/>
        </w:rPr>
      </w:pPr>
    </w:p>
    <w:p>
      <w:pPr>
        <w:ind w:left="2040" w:hanging="114"/>
        <w:spacing w:after="0"/>
        <w:tabs>
          <w:tab w:leader="none" w:pos="2040" w:val="left"/>
        </w:tabs>
        <w:numPr>
          <w:ilvl w:val="0"/>
          <w:numId w:val="2"/>
        </w:numPr>
        <w:rPr>
          <w:rFonts w:ascii="Arial" w:cs="Arial" w:eastAsia="Arial" w:hAnsi="Arial"/>
          <w:sz w:val="12"/>
          <w:szCs w:val="12"/>
          <w:i w:val="1"/>
          <w:iCs w:val="1"/>
          <w:color w:val="auto"/>
        </w:rPr>
      </w:pPr>
      <w:r>
        <w:rPr>
          <w:rFonts w:ascii="Arial" w:cs="Arial" w:eastAsia="Arial" w:hAnsi="Arial"/>
          <w:sz w:val="12"/>
          <w:szCs w:val="12"/>
          <w:i w:val="1"/>
          <w:iCs w:val="1"/>
          <w:color w:val="auto"/>
        </w:rPr>
        <w:t>Achieved $39.9 million in AYVAKIT®/AYVAKYT® (avapritinib) net product revenues and $57.6 million in total revenues in the second quarter of 2023 –</w:t>
      </w:r>
    </w:p>
    <w:p>
      <w:pPr>
        <w:spacing w:after="0" w:line="150" w:lineRule="exact"/>
        <w:rPr>
          <w:rFonts w:ascii="Arial" w:cs="Arial" w:eastAsia="Arial" w:hAnsi="Arial"/>
          <w:sz w:val="12"/>
          <w:szCs w:val="12"/>
          <w:i w:val="1"/>
          <w:iCs w:val="1"/>
          <w:color w:val="auto"/>
        </w:rPr>
      </w:pPr>
    </w:p>
    <w:p>
      <w:pPr>
        <w:ind w:left="2960" w:hanging="112"/>
        <w:spacing w:after="0"/>
        <w:tabs>
          <w:tab w:leader="none" w:pos="2960" w:val="left"/>
        </w:tabs>
        <w:numPr>
          <w:ilvl w:val="1"/>
          <w:numId w:val="2"/>
        </w:numPr>
        <w:rPr>
          <w:rFonts w:ascii="Arial" w:cs="Arial" w:eastAsia="Arial" w:hAnsi="Arial"/>
          <w:sz w:val="12"/>
          <w:szCs w:val="12"/>
          <w:i w:val="1"/>
          <w:iCs w:val="1"/>
          <w:color w:val="auto"/>
        </w:rPr>
      </w:pPr>
      <w:r>
        <w:rPr>
          <w:rFonts w:ascii="Arial" w:cs="Arial" w:eastAsia="Arial" w:hAnsi="Arial"/>
          <w:sz w:val="12"/>
          <w:szCs w:val="12"/>
          <w:i w:val="1"/>
          <w:iCs w:val="1"/>
          <w:color w:val="auto"/>
        </w:rPr>
        <w:t>AYVAKIT approved by the FDA for the treatment of adults with indolent systemic mastocytosis on May 22, 2023 --</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 Announced development candidate BLU-808, an oral, highly potent and selective wild-type KIT inhibitor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with first- and best-in-class potential, for the treatment of patients with mast cell disorders, including chronic urticaria –</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CAMBRIDGE, Mass., Aug 2, 2023 – Blueprint Medicines Corporation (NASDAQ: BPMC) today reported financial results and provided a business update for the second quarter ended June 30, 2023.</w:t>
      </w:r>
    </w:p>
    <w:p>
      <w:pPr>
        <w:spacing w:after="0" w:line="150"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“We have entered a new era at Blueprint with the launch of AYVAKIT in indolent systemic mastocytosis. In the second quarter, we delivered strong growth in AYVAKIT revenue and patients on therapy, reinforcing our belief in the blockbuster potential for AYVAKIT in systemic mastocytosis,” said Kate Haviland, Chief Executive Officer of Blueprint Medicines. “We also achieved important regulatory and operational milestones, including multiple readouts from our pipeline at ASCO and the nomination of a selective and potent inhibitor of wild-type KIT which leverages our expertise and infrastructure as we build a franchise in mast cell driven diseases. Our year-to-date achievements fortify our strong foundation for near- and long-term growth.”</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Second Quarter 2023 Highlights and Recent Progress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Systemic mastocytosis (SM) and other mast cell disorders</w:t>
      </w:r>
    </w:p>
    <w:p>
      <w:pPr>
        <w:spacing w:after="0" w:line="154" w:lineRule="exact"/>
        <w:rPr>
          <w:sz w:val="20"/>
          <w:szCs w:val="20"/>
          <w:color w:val="auto"/>
        </w:rPr>
      </w:pPr>
    </w:p>
    <w:p>
      <w:pPr>
        <w:ind w:left="420" w:right="280" w:hanging="212"/>
        <w:spacing w:after="0" w:line="27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Announced that the U.S. Food and Drug Administration (FDA) approved AYVAKIT® (avapritinib), the first and only medicine approved for the treatment of adults with indolent systemic mastocytosis (ISM) and the only treatment approved across the spectrum of indolent and advanced SM. Read the press release </w:t>
      </w:r>
      <w:r>
        <w:rPr>
          <w:rFonts w:ascii="Arial" w:cs="Arial" w:eastAsia="Arial" w:hAnsi="Arial"/>
          <w:sz w:val="12"/>
          <w:szCs w:val="12"/>
          <w:u w:val="single" w:color="auto"/>
          <w:color w:val="auto"/>
        </w:rPr>
        <w:t>here</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420" w:right="240" w:hanging="212"/>
        <w:spacing w:after="0" w:line="263"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Published detailed results from the PIONEER study in </w:t>
      </w:r>
      <w:r>
        <w:rPr>
          <w:rFonts w:ascii="Arial" w:cs="Arial" w:eastAsia="Arial" w:hAnsi="Arial"/>
          <w:sz w:val="12"/>
          <w:szCs w:val="12"/>
          <w:i w:val="1"/>
          <w:iCs w:val="1"/>
          <w:color w:val="auto"/>
        </w:rPr>
        <w:t>New England Journal of Medicine (NEJM) Evidence.</w:t>
      </w:r>
      <w:r>
        <w:rPr>
          <w:rFonts w:ascii="Arial" w:cs="Arial" w:eastAsia="Arial" w:hAnsi="Arial"/>
          <w:sz w:val="12"/>
          <w:szCs w:val="12"/>
          <w:color w:val="auto"/>
        </w:rPr>
        <w:t xml:space="preserve"> Key results demonstrate that AYVAKIT achieved statistically significant and clinically meaningful benefits in overall symptoms and objective measures of mast cell burden compared to placebo at 24 weeks, with improvements deepening through 48 weeks. Data also show meaningful improvements in quality-of-life measurements. AYVAKIT showed a favorable safety profile compared to placebo. Read the press release </w:t>
      </w:r>
      <w:r>
        <w:rPr>
          <w:rFonts w:ascii="Arial" w:cs="Arial" w:eastAsia="Arial" w:hAnsi="Arial"/>
          <w:sz w:val="12"/>
          <w:szCs w:val="12"/>
          <w:u w:val="single" w:color="auto"/>
          <w:color w:val="auto"/>
        </w:rPr>
        <w:t>here</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left="420" w:right="260" w:hanging="212"/>
        <w:spacing w:after="0" w:line="27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Announced nomination of BLU-808, an oral, highly potent and selective wild-type KIT inhibitor with first- and best-in-class potential, as a development candidate for the treatment of mast cell disorders, including chronic urticaria.</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Cancers vulnerable to CDK2 inhibition</w:t>
      </w:r>
    </w:p>
    <w:p>
      <w:pPr>
        <w:spacing w:after="0" w:line="154" w:lineRule="exact"/>
        <w:rPr>
          <w:sz w:val="20"/>
          <w:szCs w:val="20"/>
          <w:color w:val="auto"/>
        </w:rPr>
      </w:pPr>
    </w:p>
    <w:p>
      <w:pPr>
        <w:ind w:left="420" w:right="20" w:hanging="212"/>
        <w:spacing w:after="0" w:line="263"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Presented monotherapy dose escalation data from the Phase 1/2 VELA trial of BLU-222 in patients with cancers vulnerable to CDK2 inhibition at the 2023 American Society of Clinical Oncology (ASCO) Annual Meeting. The results showed evidence of favorable safety, cell cycle modulation and clinical response, supporting initiation of combination dose escalation of BLU-222 with ribociclib and fulvestrant in patients with hormone receptor-positive/HER2-negative breast cancer. Find the poster </w:t>
      </w:r>
      <w:r>
        <w:rPr>
          <w:rFonts w:ascii="Arial" w:cs="Arial" w:eastAsia="Arial" w:hAnsi="Arial"/>
          <w:sz w:val="12"/>
          <w:szCs w:val="12"/>
          <w:u w:val="single" w:color="auto"/>
          <w:color w:val="auto"/>
        </w:rPr>
        <w:t>here</w:t>
      </w:r>
      <w:r>
        <w:rPr>
          <w:rFonts w:ascii="Arial" w:cs="Arial" w:eastAsia="Arial" w:hAnsi="Arial"/>
          <w:sz w:val="12"/>
          <w:szCs w:val="12"/>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EGFR-driven non-small cell lung cancer (NSCLC)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BLU-945</w:t>
      </w:r>
    </w:p>
    <w:p>
      <w:pPr>
        <w:spacing w:after="0" w:line="154" w:lineRule="exact"/>
        <w:rPr>
          <w:sz w:val="20"/>
          <w:szCs w:val="20"/>
          <w:color w:val="auto"/>
        </w:rPr>
      </w:pPr>
    </w:p>
    <w:p>
      <w:pPr>
        <w:ind w:left="420" w:right="120" w:hanging="212"/>
        <w:spacing w:after="0" w:line="263"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Presented dose escalation data from the Phase 1/2 SYMPHONY study of BLU-945 in patients with late-line EGFR-driven NSCLC at the 2023 ASCO Annual Meeting. BLU-945 monotherapy and in combination with osimertinib showed evidence of clinical activity and was generally well tolerated, with infrequent adverse events associated with wild-type EGFR inhibition, supporting continued combination dose escalation. Find the poster </w:t>
      </w:r>
      <w:r>
        <w:rPr>
          <w:rFonts w:ascii="Arial" w:cs="Arial" w:eastAsia="Arial" w:hAnsi="Arial"/>
          <w:sz w:val="12"/>
          <w:szCs w:val="12"/>
          <w:u w:val="single" w:color="auto"/>
          <w:color w:val="auto"/>
        </w:rPr>
        <w:t>here</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277495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4" w:name="page5"/>
    <w:bookmarkEnd w:id="4"/>
    <w:p>
      <w:pPr>
        <w:ind w:left="8"/>
        <w:spacing w:after="0"/>
        <w:rPr>
          <w:sz w:val="20"/>
          <w:szCs w:val="20"/>
          <w:color w:val="auto"/>
        </w:rPr>
      </w:pPr>
      <w:r>
        <w:rPr>
          <w:rFonts w:ascii="Arial" w:cs="Arial" w:eastAsia="Arial" w:hAnsi="Arial"/>
          <w:sz w:val="12"/>
          <w:szCs w:val="12"/>
          <w:b w:val="1"/>
          <w:bCs w:val="1"/>
          <w:color w:val="auto"/>
        </w:rPr>
        <w:t>BLU-451</w:t>
      </w:r>
    </w:p>
    <w:p>
      <w:pPr>
        <w:spacing w:after="0" w:line="154" w:lineRule="exact"/>
        <w:rPr>
          <w:sz w:val="20"/>
          <w:szCs w:val="20"/>
          <w:color w:val="auto"/>
        </w:rPr>
      </w:pPr>
    </w:p>
    <w:p>
      <w:pPr>
        <w:ind w:left="428" w:right="280" w:hanging="212"/>
        <w:spacing w:after="0" w:line="276" w:lineRule="auto"/>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Presented dose escalation data from the Phase 1/2 CONCERTO study of BLU-451 in patients with NSCLC driven by EGFR exon 20 insertions and atypical mutations at the 2023 ASCO Annual Meeting. Results showed evidence of safety and clinical benefit, including central nervous system activity, supporting continued dose escalation. Find the poster </w:t>
      </w:r>
      <w:r>
        <w:rPr>
          <w:rFonts w:ascii="Arial" w:cs="Arial" w:eastAsia="Arial" w:hAnsi="Arial"/>
          <w:sz w:val="12"/>
          <w:szCs w:val="12"/>
          <w:u w:val="single" w:color="auto"/>
          <w:color w:val="auto"/>
        </w:rPr>
        <w:t>here</w:t>
      </w:r>
      <w:r>
        <w:rPr>
          <w:rFonts w:ascii="Arial" w:cs="Arial" w:eastAsia="Arial" w:hAnsi="Arial"/>
          <w:sz w:val="12"/>
          <w:szCs w:val="12"/>
          <w:color w:val="auto"/>
        </w:rPr>
        <w:t>.</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Key Upcoming Milestones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Blueprint Medicines plans to achieve the following milestones by the end of 2023:</w:t>
      </w:r>
    </w:p>
    <w:p>
      <w:pPr>
        <w:spacing w:after="0" w:line="150" w:lineRule="exact"/>
        <w:rPr>
          <w:sz w:val="20"/>
          <w:szCs w:val="20"/>
          <w:color w:val="auto"/>
        </w:rPr>
      </w:pPr>
    </w:p>
    <w:p>
      <w:pPr>
        <w:ind w:left="428" w:hanging="212"/>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Present data from Part 1 of the HARBOR trial of elenestinib in indolent SM.</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Continue AYVAKIT commercial launch execution in SM.</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Second Quarter 2023 Results</w:t>
      </w:r>
    </w:p>
    <w:p>
      <w:pPr>
        <w:spacing w:after="0" w:line="150" w:lineRule="exact"/>
        <w:rPr>
          <w:sz w:val="20"/>
          <w:szCs w:val="20"/>
          <w:color w:val="auto"/>
        </w:rPr>
      </w:pPr>
    </w:p>
    <w:p>
      <w:pPr>
        <w:ind w:left="208" w:right="800" w:hanging="208"/>
        <w:spacing w:after="0" w:line="330" w:lineRule="auto"/>
        <w:tabs>
          <w:tab w:leader="none" w:pos="208" w:val="left"/>
        </w:tabs>
        <w:numPr>
          <w:ilvl w:val="0"/>
          <w:numId w:val="8"/>
        </w:numPr>
        <w:rPr>
          <w:rFonts w:ascii="Arial" w:cs="Arial" w:eastAsia="Arial" w:hAnsi="Arial"/>
          <w:sz w:val="11"/>
          <w:szCs w:val="11"/>
          <w:color w:val="auto"/>
        </w:rPr>
      </w:pPr>
      <w:r>
        <w:rPr>
          <w:rFonts w:ascii="Arial" w:cs="Arial" w:eastAsia="Arial" w:hAnsi="Arial"/>
          <w:sz w:val="11"/>
          <w:szCs w:val="11"/>
          <w:b w:val="1"/>
          <w:bCs w:val="1"/>
          <w:color w:val="auto"/>
        </w:rPr>
        <w:t>Revenues</w:t>
      </w:r>
      <w:r>
        <w:rPr>
          <w:rFonts w:ascii="Arial" w:cs="Arial" w:eastAsia="Arial" w:hAnsi="Arial"/>
          <w:sz w:val="11"/>
          <w:szCs w:val="11"/>
          <w:color w:val="auto"/>
        </w:rPr>
        <w:t>: Revenues were $57.6 million for the second quarter of 2023, including $39.9 million of net product revenues from sales of AYVAKIT/AYVAKYT and $17.7 million in collaboration revenues. Blueprint</w:t>
      </w:r>
      <w:r>
        <w:rPr>
          <w:rFonts w:ascii="Arial" w:cs="Arial" w:eastAsia="Arial" w:hAnsi="Arial"/>
          <w:sz w:val="11"/>
          <w:szCs w:val="11"/>
          <w:b w:val="1"/>
          <w:bCs w:val="1"/>
          <w:color w:val="auto"/>
        </w:rPr>
        <w:t xml:space="preserve"> </w:t>
      </w:r>
      <w:r>
        <w:rPr>
          <w:rFonts w:ascii="Arial" w:cs="Arial" w:eastAsia="Arial" w:hAnsi="Arial"/>
          <w:sz w:val="11"/>
          <w:szCs w:val="11"/>
          <w:color w:val="auto"/>
        </w:rPr>
        <w:t>Medicines recorded revenues of $36.5 million in the second quarter of 2022, including $28.5 million of net product revenues from sales of AYVAKIT/AYVAKYT and $8.0 million in collaboration revenues.</w:t>
      </w:r>
    </w:p>
    <w:p>
      <w:pPr>
        <w:spacing w:after="0" w:line="84" w:lineRule="exact"/>
        <w:rPr>
          <w:rFonts w:ascii="Arial" w:cs="Arial" w:eastAsia="Arial" w:hAnsi="Arial"/>
          <w:sz w:val="11"/>
          <w:szCs w:val="11"/>
          <w:color w:val="auto"/>
        </w:rPr>
      </w:pPr>
    </w:p>
    <w:p>
      <w:pPr>
        <w:ind w:left="208" w:hanging="208"/>
        <w:spacing w:after="0"/>
        <w:tabs>
          <w:tab w:leader="none" w:pos="208" w:val="left"/>
        </w:tabs>
        <w:numPr>
          <w:ilvl w:val="0"/>
          <w:numId w:val="8"/>
        </w:numPr>
        <w:rPr>
          <w:rFonts w:ascii="Arial" w:cs="Arial" w:eastAsia="Arial" w:hAnsi="Arial"/>
          <w:sz w:val="11"/>
          <w:szCs w:val="11"/>
          <w:color w:val="auto"/>
        </w:rPr>
      </w:pPr>
      <w:r>
        <w:rPr>
          <w:rFonts w:ascii="Arial" w:cs="Arial" w:eastAsia="Arial" w:hAnsi="Arial"/>
          <w:sz w:val="11"/>
          <w:szCs w:val="11"/>
          <w:b w:val="1"/>
          <w:bCs w:val="1"/>
          <w:color w:val="auto"/>
        </w:rPr>
        <w:t xml:space="preserve">Cost of Sales: </w:t>
      </w:r>
      <w:r>
        <w:rPr>
          <w:rFonts w:ascii="Arial" w:cs="Arial" w:eastAsia="Arial" w:hAnsi="Arial"/>
          <w:sz w:val="11"/>
          <w:szCs w:val="11"/>
          <w:color w:val="auto"/>
        </w:rPr>
        <w:t>Cost of sales was $2.3 million for the second quarter of 2023, as compared to $4.9 million for the second quarter of 2022. The decrease was primarily due to a decrease in the cost of collaboration-related sales.</w:t>
      </w:r>
    </w:p>
    <w:p>
      <w:pPr>
        <w:spacing w:after="0" w:line="161" w:lineRule="exact"/>
        <w:rPr>
          <w:rFonts w:ascii="Arial" w:cs="Arial" w:eastAsia="Arial" w:hAnsi="Arial"/>
          <w:sz w:val="11"/>
          <w:szCs w:val="11"/>
          <w:color w:val="auto"/>
        </w:rPr>
      </w:pPr>
    </w:p>
    <w:p>
      <w:pPr>
        <w:ind w:left="208" w:right="120" w:hanging="208"/>
        <w:spacing w:after="0" w:line="266" w:lineRule="auto"/>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 xml:space="preserve">R&amp;D Expenses: </w:t>
      </w:r>
      <w:r>
        <w:rPr>
          <w:rFonts w:ascii="Arial" w:cs="Arial" w:eastAsia="Arial" w:hAnsi="Arial"/>
          <w:sz w:val="12"/>
          <w:szCs w:val="12"/>
          <w:color w:val="auto"/>
        </w:rPr>
        <w:t>Research and development expenses were $110.1 million for the second quarter of 2023, as compared to $128.5 million for the second quarter of 2022. This decrease was primarily due to continued operational</w:t>
      </w:r>
      <w:r>
        <w:rPr>
          <w:rFonts w:ascii="Arial" w:cs="Arial" w:eastAsia="Arial" w:hAnsi="Arial"/>
          <w:sz w:val="12"/>
          <w:szCs w:val="12"/>
          <w:b w:val="1"/>
          <w:bCs w:val="1"/>
          <w:color w:val="auto"/>
        </w:rPr>
        <w:t xml:space="preserve"> </w:t>
      </w:r>
      <w:r>
        <w:rPr>
          <w:rFonts w:ascii="Arial" w:cs="Arial" w:eastAsia="Arial" w:hAnsi="Arial"/>
          <w:sz w:val="12"/>
          <w:szCs w:val="12"/>
          <w:color w:val="auto"/>
        </w:rPr>
        <w:t>efficiency gains across our portfolio as we execute across our top priority programs and the timing of manufacturing of clinical trial materials. Research and development expenses included $10.2 million in stock-based compensation expenses for the second quarter of 2023.</w:t>
      </w:r>
    </w:p>
    <w:p>
      <w:pPr>
        <w:spacing w:after="0" w:line="117" w:lineRule="exact"/>
        <w:rPr>
          <w:rFonts w:ascii="Arial" w:cs="Arial" w:eastAsia="Arial" w:hAnsi="Arial"/>
          <w:sz w:val="12"/>
          <w:szCs w:val="12"/>
          <w:color w:val="auto"/>
        </w:rPr>
      </w:pPr>
    </w:p>
    <w:p>
      <w:pPr>
        <w:ind w:left="208" w:hanging="208"/>
        <w:spacing w:after="0" w:line="266" w:lineRule="auto"/>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 xml:space="preserve">SG&amp;A Expenses: </w:t>
      </w:r>
      <w:r>
        <w:rPr>
          <w:rFonts w:ascii="Arial" w:cs="Arial" w:eastAsia="Arial" w:hAnsi="Arial"/>
          <w:sz w:val="12"/>
          <w:szCs w:val="12"/>
          <w:color w:val="auto"/>
        </w:rPr>
        <w:t>Selling, general and administrative expenses were $71.9 million for the second quarter of 2023, as compared to $58.7 million for the second quarter of 2022. This increase was primarily due to an increase in</w:t>
      </w:r>
      <w:r>
        <w:rPr>
          <w:rFonts w:ascii="Arial" w:cs="Arial" w:eastAsia="Arial" w:hAnsi="Arial"/>
          <w:sz w:val="12"/>
          <w:szCs w:val="12"/>
          <w:b w:val="1"/>
          <w:bCs w:val="1"/>
          <w:color w:val="auto"/>
        </w:rPr>
        <w:t xml:space="preserve"> </w:t>
      </w:r>
      <w:r>
        <w:rPr>
          <w:rFonts w:ascii="Arial" w:cs="Arial" w:eastAsia="Arial" w:hAnsi="Arial"/>
          <w:sz w:val="12"/>
          <w:szCs w:val="12"/>
          <w:color w:val="auto"/>
        </w:rPr>
        <w:t>compensation and personnel related costs driven by our first quarter field force expansion to support the AYVAKIT launch in ISM. Selling, general, and administrative expenses included $13.6 million in stock-based compensation expenses for the second quarter of 2023.</w:t>
      </w:r>
    </w:p>
    <w:p>
      <w:pPr>
        <w:spacing w:after="0" w:line="117"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1"/>
          <w:szCs w:val="11"/>
          <w:color w:val="auto"/>
        </w:rPr>
      </w:pPr>
      <w:r>
        <w:rPr>
          <w:rFonts w:ascii="Arial" w:cs="Arial" w:eastAsia="Arial" w:hAnsi="Arial"/>
          <w:sz w:val="11"/>
          <w:szCs w:val="11"/>
          <w:b w:val="1"/>
          <w:bCs w:val="1"/>
          <w:color w:val="auto"/>
        </w:rPr>
        <w:t>Net Loss</w:t>
      </w:r>
      <w:r>
        <w:rPr>
          <w:rFonts w:ascii="Arial" w:cs="Arial" w:eastAsia="Arial" w:hAnsi="Arial"/>
          <w:sz w:val="11"/>
          <w:szCs w:val="11"/>
          <w:color w:val="auto"/>
        </w:rPr>
        <w:t>: Net loss was $132.8 million for the second quarter of 2023, or a net loss per share of $2.19, as compared to a net loss of $159.7 million for the second quarter of 2022, or a net loss per share of $2.68.</w:t>
      </w:r>
    </w:p>
    <w:p>
      <w:pPr>
        <w:spacing w:after="0" w:line="161" w:lineRule="exact"/>
        <w:rPr>
          <w:rFonts w:ascii="Arial" w:cs="Arial" w:eastAsia="Arial" w:hAnsi="Arial"/>
          <w:sz w:val="11"/>
          <w:szCs w:val="11"/>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Cash Position</w:t>
      </w:r>
      <w:r>
        <w:rPr>
          <w:rFonts w:ascii="Arial" w:cs="Arial" w:eastAsia="Arial" w:hAnsi="Arial"/>
          <w:sz w:val="12"/>
          <w:szCs w:val="12"/>
          <w:color w:val="auto"/>
        </w:rPr>
        <w:t>: As of June 30, 2023, cash, cash equivalents and investments were $836.6 million, as compared to $1,078.5 million as of December 31, 2022.</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Conference Call Information</w:t>
      </w:r>
    </w:p>
    <w:p>
      <w:pPr>
        <w:spacing w:after="0" w:line="154" w:lineRule="exact"/>
        <w:rPr>
          <w:sz w:val="20"/>
          <w:szCs w:val="20"/>
          <w:color w:val="auto"/>
        </w:rPr>
      </w:pPr>
    </w:p>
    <w:p>
      <w:pPr>
        <w:ind w:left="8" w:right="200"/>
        <w:spacing w:after="0" w:line="298" w:lineRule="auto"/>
        <w:rPr>
          <w:sz w:val="20"/>
          <w:szCs w:val="20"/>
          <w:color w:val="auto"/>
        </w:rPr>
      </w:pPr>
      <w:r>
        <w:rPr>
          <w:rFonts w:ascii="Arial" w:cs="Arial" w:eastAsia="Arial" w:hAnsi="Arial"/>
          <w:sz w:val="11"/>
          <w:szCs w:val="11"/>
          <w:color w:val="auto"/>
        </w:rPr>
        <w:t xml:space="preserve">Blueprint Medicines will host a live conference call and webcast at 8:00 a.m. ET today to discuss second quarter 2023 financial results and recent business activities. The conference call may be accessed by dialing 833-470-1428 (domestic) or 929-526-1599 (international), and referring to conference ID 669158. A webcast of the call will also be available under "Events and Presentations" in the Investors &amp; Media section of the Blueprint Medicines website at </w:t>
      </w:r>
      <w:r>
        <w:rPr>
          <w:rFonts w:ascii="Arial" w:cs="Arial" w:eastAsia="Arial" w:hAnsi="Arial"/>
          <w:sz w:val="11"/>
          <w:szCs w:val="11"/>
          <w:u w:val="single" w:color="auto"/>
          <w:color w:val="auto"/>
        </w:rPr>
        <w:t>http://ir.blueprintmedicines.com/</w:t>
      </w:r>
      <w:r>
        <w:rPr>
          <w:rFonts w:ascii="Arial" w:cs="Arial" w:eastAsia="Arial" w:hAnsi="Arial"/>
          <w:sz w:val="11"/>
          <w:szCs w:val="11"/>
          <w:color w:val="auto"/>
        </w:rPr>
        <w:t>. The archived webcast will be available on Blueprint Medicines' website approximately two hours after the conference call and will be available for 30 days following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8"/>
          </w:cols>
          <w:pgMar w:left="292" w:top="649" w:right="37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t>Upcoming Investor Conferences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Blueprint Medicines will participate in one upcoming investor conference:</w:t>
      </w:r>
    </w:p>
    <w:p>
      <w:pPr>
        <w:spacing w:after="0" w:line="133" w:lineRule="exact"/>
        <w:rPr>
          <w:sz w:val="20"/>
          <w:szCs w:val="20"/>
          <w:color w:val="auto"/>
        </w:rPr>
      </w:pPr>
    </w:p>
    <w:p>
      <w:pPr>
        <w:ind w:left="420" w:hanging="212"/>
        <w:spacing w:after="0"/>
        <w:tabs>
          <w:tab w:leader="none" w:pos="420" w:val="left"/>
        </w:tabs>
        <w:numPr>
          <w:ilvl w:val="0"/>
          <w:numId w:val="9"/>
        </w:numPr>
        <w:rPr>
          <w:rFonts w:ascii="Arial" w:cs="Arial" w:eastAsia="Arial" w:hAnsi="Arial"/>
          <w:sz w:val="24"/>
          <w:szCs w:val="24"/>
          <w:color w:val="auto"/>
          <w:vertAlign w:val="superscript"/>
        </w:rPr>
      </w:pPr>
      <w:r>
        <w:rPr>
          <w:rFonts w:ascii="Arial" w:cs="Arial" w:eastAsia="Arial" w:hAnsi="Arial"/>
          <w:sz w:val="12"/>
          <w:szCs w:val="12"/>
          <w:b w:val="1"/>
          <w:bCs w:val="1"/>
          <w:color w:val="auto"/>
        </w:rPr>
        <w:t>Morgan Stanley 21</w:t>
      </w:r>
      <w:r>
        <w:rPr>
          <w:rFonts w:ascii="Arial" w:cs="Arial" w:eastAsia="Arial" w:hAnsi="Arial"/>
          <w:sz w:val="19"/>
          <w:szCs w:val="19"/>
          <w:b w:val="1"/>
          <w:bCs w:val="1"/>
          <w:color w:val="auto"/>
          <w:vertAlign w:val="superscript"/>
        </w:rPr>
        <w:t>st</w:t>
      </w:r>
      <w:r>
        <w:rPr>
          <w:rFonts w:ascii="Arial" w:cs="Arial" w:eastAsia="Arial" w:hAnsi="Arial"/>
          <w:sz w:val="12"/>
          <w:szCs w:val="12"/>
          <w:b w:val="1"/>
          <w:bCs w:val="1"/>
          <w:color w:val="auto"/>
        </w:rPr>
        <w:t xml:space="preserve"> Annual Global Healthcare Conference </w:t>
      </w:r>
      <w:r>
        <w:rPr>
          <w:rFonts w:ascii="Arial" w:cs="Arial" w:eastAsia="Arial" w:hAnsi="Arial"/>
          <w:sz w:val="12"/>
          <w:szCs w:val="12"/>
          <w:color w:val="auto"/>
        </w:rPr>
        <w:t>on Monday, September 11, 2023 at 11:20 a.m. ET.</w:t>
      </w:r>
    </w:p>
    <w:p>
      <w:pPr>
        <w:spacing w:after="0" w:line="56"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 xml:space="preserve">A live webcast of each presentation will be available by visiting the Investors &amp; Media section of Blueprint Medicines' website at </w:t>
      </w:r>
      <w:r>
        <w:rPr>
          <w:rFonts w:ascii="Arial" w:cs="Arial" w:eastAsia="Arial" w:hAnsi="Arial"/>
          <w:sz w:val="12"/>
          <w:szCs w:val="12"/>
          <w:u w:val="single" w:color="auto"/>
          <w:color w:val="auto"/>
        </w:rPr>
        <w:t>http://ir.blueprintmedicines.com</w:t>
      </w:r>
      <w:r>
        <w:rPr>
          <w:rFonts w:ascii="Arial" w:cs="Arial" w:eastAsia="Arial" w:hAnsi="Arial"/>
          <w:sz w:val="12"/>
          <w:szCs w:val="12"/>
          <w:color w:val="auto"/>
        </w:rPr>
        <w:t>. A replay of the webcasts will be archived on Blueprint Medicines' website for 30 days following each presentation.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Blueprint Medicines</w:t>
      </w:r>
    </w:p>
    <w:p>
      <w:pPr>
        <w:spacing w:after="0" w:line="154" w:lineRule="exact"/>
        <w:rPr>
          <w:sz w:val="20"/>
          <w:szCs w:val="20"/>
          <w:color w:val="auto"/>
        </w:rPr>
      </w:pPr>
    </w:p>
    <w:p>
      <w:pPr>
        <w:ind w:right="20"/>
        <w:spacing w:after="0" w:line="289" w:lineRule="auto"/>
        <w:rPr>
          <w:sz w:val="20"/>
          <w:szCs w:val="20"/>
          <w:color w:val="auto"/>
        </w:rPr>
      </w:pPr>
      <w:r>
        <w:rPr>
          <w:rFonts w:ascii="Arial" w:cs="Arial" w:eastAsia="Arial" w:hAnsi="Arial"/>
          <w:sz w:val="11"/>
          <w:szCs w:val="11"/>
          <w:color w:val="auto"/>
        </w:rPr>
        <w:t xml:space="preserve">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to patients in the U.S. and Europe, and we are globally advancing multiple programs for systemic mastocytosis (SM), lung cancer and other genomically defined cancers, and cancer immunotherapy. For more information, visit </w:t>
      </w:r>
      <w:r>
        <w:rPr>
          <w:rFonts w:ascii="Arial" w:cs="Arial" w:eastAsia="Arial" w:hAnsi="Arial"/>
          <w:sz w:val="11"/>
          <w:szCs w:val="11"/>
          <w:u w:val="single" w:color="auto"/>
          <w:color w:val="auto"/>
        </w:rPr>
        <w:t>www.BlueprintMedicines.com</w:t>
      </w:r>
      <w:r>
        <w:rPr>
          <w:rFonts w:ascii="Arial" w:cs="Arial" w:eastAsia="Arial" w:hAnsi="Arial"/>
          <w:sz w:val="11"/>
          <w:szCs w:val="11"/>
          <w:color w:val="auto"/>
        </w:rPr>
        <w:t xml:space="preserve"> and follow us on </w:t>
      </w:r>
      <w:r>
        <w:rPr>
          <w:rFonts w:ascii="Arial" w:cs="Arial" w:eastAsia="Arial" w:hAnsi="Arial"/>
          <w:sz w:val="11"/>
          <w:szCs w:val="11"/>
          <w:u w:val="single" w:color="auto"/>
          <w:color w:val="auto"/>
        </w:rPr>
        <w:t>Twitter</w:t>
      </w:r>
      <w:r>
        <w:rPr>
          <w:rFonts w:ascii="Arial" w:cs="Arial" w:eastAsia="Arial" w:hAnsi="Arial"/>
          <w:sz w:val="11"/>
          <w:szCs w:val="11"/>
          <w:color w:val="auto"/>
        </w:rPr>
        <w:t xml:space="preserve"> (@BlueprintMeds) and </w:t>
      </w:r>
      <w:r>
        <w:rPr>
          <w:rFonts w:ascii="Arial" w:cs="Arial" w:eastAsia="Arial" w:hAnsi="Arial"/>
          <w:sz w:val="11"/>
          <w:szCs w:val="11"/>
          <w:u w:val="single" w:color="auto"/>
          <w:color w:val="auto"/>
        </w:rPr>
        <w:t>LinkedIn</w:t>
      </w:r>
      <w:r>
        <w:rPr>
          <w:rFonts w:ascii="Arial" w:cs="Arial" w:eastAsia="Arial" w:hAnsi="Arial"/>
          <w:sz w:val="11"/>
          <w:szCs w:val="11"/>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1"/>
          <w:szCs w:val="11"/>
          <w:color w:val="auto"/>
        </w:rPr>
        <w:t>This press release contains forward-looking statements within the meaning of the Private Securities Litigation Reform Act of 1995, as amended, including, without limitation, statements regarding plans, strategies, timelines and expectations for Blueprint Medicines’ current or future approved drugs and drug candidates, including approvals and launches, the initiation of clinical trials or the results of ongoing and planned clinical trial; Blueprint Medicines’ plans, strategies and timelines to nominate development candidates; timelines and expectations for interactions with the FDA and other regulatory authorities; statements regarding the plans and potential benefits of AYVAKIT in treating patients with indolent SM; statements regarding plans and expectations for Blueprint Medicines' current or future approved drugs and drug candidates; the potential benefits of any of Blueprint Medicines’ current or future approved drugs or drug candidates in treating patients; and Blueprint Medicines' financial performance,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preliminary activity and safety data may not be representative of more mature data; the risk of delay of any current or planned clinical trials or the development of Blueprint Medicines' current or future drug candidates; risks related to Blueprint Medicines' ability to successfully demonstrate the safety and efficacy of its drug candidates and gain approval of its drug candidates on a timely basis, if at all; preclinical and clinical results for Blueprint Medicines' drug candidates may not support further development of such drug candidates either as monotherapies or in combination with other agents or may impact the anticipated timing of data or regulatory submissions; the timing of the initiation of clinical trials and trial cohorts at clinical trial sites and patient enrollment rates may be delayed or slower than anticipated; actions of regulatory agencies may affect the initiation, timing and progress of clinical trials; the success of Blueprint Medicines' current and future collaborations, financing arrangements, partnerships or licensing arrangements; risks related to Blueprint Medicines' ability to obtain, maintain and enforce patent and other intellectual property protection for its products and current or future drug candidates it is developing; and the resurgence of the COVID-19 pandemic may impact Blueprint Medicines' business, operations, strategy, goals and anticipated milestones, including ongoing and planned research and discovery activities, and Blueprint Medicines’ ability to conduct ongoing and planned clinical trials.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7178040" cy="91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Blueprint Medicines, AYVAKIT, AYVAKYT and associated logos are trademarks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1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295275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2"/>
          <w:szCs w:val="12"/>
          <w:b w:val="1"/>
          <w:bCs w:val="1"/>
          <w:color w:val="auto"/>
        </w:rPr>
        <w:t>Blueprint Medicines Corporation</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Selected Condensed Consolidated Balance Sheet Data</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180" w:type="dxa"/>
            <w:vAlign w:val="bottom"/>
          </w:tcPr>
          <w:p>
            <w:pPr>
              <w:spacing w:after="0"/>
              <w:rPr>
                <w:sz w:val="13"/>
                <w:szCs w:val="13"/>
                <w:color w:val="auto"/>
              </w:rPr>
            </w:pPr>
          </w:p>
        </w:tc>
        <w:tc>
          <w:tcPr>
            <w:tcW w:w="4420" w:type="dxa"/>
            <w:vAlign w:val="bottom"/>
            <w:gridSpan w:val="2"/>
          </w:tcPr>
          <w:p>
            <w:pPr>
              <w:jc w:val="right"/>
              <w:ind w:right="2660"/>
              <w:spacing w:after="0"/>
              <w:rPr>
                <w:sz w:val="20"/>
                <w:szCs w:val="20"/>
                <w:color w:val="auto"/>
              </w:rPr>
            </w:pPr>
            <w:r>
              <w:rPr>
                <w:rFonts w:ascii="Arial" w:cs="Arial" w:eastAsia="Arial" w:hAnsi="Arial"/>
                <w:sz w:val="12"/>
                <w:szCs w:val="12"/>
                <w:b w:val="1"/>
                <w:bCs w:val="1"/>
                <w:i w:val="1"/>
                <w:iCs w:val="1"/>
                <w:color w:val="auto"/>
              </w:rPr>
              <w:t>(unaudited)</w:t>
            </w: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41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340"/>
              <w:spacing w:after="0"/>
              <w:rPr>
                <w:sz w:val="20"/>
                <w:szCs w:val="20"/>
                <w:color w:val="auto"/>
              </w:rPr>
            </w:pPr>
            <w:r>
              <w:rPr>
                <w:rFonts w:ascii="Arial" w:cs="Arial" w:eastAsia="Arial" w:hAnsi="Arial"/>
                <w:sz w:val="12"/>
                <w:szCs w:val="12"/>
                <w:b w:val="1"/>
                <w:bCs w:val="1"/>
                <w:color w:val="auto"/>
              </w:rPr>
              <w:t>June 30,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December 31,</w:t>
            </w:r>
          </w:p>
        </w:tc>
      </w:tr>
      <w:tr>
        <w:trPr>
          <w:trHeight w:val="133"/>
        </w:trPr>
        <w:tc>
          <w:tcPr>
            <w:tcW w:w="41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440"/>
              <w:spacing w:after="0" w:line="133" w:lineRule="exact"/>
              <w:rPr>
                <w:sz w:val="20"/>
                <w:szCs w:val="20"/>
                <w:color w:val="auto"/>
              </w:rPr>
            </w:pPr>
            <w:r>
              <w:rPr>
                <w:rFonts w:ascii="Arial" w:cs="Arial" w:eastAsia="Arial" w:hAnsi="Arial"/>
                <w:sz w:val="12"/>
                <w:szCs w:val="12"/>
                <w:b w:val="1"/>
                <w:bCs w:val="1"/>
                <w:color w:val="auto"/>
              </w:rPr>
              <w:t>2023</w:t>
            </w:r>
          </w:p>
        </w:tc>
        <w:tc>
          <w:tcPr>
            <w:tcW w:w="3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440"/>
              <w:spacing w:after="0" w:line="133" w:lineRule="exact"/>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1"/>
                <w:szCs w:val="11"/>
                <w:color w:val="auto"/>
              </w:rPr>
            </w:pPr>
          </w:p>
        </w:tc>
      </w:tr>
      <w:tr>
        <w:trPr>
          <w:trHeight w:val="133"/>
        </w:trPr>
        <w:tc>
          <w:tcPr>
            <w:tcW w:w="41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cash equivalents and marketable securities</w:t>
            </w:r>
          </w:p>
        </w:tc>
        <w:tc>
          <w:tcPr>
            <w:tcW w:w="442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836,566</w:t>
            </w:r>
          </w:p>
        </w:tc>
        <w:tc>
          <w:tcPr>
            <w:tcW w:w="5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1,078,472</w:t>
            </w:r>
          </w:p>
        </w:tc>
      </w:tr>
      <w:tr>
        <w:trPr>
          <w:trHeight w:val="144"/>
        </w:trPr>
        <w:tc>
          <w:tcPr>
            <w:tcW w:w="4180" w:type="dxa"/>
            <w:vAlign w:val="bottom"/>
          </w:tcPr>
          <w:p>
            <w:pPr>
              <w:spacing w:after="0"/>
              <w:rPr>
                <w:sz w:val="20"/>
                <w:szCs w:val="20"/>
                <w:color w:val="auto"/>
              </w:rPr>
            </w:pPr>
            <w:r>
              <w:rPr>
                <w:rFonts w:ascii="Arial" w:cs="Arial" w:eastAsia="Arial" w:hAnsi="Arial"/>
                <w:sz w:val="12"/>
                <w:szCs w:val="12"/>
                <w:color w:val="auto"/>
              </w:rPr>
              <w:t>Working capital (1)</w:t>
            </w:r>
          </w:p>
        </w:tc>
        <w:tc>
          <w:tcPr>
            <w:tcW w:w="4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642,307</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863,417</w:t>
            </w:r>
          </w:p>
        </w:tc>
      </w:tr>
      <w:tr>
        <w:trPr>
          <w:trHeight w:val="144"/>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4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1,106,445</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1,349,902</w:t>
            </w:r>
          </w:p>
        </w:tc>
      </w:tr>
      <w:tr>
        <w:trPr>
          <w:trHeight w:val="144"/>
        </w:trPr>
        <w:tc>
          <w:tcPr>
            <w:tcW w:w="4180" w:type="dxa"/>
            <w:vAlign w:val="bottom"/>
          </w:tcPr>
          <w:p>
            <w:pPr>
              <w:spacing w:after="0"/>
              <w:rPr>
                <w:sz w:val="20"/>
                <w:szCs w:val="20"/>
                <w:color w:val="auto"/>
              </w:rPr>
            </w:pPr>
            <w:r>
              <w:rPr>
                <w:rFonts w:ascii="Arial" w:cs="Arial" w:eastAsia="Arial" w:hAnsi="Arial"/>
                <w:sz w:val="12"/>
                <w:szCs w:val="12"/>
                <w:color w:val="auto"/>
              </w:rPr>
              <w:t>Liability related to the sale of future royalties and revenues (2)</w:t>
            </w:r>
          </w:p>
        </w:tc>
        <w:tc>
          <w:tcPr>
            <w:tcW w:w="4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437,341</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430,330</w:t>
            </w:r>
          </w:p>
        </w:tc>
      </w:tr>
      <w:tr>
        <w:trPr>
          <w:trHeight w:val="144"/>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Term loan (2)</w:t>
            </w:r>
          </w:p>
        </w:tc>
        <w:tc>
          <w:tcPr>
            <w:tcW w:w="4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140,003</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139,083</w:t>
            </w:r>
          </w:p>
        </w:tc>
      </w:tr>
      <w:tr>
        <w:trPr>
          <w:trHeight w:val="144"/>
        </w:trPr>
        <w:tc>
          <w:tcPr>
            <w:tcW w:w="4180" w:type="dxa"/>
            <w:vAlign w:val="bottom"/>
          </w:tcPr>
          <w:p>
            <w:pPr>
              <w:spacing w:after="0"/>
              <w:rPr>
                <w:sz w:val="20"/>
                <w:szCs w:val="20"/>
                <w:color w:val="auto"/>
              </w:rPr>
            </w:pPr>
            <w:r>
              <w:rPr>
                <w:rFonts w:ascii="Arial" w:cs="Arial" w:eastAsia="Arial" w:hAnsi="Arial"/>
                <w:sz w:val="12"/>
                <w:szCs w:val="12"/>
                <w:color w:val="auto"/>
              </w:rPr>
              <w:t>Deferred revenue (2)</w:t>
            </w:r>
          </w:p>
        </w:tc>
        <w:tc>
          <w:tcPr>
            <w:tcW w:w="4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8,328</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18,291</w:t>
            </w:r>
          </w:p>
        </w:tc>
      </w:tr>
      <w:tr>
        <w:trPr>
          <w:trHeight w:val="144"/>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4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795,315</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835,225</w:t>
            </w:r>
          </w:p>
        </w:tc>
      </w:tr>
      <w:tr>
        <w:trPr>
          <w:trHeight w:val="153"/>
        </w:trPr>
        <w:tc>
          <w:tcPr>
            <w:tcW w:w="4180" w:type="dxa"/>
            <w:vAlign w:val="bottom"/>
          </w:tcPr>
          <w:p>
            <w:pPr>
              <w:spacing w:after="0"/>
              <w:rPr>
                <w:sz w:val="20"/>
                <w:szCs w:val="20"/>
                <w:color w:val="auto"/>
              </w:rPr>
            </w:pPr>
            <w:r>
              <w:rPr>
                <w:rFonts w:ascii="Arial" w:cs="Arial" w:eastAsia="Arial" w:hAnsi="Arial"/>
                <w:sz w:val="12"/>
                <w:szCs w:val="12"/>
                <w:color w:val="auto"/>
              </w:rPr>
              <w:t>Total stockholders’ equity</w:t>
            </w:r>
          </w:p>
        </w:tc>
        <w:tc>
          <w:tcPr>
            <w:tcW w:w="4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311,130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514,677</w:t>
            </w:r>
          </w:p>
        </w:tc>
      </w:tr>
    </w:tbl>
    <w:p>
      <w:pPr>
        <w:spacing w:after="0" w:line="126"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Blueprint Medicines defines working capital as current assets less current liabilities.</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Amount includes both current and non-current portions of the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2"/>
          <w:szCs w:val="12"/>
          <w:b w:val="1"/>
          <w:bCs w:val="1"/>
          <w:color w:val="auto"/>
        </w:rPr>
        <w:t>Blueprint Medicines Corporation</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Condensed Consolidated Statements of Operations and Comprehensive Loss</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(in thousands, except per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(Unaudited)</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5"/>
        </w:trPr>
        <w:tc>
          <w:tcPr>
            <w:tcW w:w="4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40" w:type="dxa"/>
            <w:vAlign w:val="bottom"/>
            <w:gridSpan w:val="4"/>
          </w:tcPr>
          <w:p>
            <w:pPr>
              <w:jc w:val="right"/>
              <w:ind w:right="12"/>
              <w:spacing w:after="0"/>
              <w:rPr>
                <w:sz w:val="20"/>
                <w:szCs w:val="20"/>
                <w:color w:val="auto"/>
              </w:rPr>
            </w:pPr>
            <w:r>
              <w:rPr>
                <w:rFonts w:ascii="Arial" w:cs="Arial" w:eastAsia="Arial" w:hAnsi="Arial"/>
                <w:sz w:val="12"/>
                <w:szCs w:val="12"/>
                <w:b w:val="1"/>
                <w:bCs w:val="1"/>
                <w:color w:val="auto"/>
                <w:w w:val="97"/>
              </w:rPr>
              <w:t>Three Months Ended</w:t>
            </w: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gridSpan w:val="3"/>
          </w:tcPr>
          <w:p>
            <w:pPr>
              <w:jc w:val="right"/>
              <w:ind w:right="52"/>
              <w:spacing w:after="0"/>
              <w:rPr>
                <w:sz w:val="20"/>
                <w:szCs w:val="20"/>
                <w:color w:val="auto"/>
              </w:rPr>
            </w:pPr>
            <w:r>
              <w:rPr>
                <w:rFonts w:ascii="Arial" w:cs="Arial" w:eastAsia="Arial" w:hAnsi="Arial"/>
                <w:sz w:val="12"/>
                <w:szCs w:val="12"/>
                <w:b w:val="1"/>
                <w:bCs w:val="1"/>
                <w:color w:val="auto"/>
              </w:rPr>
              <w:t>Six Months Ended</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7"/>
        </w:trPr>
        <w:tc>
          <w:tcPr>
            <w:tcW w:w="4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2"/>
                <w:szCs w:val="12"/>
                <w:b w:val="1"/>
                <w:bCs w:val="1"/>
                <w:color w:val="auto"/>
              </w:rPr>
              <w:t>June 30,</w:t>
            </w:r>
          </w:p>
        </w:tc>
        <w:tc>
          <w:tcPr>
            <w:tcW w:w="8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2"/>
                <w:szCs w:val="12"/>
                <w:b w:val="1"/>
                <w:bCs w:val="1"/>
                <w:color w:val="auto"/>
              </w:rPr>
              <w:t>June 30,</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7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2022</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2023</w:t>
            </w:r>
          </w:p>
        </w:tc>
        <w:tc>
          <w:tcPr>
            <w:tcW w:w="3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33"/>
        </w:trPr>
        <w:tc>
          <w:tcPr>
            <w:tcW w:w="47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Revenues:</w:t>
            </w: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4760" w:type="dxa"/>
            <w:vAlign w:val="bottom"/>
          </w:tcPr>
          <w:p>
            <w:pPr>
              <w:ind w:left="60"/>
              <w:spacing w:after="0"/>
              <w:rPr>
                <w:sz w:val="20"/>
                <w:szCs w:val="20"/>
                <w:color w:val="auto"/>
              </w:rPr>
            </w:pPr>
            <w:r>
              <w:rPr>
                <w:rFonts w:ascii="Arial" w:cs="Arial" w:eastAsia="Arial" w:hAnsi="Arial"/>
                <w:sz w:val="12"/>
                <w:szCs w:val="12"/>
                <w:color w:val="auto"/>
              </w:rPr>
              <w:t>Product revenue, net</w:t>
            </w:r>
          </w:p>
        </w:tc>
        <w:tc>
          <w:tcPr>
            <w:tcW w:w="1220" w:type="dxa"/>
            <w:vAlign w:val="bottom"/>
            <w:gridSpan w:val="2"/>
          </w:tcPr>
          <w:p>
            <w:pPr>
              <w:jc w:val="right"/>
              <w:ind w:right="664"/>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39,876</w:t>
            </w:r>
          </w:p>
        </w:tc>
        <w:tc>
          <w:tcPr>
            <w:tcW w:w="180" w:type="dxa"/>
            <w:vAlign w:val="bottom"/>
          </w:tcPr>
          <w:p>
            <w:pPr>
              <w:spacing w:after="0"/>
              <w:rPr>
                <w:sz w:val="12"/>
                <w:szCs w:val="12"/>
                <w:color w:val="auto"/>
              </w:rPr>
            </w:pPr>
          </w:p>
        </w:tc>
        <w:tc>
          <w:tcPr>
            <w:tcW w:w="600" w:type="dxa"/>
            <w:vAlign w:val="bottom"/>
            <w:gridSpan w:val="2"/>
          </w:tcPr>
          <w:p>
            <w:pPr>
              <w:jc w:val="right"/>
              <w:ind w:right="33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28,454</w:t>
            </w:r>
          </w:p>
        </w:tc>
        <w:tc>
          <w:tcPr>
            <w:tcW w:w="340" w:type="dxa"/>
            <w:vAlign w:val="bottom"/>
          </w:tcPr>
          <w:p>
            <w:pPr>
              <w:spacing w:after="0"/>
              <w:rPr>
                <w:sz w:val="12"/>
                <w:szCs w:val="12"/>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78,945</w:t>
            </w:r>
          </w:p>
        </w:tc>
        <w:tc>
          <w:tcPr>
            <w:tcW w:w="340" w:type="dxa"/>
            <w:vAlign w:val="bottom"/>
          </w:tcPr>
          <w:p>
            <w:pPr>
              <w:spacing w:after="0"/>
              <w:rPr>
                <w:sz w:val="12"/>
                <w:szCs w:val="12"/>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78"/>
              <w:spacing w:after="0"/>
              <w:rPr>
                <w:sz w:val="20"/>
                <w:szCs w:val="20"/>
                <w:color w:val="auto"/>
              </w:rPr>
            </w:pPr>
            <w:r>
              <w:rPr>
                <w:rFonts w:ascii="Arial" w:cs="Arial" w:eastAsia="Arial" w:hAnsi="Arial"/>
                <w:sz w:val="12"/>
                <w:szCs w:val="12"/>
                <w:color w:val="auto"/>
              </w:rPr>
              <w:t>52,295</w:t>
            </w:r>
          </w:p>
        </w:tc>
      </w:tr>
      <w:tr>
        <w:trPr>
          <w:trHeight w:val="144"/>
        </w:trPr>
        <w:tc>
          <w:tcPr>
            <w:tcW w:w="4760" w:type="dxa"/>
            <w:vAlign w:val="bottom"/>
            <w:shd w:val="clear" w:color="auto" w:fill="CCEEFF"/>
          </w:tcPr>
          <w:p>
            <w:pPr>
              <w:ind w:left="60"/>
              <w:spacing w:after="0"/>
              <w:rPr>
                <w:sz w:val="20"/>
                <w:szCs w:val="20"/>
                <w:color w:val="auto"/>
              </w:rPr>
            </w:pPr>
            <w:r>
              <w:rPr>
                <w:rFonts w:ascii="Arial" w:cs="Arial" w:eastAsia="Arial" w:hAnsi="Arial"/>
                <w:sz w:val="12"/>
                <w:szCs w:val="12"/>
                <w:color w:val="auto"/>
              </w:rPr>
              <w:t>Collaboration and license revenue</w:t>
            </w: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17,694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8,093</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41,912</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46,983</w:t>
            </w:r>
          </w:p>
        </w:tc>
      </w:tr>
      <w:tr>
        <w:trPr>
          <w:trHeight w:val="20"/>
        </w:trPr>
        <w:tc>
          <w:tcPr>
            <w:tcW w:w="47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4760" w:type="dxa"/>
            <w:vAlign w:val="bottom"/>
          </w:tcPr>
          <w:p>
            <w:pPr>
              <w:spacing w:after="0" w:line="133" w:lineRule="exact"/>
              <w:rPr>
                <w:sz w:val="20"/>
                <w:szCs w:val="20"/>
                <w:color w:val="auto"/>
              </w:rPr>
            </w:pPr>
            <w:r>
              <w:rPr>
                <w:rFonts w:ascii="Arial" w:cs="Arial" w:eastAsia="Arial" w:hAnsi="Arial"/>
                <w:sz w:val="12"/>
                <w:szCs w:val="12"/>
                <w:color w:val="auto"/>
              </w:rPr>
              <w:t>Total revenues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57,570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36,547</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120,857</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jc w:val="right"/>
              <w:ind w:right="78"/>
              <w:spacing w:after="0" w:line="133" w:lineRule="exact"/>
              <w:rPr>
                <w:sz w:val="20"/>
                <w:szCs w:val="20"/>
                <w:color w:val="auto"/>
              </w:rPr>
            </w:pPr>
            <w:r>
              <w:rPr>
                <w:rFonts w:ascii="Arial" w:cs="Arial" w:eastAsia="Arial" w:hAnsi="Arial"/>
                <w:sz w:val="12"/>
                <w:szCs w:val="12"/>
                <w:color w:val="auto"/>
              </w:rPr>
              <w:t>99,278</w:t>
            </w:r>
          </w:p>
        </w:tc>
      </w:tr>
      <w:tr>
        <w:trPr>
          <w:trHeight w:val="144"/>
        </w:trPr>
        <w:tc>
          <w:tcPr>
            <w:tcW w:w="4760" w:type="dxa"/>
            <w:vAlign w:val="bottom"/>
            <w:shd w:val="clear" w:color="auto" w:fill="CCEEFF"/>
          </w:tcPr>
          <w:p>
            <w:pPr>
              <w:spacing w:after="0"/>
              <w:rPr>
                <w:sz w:val="20"/>
                <w:szCs w:val="20"/>
                <w:color w:val="auto"/>
              </w:rPr>
            </w:pPr>
            <w:r>
              <w:rPr>
                <w:rFonts w:ascii="Arial" w:cs="Arial" w:eastAsia="Arial" w:hAnsi="Arial"/>
                <w:sz w:val="12"/>
                <w:szCs w:val="12"/>
                <w:color w:val="auto"/>
              </w:rPr>
              <w:t>Cost and operating expenses:</w:t>
            </w: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760" w:type="dxa"/>
            <w:vAlign w:val="bottom"/>
          </w:tcPr>
          <w:p>
            <w:pPr>
              <w:ind w:left="60"/>
              <w:spacing w:after="0"/>
              <w:rPr>
                <w:sz w:val="20"/>
                <w:szCs w:val="20"/>
                <w:color w:val="auto"/>
              </w:rPr>
            </w:pPr>
            <w:r>
              <w:rPr>
                <w:rFonts w:ascii="Arial" w:cs="Arial" w:eastAsia="Arial" w:hAnsi="Arial"/>
                <w:sz w:val="12"/>
                <w:szCs w:val="12"/>
                <w:color w:val="auto"/>
              </w:rPr>
              <w:t>Cost of sales</w:t>
            </w: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2,323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4,886</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5,498</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right"/>
              <w:ind w:right="78"/>
              <w:spacing w:after="0"/>
              <w:rPr>
                <w:sz w:val="20"/>
                <w:szCs w:val="20"/>
                <w:color w:val="auto"/>
              </w:rPr>
            </w:pPr>
            <w:r>
              <w:rPr>
                <w:rFonts w:ascii="Arial" w:cs="Arial" w:eastAsia="Arial" w:hAnsi="Arial"/>
                <w:sz w:val="12"/>
                <w:szCs w:val="12"/>
                <w:color w:val="auto"/>
              </w:rPr>
              <w:t>9,964</w:t>
            </w:r>
          </w:p>
        </w:tc>
      </w:tr>
      <w:tr>
        <w:trPr>
          <w:trHeight w:val="144"/>
        </w:trPr>
        <w:tc>
          <w:tcPr>
            <w:tcW w:w="4760" w:type="dxa"/>
            <w:vAlign w:val="bottom"/>
            <w:shd w:val="clear" w:color="auto" w:fill="CCEEFF"/>
          </w:tcPr>
          <w:p>
            <w:pPr>
              <w:ind w:left="60"/>
              <w:spacing w:after="0"/>
              <w:rPr>
                <w:sz w:val="20"/>
                <w:szCs w:val="20"/>
                <w:color w:val="auto"/>
              </w:rPr>
            </w:pPr>
            <w:r>
              <w:rPr>
                <w:rFonts w:ascii="Arial" w:cs="Arial" w:eastAsia="Arial" w:hAnsi="Arial"/>
                <w:sz w:val="12"/>
                <w:szCs w:val="12"/>
                <w:color w:val="auto"/>
              </w:rPr>
              <w:t>Collaboration loss sharing</w:t>
            </w: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2,145</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2,530</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5,410</w:t>
            </w:r>
          </w:p>
        </w:tc>
      </w:tr>
      <w:tr>
        <w:trPr>
          <w:trHeight w:val="144"/>
        </w:trPr>
        <w:tc>
          <w:tcPr>
            <w:tcW w:w="4760" w:type="dxa"/>
            <w:vAlign w:val="bottom"/>
          </w:tcPr>
          <w:p>
            <w:pPr>
              <w:ind w:left="60"/>
              <w:spacing w:after="0"/>
              <w:rPr>
                <w:sz w:val="20"/>
                <w:szCs w:val="20"/>
                <w:color w:val="auto"/>
              </w:rPr>
            </w:pPr>
            <w:r>
              <w:rPr>
                <w:rFonts w:ascii="Arial" w:cs="Arial" w:eastAsia="Arial" w:hAnsi="Arial"/>
                <w:sz w:val="12"/>
                <w:szCs w:val="12"/>
                <w:color w:val="auto"/>
              </w:rPr>
              <w:t>Research and development</w:t>
            </w: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110,063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128,466</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222,135</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right"/>
              <w:ind w:right="78"/>
              <w:spacing w:after="0"/>
              <w:rPr>
                <w:sz w:val="20"/>
                <w:szCs w:val="20"/>
                <w:color w:val="auto"/>
              </w:rPr>
            </w:pPr>
            <w:r>
              <w:rPr>
                <w:rFonts w:ascii="Arial" w:cs="Arial" w:eastAsia="Arial" w:hAnsi="Arial"/>
                <w:sz w:val="12"/>
                <w:szCs w:val="12"/>
                <w:color w:val="auto"/>
              </w:rPr>
              <w:t>231,599</w:t>
            </w:r>
          </w:p>
        </w:tc>
      </w:tr>
      <w:tr>
        <w:trPr>
          <w:trHeight w:val="153"/>
        </w:trPr>
        <w:tc>
          <w:tcPr>
            <w:tcW w:w="4760" w:type="dxa"/>
            <w:vAlign w:val="bottom"/>
            <w:shd w:val="clear" w:color="auto" w:fill="CCEEFF"/>
          </w:tcPr>
          <w:p>
            <w:pPr>
              <w:ind w:left="60"/>
              <w:spacing w:after="0"/>
              <w:rPr>
                <w:sz w:val="20"/>
                <w:szCs w:val="20"/>
                <w:color w:val="auto"/>
              </w:rPr>
            </w:pPr>
            <w:r>
              <w:rPr>
                <w:rFonts w:ascii="Arial" w:cs="Arial" w:eastAsia="Arial" w:hAnsi="Arial"/>
                <w:sz w:val="12"/>
                <w:szCs w:val="12"/>
                <w:color w:val="auto"/>
              </w:rPr>
              <w:t>Selling, general and administrative</w:t>
            </w: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71,931</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58,688</w:t>
            </w: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142,882</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115,747</w:t>
            </w:r>
          </w:p>
        </w:tc>
      </w:tr>
      <w:tr>
        <w:trPr>
          <w:trHeight w:val="20"/>
        </w:trPr>
        <w:tc>
          <w:tcPr>
            <w:tcW w:w="47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4760" w:type="dxa"/>
            <w:vAlign w:val="bottom"/>
          </w:tcPr>
          <w:p>
            <w:pPr>
              <w:spacing w:after="0" w:line="133" w:lineRule="exact"/>
              <w:rPr>
                <w:sz w:val="20"/>
                <w:szCs w:val="20"/>
                <w:color w:val="auto"/>
              </w:rPr>
            </w:pPr>
            <w:r>
              <w:rPr>
                <w:rFonts w:ascii="Arial" w:cs="Arial" w:eastAsia="Arial" w:hAnsi="Arial"/>
                <w:sz w:val="12"/>
                <w:szCs w:val="12"/>
                <w:color w:val="auto"/>
              </w:rPr>
              <w:t>Total cost and operating expenses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185,551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194,185</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373,045</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jc w:val="right"/>
              <w:ind w:right="78"/>
              <w:spacing w:after="0" w:line="133" w:lineRule="exact"/>
              <w:rPr>
                <w:sz w:val="20"/>
                <w:szCs w:val="20"/>
                <w:color w:val="auto"/>
              </w:rPr>
            </w:pPr>
            <w:r>
              <w:rPr>
                <w:rFonts w:ascii="Arial" w:cs="Arial" w:eastAsia="Arial" w:hAnsi="Arial"/>
                <w:sz w:val="12"/>
                <w:szCs w:val="12"/>
                <w:color w:val="auto"/>
              </w:rPr>
              <w:t>362,720</w:t>
            </w:r>
          </w:p>
        </w:tc>
      </w:tr>
      <w:tr>
        <w:trPr>
          <w:trHeight w:val="144"/>
        </w:trPr>
        <w:tc>
          <w:tcPr>
            <w:tcW w:w="476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760" w:type="dxa"/>
            <w:vAlign w:val="bottom"/>
          </w:tcPr>
          <w:p>
            <w:pPr>
              <w:ind w:left="60"/>
              <w:spacing w:after="0"/>
              <w:rPr>
                <w:sz w:val="20"/>
                <w:szCs w:val="20"/>
                <w:color w:val="auto"/>
              </w:rPr>
            </w:pPr>
            <w:r>
              <w:rPr>
                <w:rFonts w:ascii="Arial" w:cs="Arial" w:eastAsia="Arial" w:hAnsi="Arial"/>
                <w:sz w:val="12"/>
                <w:szCs w:val="12"/>
                <w:color w:val="auto"/>
              </w:rPr>
              <w:t>Interest income (expense), net</w:t>
            </w: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gridSpan w:val="2"/>
          </w:tcPr>
          <w:p>
            <w:pPr>
              <w:jc w:val="right"/>
              <w:ind w:right="98"/>
              <w:spacing w:after="0"/>
              <w:rPr>
                <w:sz w:val="20"/>
                <w:szCs w:val="20"/>
                <w:color w:val="auto"/>
              </w:rPr>
            </w:pPr>
            <w:r>
              <w:rPr>
                <w:rFonts w:ascii="Arial" w:cs="Arial" w:eastAsia="Arial" w:hAnsi="Arial"/>
                <w:sz w:val="12"/>
                <w:szCs w:val="12"/>
                <w:color w:val="auto"/>
              </w:rPr>
              <w:t>(3,996)</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427</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right"/>
              <w:ind w:right="258"/>
              <w:spacing w:after="0"/>
              <w:rPr>
                <w:sz w:val="20"/>
                <w:szCs w:val="20"/>
                <w:color w:val="auto"/>
              </w:rPr>
            </w:pPr>
            <w:r>
              <w:rPr>
                <w:rFonts w:ascii="Arial" w:cs="Arial" w:eastAsia="Arial" w:hAnsi="Arial"/>
                <w:sz w:val="12"/>
                <w:szCs w:val="12"/>
                <w:color w:val="auto"/>
              </w:rPr>
              <w:t>(9,815)</w:t>
            </w:r>
          </w:p>
        </w:tc>
        <w:tc>
          <w:tcPr>
            <w:tcW w:w="400" w:type="dxa"/>
            <w:vAlign w:val="bottom"/>
          </w:tcPr>
          <w:p>
            <w:pPr>
              <w:spacing w:after="0"/>
              <w:rPr>
                <w:sz w:val="12"/>
                <w:szCs w:val="12"/>
                <w:color w:val="auto"/>
              </w:rPr>
            </w:pPr>
          </w:p>
        </w:tc>
        <w:tc>
          <w:tcPr>
            <w:tcW w:w="960" w:type="dxa"/>
            <w:vAlign w:val="bottom"/>
            <w:gridSpan w:val="2"/>
          </w:tcPr>
          <w:p>
            <w:pPr>
              <w:jc w:val="right"/>
              <w:ind w:right="78"/>
              <w:spacing w:after="0"/>
              <w:rPr>
                <w:sz w:val="20"/>
                <w:szCs w:val="20"/>
                <w:color w:val="auto"/>
              </w:rPr>
            </w:pPr>
            <w:r>
              <w:rPr>
                <w:rFonts w:ascii="Arial" w:cs="Arial" w:eastAsia="Arial" w:hAnsi="Arial"/>
                <w:sz w:val="12"/>
                <w:szCs w:val="12"/>
                <w:color w:val="auto"/>
              </w:rPr>
              <w:t>869</w:t>
            </w:r>
          </w:p>
        </w:tc>
      </w:tr>
      <w:tr>
        <w:trPr>
          <w:trHeight w:val="153"/>
        </w:trPr>
        <w:tc>
          <w:tcPr>
            <w:tcW w:w="4760" w:type="dxa"/>
            <w:vAlign w:val="bottom"/>
            <w:shd w:val="clear" w:color="auto" w:fill="CCEEFF"/>
          </w:tcPr>
          <w:p>
            <w:pPr>
              <w:ind w:left="60"/>
              <w:spacing w:after="0"/>
              <w:rPr>
                <w:sz w:val="20"/>
                <w:szCs w:val="20"/>
                <w:color w:val="auto"/>
              </w:rPr>
            </w:pPr>
            <w:r>
              <w:rPr>
                <w:rFonts w:ascii="Arial" w:cs="Arial" w:eastAsia="Arial" w:hAnsi="Arial"/>
                <w:sz w:val="12"/>
                <w:szCs w:val="12"/>
                <w:color w:val="auto"/>
              </w:rPr>
              <w:t>Other income (expense), net</w:t>
            </w: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2"/>
                <w:szCs w:val="12"/>
                <w:color w:val="auto"/>
              </w:rPr>
              <w:t>(626)</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632</w:t>
            </w: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177</w:t>
            </w:r>
          </w:p>
        </w:tc>
      </w:tr>
      <w:tr>
        <w:trPr>
          <w:trHeight w:val="20"/>
        </w:trPr>
        <w:tc>
          <w:tcPr>
            <w:tcW w:w="47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4760" w:type="dxa"/>
            <w:vAlign w:val="bottom"/>
          </w:tcPr>
          <w:p>
            <w:pPr>
              <w:spacing w:after="0" w:line="133" w:lineRule="exact"/>
              <w:rPr>
                <w:sz w:val="20"/>
                <w:szCs w:val="20"/>
                <w:color w:val="auto"/>
              </w:rPr>
            </w:pPr>
            <w:r>
              <w:rPr>
                <w:rFonts w:ascii="Arial" w:cs="Arial" w:eastAsia="Arial" w:hAnsi="Arial"/>
                <w:sz w:val="12"/>
                <w:szCs w:val="12"/>
                <w:color w:val="auto"/>
              </w:rPr>
              <w:t>Total other income (expense), net</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jc w:val="right"/>
              <w:ind w:right="98"/>
              <w:spacing w:after="0" w:line="133" w:lineRule="exact"/>
              <w:rPr>
                <w:sz w:val="20"/>
                <w:szCs w:val="20"/>
                <w:color w:val="auto"/>
              </w:rPr>
            </w:pPr>
            <w:r>
              <w:rPr>
                <w:rFonts w:ascii="Arial" w:cs="Arial" w:eastAsia="Arial" w:hAnsi="Arial"/>
                <w:sz w:val="12"/>
                <w:szCs w:val="12"/>
                <w:color w:val="auto"/>
              </w:rPr>
              <w:t>(4,622)</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1,059</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jc w:val="right"/>
              <w:ind w:right="258"/>
              <w:spacing w:after="0" w:line="133" w:lineRule="exact"/>
              <w:rPr>
                <w:sz w:val="20"/>
                <w:szCs w:val="20"/>
                <w:color w:val="auto"/>
              </w:rPr>
            </w:pPr>
            <w:r>
              <w:rPr>
                <w:rFonts w:ascii="Arial" w:cs="Arial" w:eastAsia="Arial" w:hAnsi="Arial"/>
                <w:sz w:val="12"/>
                <w:szCs w:val="12"/>
                <w:color w:val="auto"/>
              </w:rPr>
              <w:t>(9,456)</w:t>
            </w:r>
          </w:p>
        </w:tc>
        <w:tc>
          <w:tcPr>
            <w:tcW w:w="400" w:type="dxa"/>
            <w:vAlign w:val="bottom"/>
          </w:tcPr>
          <w:p>
            <w:pPr>
              <w:spacing w:after="0"/>
              <w:rPr>
                <w:sz w:val="11"/>
                <w:szCs w:val="11"/>
                <w:color w:val="auto"/>
              </w:rPr>
            </w:pPr>
          </w:p>
        </w:tc>
        <w:tc>
          <w:tcPr>
            <w:tcW w:w="960" w:type="dxa"/>
            <w:vAlign w:val="bottom"/>
            <w:gridSpan w:val="2"/>
          </w:tcPr>
          <w:p>
            <w:pPr>
              <w:jc w:val="right"/>
              <w:ind w:right="78"/>
              <w:spacing w:after="0" w:line="133" w:lineRule="exact"/>
              <w:rPr>
                <w:sz w:val="20"/>
                <w:szCs w:val="20"/>
                <w:color w:val="auto"/>
              </w:rPr>
            </w:pPr>
            <w:r>
              <w:rPr>
                <w:rFonts w:ascii="Arial" w:cs="Arial" w:eastAsia="Arial" w:hAnsi="Arial"/>
                <w:sz w:val="12"/>
                <w:szCs w:val="12"/>
                <w:color w:val="auto"/>
              </w:rPr>
              <w:t>1,046</w:t>
            </w:r>
          </w:p>
        </w:tc>
      </w:tr>
      <w:tr>
        <w:trPr>
          <w:trHeight w:val="20"/>
        </w:trPr>
        <w:tc>
          <w:tcPr>
            <w:tcW w:w="4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47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Loss before income taxes</w:t>
            </w: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98"/>
              <w:spacing w:after="0" w:line="133" w:lineRule="exact"/>
              <w:rPr>
                <w:sz w:val="20"/>
                <w:szCs w:val="20"/>
                <w:color w:val="auto"/>
              </w:rPr>
            </w:pPr>
            <w:r>
              <w:rPr>
                <w:rFonts w:ascii="Arial" w:cs="Arial" w:eastAsia="Arial" w:hAnsi="Arial"/>
                <w:sz w:val="12"/>
                <w:szCs w:val="12"/>
                <w:color w:val="auto"/>
                <w:w w:val="93"/>
              </w:rPr>
              <w:t>(132,603)</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58"/>
              <w:spacing w:after="0" w:line="133" w:lineRule="exact"/>
              <w:rPr>
                <w:sz w:val="20"/>
                <w:szCs w:val="20"/>
                <w:color w:val="auto"/>
              </w:rPr>
            </w:pPr>
            <w:r>
              <w:rPr>
                <w:rFonts w:ascii="Arial" w:cs="Arial" w:eastAsia="Arial" w:hAnsi="Arial"/>
                <w:sz w:val="12"/>
                <w:szCs w:val="12"/>
                <w:color w:val="auto"/>
              </w:rPr>
              <w:t>(156,579)</w:t>
            </w:r>
          </w:p>
        </w:tc>
        <w:tc>
          <w:tcPr>
            <w:tcW w:w="2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258"/>
              <w:spacing w:after="0" w:line="133" w:lineRule="exact"/>
              <w:rPr>
                <w:sz w:val="20"/>
                <w:szCs w:val="20"/>
                <w:color w:val="auto"/>
              </w:rPr>
            </w:pPr>
            <w:r>
              <w:rPr>
                <w:rFonts w:ascii="Arial" w:cs="Arial" w:eastAsia="Arial" w:hAnsi="Arial"/>
                <w:sz w:val="12"/>
                <w:szCs w:val="12"/>
                <w:color w:val="auto"/>
              </w:rPr>
              <w:t>(261,644)</w:t>
            </w:r>
          </w:p>
        </w:tc>
        <w:tc>
          <w:tcPr>
            <w:tcW w:w="4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(262,396)</w:t>
            </w:r>
          </w:p>
        </w:tc>
      </w:tr>
      <w:tr>
        <w:trPr>
          <w:trHeight w:val="153"/>
        </w:trPr>
        <w:tc>
          <w:tcPr>
            <w:tcW w:w="4760" w:type="dxa"/>
            <w:vAlign w:val="bottom"/>
          </w:tcPr>
          <w:p>
            <w:pPr>
              <w:spacing w:after="0"/>
              <w:rPr>
                <w:sz w:val="20"/>
                <w:szCs w:val="20"/>
                <w:color w:val="auto"/>
              </w:rPr>
            </w:pPr>
            <w:r>
              <w:rPr>
                <w:rFonts w:ascii="Arial" w:cs="Arial" w:eastAsia="Arial" w:hAnsi="Arial"/>
                <w:sz w:val="12"/>
                <w:szCs w:val="12"/>
                <w:color w:val="auto"/>
              </w:rPr>
              <w:t>Income tax expense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190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3,130</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710</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tcPr>
          <w:p>
            <w:pPr>
              <w:jc w:val="right"/>
              <w:ind w:right="78"/>
              <w:spacing w:after="0"/>
              <w:rPr>
                <w:sz w:val="20"/>
                <w:szCs w:val="20"/>
                <w:color w:val="auto"/>
              </w:rPr>
            </w:pPr>
            <w:r>
              <w:rPr>
                <w:rFonts w:ascii="Arial" w:cs="Arial" w:eastAsia="Arial" w:hAnsi="Arial"/>
                <w:sz w:val="12"/>
                <w:szCs w:val="12"/>
                <w:color w:val="auto"/>
              </w:rPr>
              <w:t>3,313</w:t>
            </w:r>
          </w:p>
        </w:tc>
      </w:tr>
      <w:tr>
        <w:trPr>
          <w:trHeight w:val="20"/>
        </w:trPr>
        <w:tc>
          <w:tcPr>
            <w:tcW w:w="4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1"/>
        </w:trPr>
        <w:tc>
          <w:tcPr>
            <w:tcW w:w="476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220" w:type="dxa"/>
            <w:vAlign w:val="bottom"/>
            <w:gridSpan w:val="2"/>
            <w:shd w:val="clear" w:color="auto" w:fill="CCEEFF"/>
          </w:tcPr>
          <w:p>
            <w:pPr>
              <w:jc w:val="right"/>
              <w:ind w:right="664"/>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2"/>
                <w:szCs w:val="12"/>
                <w:color w:val="auto"/>
                <w:w w:val="93"/>
              </w:rPr>
              <w:t>(132,793)</w:t>
            </w:r>
          </w:p>
        </w:tc>
        <w:tc>
          <w:tcPr>
            <w:tcW w:w="600" w:type="dxa"/>
            <w:vAlign w:val="bottom"/>
            <w:gridSpan w:val="2"/>
            <w:shd w:val="clear" w:color="auto" w:fill="CCEEFF"/>
          </w:tcPr>
          <w:p>
            <w:pPr>
              <w:jc w:val="right"/>
              <w:ind w:right="332"/>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58"/>
              <w:spacing w:after="0"/>
              <w:rPr>
                <w:sz w:val="20"/>
                <w:szCs w:val="20"/>
                <w:color w:val="auto"/>
              </w:rPr>
            </w:pPr>
            <w:r>
              <w:rPr>
                <w:rFonts w:ascii="Arial" w:cs="Arial" w:eastAsia="Arial" w:hAnsi="Arial"/>
                <w:sz w:val="12"/>
                <w:szCs w:val="12"/>
                <w:color w:val="auto"/>
              </w:rPr>
              <w:t>(159,709)</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258"/>
              <w:spacing w:after="0"/>
              <w:rPr>
                <w:sz w:val="20"/>
                <w:szCs w:val="20"/>
                <w:color w:val="auto"/>
              </w:rPr>
            </w:pPr>
            <w:r>
              <w:rPr>
                <w:rFonts w:ascii="Arial" w:cs="Arial" w:eastAsia="Arial" w:hAnsi="Arial"/>
                <w:sz w:val="12"/>
                <w:szCs w:val="12"/>
                <w:color w:val="auto"/>
              </w:rPr>
              <w:t>(262,354)</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(265,709)</w:t>
            </w:r>
          </w:p>
        </w:tc>
      </w:tr>
      <w:tr>
        <w:trPr>
          <w:trHeight w:val="138"/>
        </w:trPr>
        <w:tc>
          <w:tcPr>
            <w:tcW w:w="4760" w:type="dxa"/>
            <w:vAlign w:val="bottom"/>
            <w:tcBorders>
              <w:top w:val="single" w:sz="8" w:color="CCEEFF"/>
              <w:bottom w:val="single" w:sz="8" w:color="CCEEFF"/>
            </w:tcBorders>
          </w:tcPr>
          <w:p>
            <w:pPr>
              <w:spacing w:after="0" w:line="131" w:lineRule="exact"/>
              <w:rPr>
                <w:sz w:val="20"/>
                <w:szCs w:val="20"/>
                <w:color w:val="auto"/>
              </w:rPr>
            </w:pPr>
            <w:r>
              <w:rPr>
                <w:rFonts w:ascii="Arial" w:cs="Arial" w:eastAsia="Arial" w:hAnsi="Arial"/>
                <w:sz w:val="12"/>
                <w:szCs w:val="12"/>
                <w:color w:val="auto"/>
              </w:rPr>
              <w:t>Net loss per share - basic and diluted</w:t>
            </w:r>
          </w:p>
        </w:tc>
        <w:tc>
          <w:tcPr>
            <w:tcW w:w="440" w:type="dxa"/>
            <w:vAlign w:val="bottom"/>
            <w:tcBorders>
              <w:top w:val="single" w:sz="8" w:color="CCEEFF"/>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664"/>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(2.19</w:t>
            </w:r>
          </w:p>
        </w:tc>
        <w:tc>
          <w:tcPr>
            <w:tcW w:w="180" w:type="dxa"/>
            <w:vAlign w:val="bottom"/>
            <w:tcBorders>
              <w:top w:val="single" w:sz="8" w:color="CCEEFF"/>
              <w:bottom w:val="single" w:sz="8" w:color="CCEEFF"/>
            </w:tcBorders>
          </w:tcPr>
          <w:p>
            <w:pPr>
              <w:jc w:val="right"/>
              <w:ind w:right="9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CCEEFF"/>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(2.68</w:t>
            </w:r>
          </w:p>
        </w:tc>
        <w:tc>
          <w:tcPr>
            <w:tcW w:w="340" w:type="dxa"/>
            <w:vAlign w:val="bottom"/>
            <w:tcBorders>
              <w:top w:val="single" w:sz="8" w:color="CCEEFF"/>
              <w:bottom w:val="single" w:sz="8" w:color="CCEEFF"/>
            </w:tcBorders>
          </w:tcPr>
          <w:p>
            <w:pPr>
              <w:jc w:val="right"/>
              <w:ind w:right="258"/>
              <w:spacing w:after="0"/>
              <w:rPr>
                <w:sz w:val="20"/>
                <w:szCs w:val="20"/>
                <w:color w:val="auto"/>
              </w:rPr>
            </w:pPr>
            <w:r>
              <w:rPr>
                <w:rFonts w:ascii="Arial" w:cs="Arial" w:eastAsia="Arial" w:hAnsi="Arial"/>
                <w:sz w:val="8"/>
                <w:szCs w:val="8"/>
                <w:color w:val="auto"/>
                <w:w w:val="73"/>
              </w:rPr>
              <w:t>)</w:t>
            </w: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(4.35</w:t>
            </w:r>
          </w:p>
        </w:tc>
        <w:tc>
          <w:tcPr>
            <w:tcW w:w="340" w:type="dxa"/>
            <w:vAlign w:val="bottom"/>
            <w:tcBorders>
              <w:top w:val="single" w:sz="8" w:color="CCEEFF"/>
              <w:bottom w:val="single" w:sz="8" w:color="CCEEFF"/>
            </w:tcBorders>
          </w:tcPr>
          <w:p>
            <w:pPr>
              <w:jc w:val="right"/>
              <w:ind w:right="258"/>
              <w:spacing w:after="0"/>
              <w:rPr>
                <w:sz w:val="20"/>
                <w:szCs w:val="20"/>
                <w:color w:val="auto"/>
              </w:rPr>
            </w:pPr>
            <w:r>
              <w:rPr>
                <w:rFonts w:ascii="Arial" w:cs="Arial" w:eastAsia="Arial" w:hAnsi="Arial"/>
                <w:sz w:val="8"/>
                <w:szCs w:val="8"/>
                <w:color w:val="auto"/>
                <w:w w:val="73"/>
              </w:rPr>
              <w:t>)</w:t>
            </w:r>
          </w:p>
        </w:tc>
        <w:tc>
          <w:tcPr>
            <w:tcW w:w="4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(4.47</w:t>
            </w:r>
          </w:p>
        </w:tc>
        <w:tc>
          <w:tcPr>
            <w:tcW w:w="120" w:type="dxa"/>
            <w:vAlign w:val="bottom"/>
            <w:tcBorders>
              <w:top w:val="single" w:sz="8" w:color="CCEEFF"/>
              <w:bottom w:val="single" w:sz="8" w:color="CCEEFF"/>
            </w:tcBorders>
          </w:tcPr>
          <w:p>
            <w:pPr>
              <w:jc w:val="right"/>
              <w:ind w:right="38"/>
              <w:spacing w:after="0"/>
              <w:rPr>
                <w:sz w:val="20"/>
                <w:szCs w:val="20"/>
                <w:color w:val="auto"/>
              </w:rPr>
            </w:pPr>
            <w:r>
              <w:rPr>
                <w:rFonts w:ascii="Arial" w:cs="Arial" w:eastAsia="Arial" w:hAnsi="Arial"/>
                <w:sz w:val="8"/>
                <w:szCs w:val="8"/>
                <w:color w:val="auto"/>
                <w:w w:val="73"/>
              </w:rPr>
              <w:t>)</w:t>
            </w:r>
          </w:p>
        </w:tc>
      </w:tr>
      <w:tr>
        <w:trPr>
          <w:trHeight w:val="151"/>
        </w:trPr>
        <w:tc>
          <w:tcPr>
            <w:tcW w:w="476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w w:val="97"/>
              </w:rPr>
              <w:t>Weighted-average number of common shares used in net loss per share - basic and diluted</w:t>
            </w:r>
          </w:p>
        </w:tc>
        <w:tc>
          <w:tcPr>
            <w:tcW w:w="4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60,516</w:t>
            </w: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59,617</w:t>
            </w:r>
          </w:p>
        </w:tc>
        <w:tc>
          <w:tcPr>
            <w:tcW w:w="3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60,322</w:t>
            </w:r>
          </w:p>
        </w:tc>
        <w:tc>
          <w:tcPr>
            <w:tcW w:w="3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59,465</w:t>
            </w:r>
          </w:p>
        </w:tc>
        <w:tc>
          <w:tcPr>
            <w:tcW w:w="120" w:type="dxa"/>
            <w:vAlign w:val="bottom"/>
            <w:tcBorders>
              <w:bottom w:val="single" w:sz="8" w:color="CCEEFF"/>
            </w:tcBorders>
            <w:shd w:val="clear" w:color="auto" w:fill="CCEEFF"/>
          </w:tcPr>
          <w:p>
            <w:pPr>
              <w:spacing w:after="0"/>
              <w:rPr>
                <w:sz w:val="13"/>
                <w:szCs w:val="13"/>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Contact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Sarah Mena Guerrero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617-714-6684</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media@blueprintmedicines.com</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Contact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Jenna Cohen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857-209-3147</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8" w:name="page9"/>
    <w:bookmarkEnd w:id="8"/>
    <w:p>
      <w:pPr>
        <w:ind w:left="9420"/>
        <w:spacing w:after="0"/>
        <w:rPr>
          <w:sz w:val="20"/>
          <w:szCs w:val="20"/>
          <w:color w:val="auto"/>
        </w:rPr>
      </w:pPr>
      <w:r>
        <w:rPr>
          <w:rFonts w:ascii="Arial" w:cs="Arial" w:eastAsia="Arial" w:hAnsi="Arial"/>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122555</wp:posOffset>
            </wp:positionV>
            <wp:extent cx="7223760" cy="5029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3760" cy="5029200"/>
                    </a:xfrm>
                    <a:prstGeom prst="rect">
                      <a:avLst/>
                    </a:prstGeom>
                    <a:noFill/>
                  </pic:spPr>
                </pic:pic>
              </a:graphicData>
            </a:graphic>
          </wp:anchor>
        </w:drawing>
      </w:r>
    </w:p>
    <w:p>
      <w:pPr>
        <w:sectPr>
          <w:pgSz w:w="11900" w:h="16838" w:orient="portrait"/>
          <w:cols w:equalWidth="0" w:num="1">
            <w:col w:w="10160"/>
          </w:cols>
          <w:pgMar w:left="1440" w:top="121" w:right="29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23760" cy="5029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376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23760" cy="5034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376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23760" cy="5029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376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23760" cy="5029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376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2376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376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23760" cy="502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376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23760" cy="5029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376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23760" cy="5029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376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23760" cy="5029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376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23760" cy="5029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3760" cy="5029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2023-08-02T06:10:24Z</dcterms:created>
  <dcterms:modified xsi:type="dcterms:W3CDTF">2023-08-02T06:10:24Z</dcterms:modified>
</cp:coreProperties>
</file>