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100355.xml.htm"/>
      <w:bookmarkStart w:id="1" w:name="ksform403042025_1003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McCain Tracey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71,845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96.57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11,000 restricted stock units under the Issuer's 2024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1/48th of the shares underlying the option on April 1, 2025 and as to an additional 1/48th of the shares underlying the option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600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3457</Characters>
  <CharactersWithSpaces>4027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