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19,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09"/>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0" w:right="339" w:bottom="1440" w:gutter="0" w:footer="0" w:header="0"/>
          <w:type w:val="continuous"/>
        </w:sectPr>
      </w:pPr>
    </w:p>
    <w:bookmarkStart w:id="1" w:name="page2"/>
    <w:bookmarkEnd w:id="1"/>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On January 20, 2022, Blueprint Medicines Corporation (the “Company”) announced that, effective April 4, 2022 (the “Transition Date”), Philina Lee, currently Senior Vice President, Head of Portfolio Strategy, has been appointed by the Board of Directors to serve as the Company’s Chief Commercial Officer.</w:t>
      </w:r>
    </w:p>
    <w:p>
      <w:pPr>
        <w:spacing w:after="0" w:line="18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connection with this transition, on January 19, 2022, Dr. Lee entered into an amended and restated employment agreement, effective as of the Transition Date (the “Lee Agreement”), pursuant to which she will receive an annual base salary of $440,000 and her target annual incentive compensation shall be 50% of her base salary, weighted 75% on Company performance and 25% on Dr. Lee’s individual performance. For the period beginning on January 1, 2022 and ending on April 3, 2022 (the “Transition Period”), Dr. Lee is eligible to earn prorated incentive compensation under her existing employment agreement in connection with her services as Senior Vice President, Head of Portfolio Strategy during such period based on Dr. Lee’s target annual incentive compensation equal to 35% of her annual base salary as in effect during such period (which shall be weighed 50% on Company performance and 50% on Dr. Lee’s individual performance), provided Dr. Lee remains employed by the Company on the day such incentive compensation is paid. In connection with her appointment, Dr. Lee was granted options to purchase 17,500 shares of the Company’s common stock, 25% of which will vest upon the one year anniversary of the earlier of (a) the date on which annual equity awards are granted to the Company’s employees for 2022 and (b) the Transition Date (the “Grant Date”) and 75% of which shall thereafter vest ratably in monthly installments over 36 months subject to continued service through each applicable vesting date, and 8,750 restricted stock units, which shall vest ratably in annual installments over four years beginning on the one year anniversary of the Grant Date subject to continued service through each applicable vesting date. Dr. Lee’s existing equity awards will continue to vest in accordance with their terms.</w:t>
      </w:r>
    </w:p>
    <w:p>
      <w:pPr>
        <w:spacing w:after="0" w:line="1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description of the Lee Agreement is qualified in its entirety by reference to the complete text of such agreement, which is attached as Exhibit 10.1to this Current Report on Form 8-K, and incorporated by reference herein.</w:t>
      </w:r>
    </w:p>
    <w:p>
      <w:pPr>
        <w:spacing w:after="0" w:line="1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Dr. Lee joined Blueprint Medicines in August 2014 as Senior Director, New Product Strategy and Development and subsequently held multiple commercial roles with responsibility for strategy, operations, patient services, marketing and the precision medicine field team. During her tenure, she has been instrumental in building the company’s portfolio from research-stage onwards, laying the groundwork for the commercial strategy that is driving the successful launches of AYVAKIT® (avapritinib) and GAVRETO® (pralsetinib). Since January 2021, Dr. Lee has served as Senior Vice President, Head of Portfolio Strategy and Program Management, responsible for providing strategic and operational leadership across the company’s portfolio. Previously, Dr. Lee held product strategy and marketing roles of increasing responsibility at Algeta, Sanofi and Genzyme. Dr. Lee also serves on the board of Fusion Pharmaceuticals, as a member of both the Nomination and Governance committee and Research and Development committee. Dr. Lee earned a B.S. in Biochemistry from the University of Alberta, and a Ph.D. in Cell Biology from the Massachusetts Institute of Technology. No arrangement or understanding exists between Dr. Lee and any other person pursuant to which Dr. Lee was selected to serve as Chief Commercial Officer of the Company. There have been no related party transactions between the Company or any of its subsidiaries and Dr. Lee reportable under Item 404(a) of Regulation S-K. Dr. Lee does not have a family relationship with any of our directors or executive officers.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copy of the Company’s press release announcing the foregoing is attached to this Current Report on Form 8-K as Exhibit 99.1. The information in this Item 7.01 and in Exhibit 99.1 attached hereto is intended to be furnished and shall not be deemed “filed” for purposes of Section 18 of the Exchange Act, or otherwise subject to the liabilities of that section, nor shall it be deemed incorporated by reference in any filing under the Securities Act of 1933, as amended, or the Exchange Act, except as expressly set forth by specific reference 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2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90"/>
        </w:trPr>
        <w:tc>
          <w:tcPr>
            <w:tcW w:w="1140" w:type="dxa"/>
            <w:vAlign w:val="bottom"/>
            <w:gridSpan w:val="2"/>
          </w:tcPr>
          <w:p>
            <w:pPr>
              <w:spacing w:after="0" w:line="190" w:lineRule="exact"/>
              <w:rPr>
                <w:rFonts w:ascii="Arial" w:cs="Arial" w:eastAsia="Arial" w:hAnsi="Arial"/>
                <w:sz w:val="18"/>
                <w:szCs w:val="18"/>
                <w:color w:val="0000EE"/>
              </w:rPr>
            </w:pPr>
            <w:hyperlink w:anchor="page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100" w:type="dxa"/>
            <w:vAlign w:val="bottom"/>
            <w:gridSpan w:val="4"/>
          </w:tcPr>
          <w:p>
            <w:pPr>
              <w:spacing w:after="0" w:line="190"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Amended and Restated Employment Agreement, dated January 19, 2022 and effective as of April 4, 2022, by and between the Registrant</w:t>
              </w:r>
            </w:hyperlink>
          </w:p>
        </w:tc>
      </w:tr>
      <w:tr>
        <w:trPr>
          <w:trHeight w:val="196"/>
        </w:trPr>
        <w:tc>
          <w:tcPr>
            <w:tcW w:w="32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and Philina Lee</w:t>
              </w:r>
            </w:hyperlink>
          </w:p>
        </w:tc>
        <w:tc>
          <w:tcPr>
            <w:tcW w:w="8760" w:type="dxa"/>
            <w:vAlign w:val="bottom"/>
            <w:tcBorders>
              <w:top w:val="single" w:sz="8" w:color="0000EE"/>
            </w:tcBorders>
            <w:gridSpan w:val="2"/>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140" w:type="dxa"/>
            <w:vAlign w:val="bottom"/>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100" w:type="dxa"/>
            <w:vAlign w:val="bottom"/>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January 20,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 and incorporated as Exhibit 101)</w:t>
            </w:r>
          </w:p>
        </w:tc>
      </w:tr>
      <w:tr>
        <w:trPr>
          <w:trHeight w:val="70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Arial" w:cs="Arial" w:eastAsia="Arial" w:hAnsi="Arial"/>
                <w:sz w:val="18"/>
                <w:szCs w:val="18"/>
                <w:b w:val="1"/>
                <w:bCs w:val="1"/>
                <w:color w:val="auto"/>
              </w:rPr>
              <w:t>BLUEPRINT MEDICINES CORPORATION</w:t>
            </w:r>
          </w:p>
        </w:tc>
      </w:tr>
      <w:tr>
        <w:trPr>
          <w:trHeight w:val="432"/>
        </w:trPr>
        <w:tc>
          <w:tcPr>
            <w:tcW w:w="3680" w:type="dxa"/>
            <w:vAlign w:val="bottom"/>
          </w:tcPr>
          <w:p>
            <w:pPr>
              <w:ind w:left="60"/>
              <w:spacing w:after="0"/>
              <w:rPr>
                <w:sz w:val="20"/>
                <w:szCs w:val="20"/>
                <w:color w:val="auto"/>
              </w:rPr>
            </w:pPr>
            <w:r>
              <w:rPr>
                <w:rFonts w:ascii="Arial" w:cs="Arial" w:eastAsia="Arial" w:hAnsi="Arial"/>
                <w:sz w:val="18"/>
                <w:szCs w:val="18"/>
                <w:color w:val="auto"/>
              </w:rPr>
              <w:t>Date: January 20, 2022</w:t>
            </w:r>
          </w:p>
        </w:tc>
        <w:tc>
          <w:tcPr>
            <w:tcW w:w="7560" w:type="dxa"/>
            <w:vAlign w:val="bottom"/>
            <w:gridSpan w:val="2"/>
          </w:tcPr>
          <w:p>
            <w:pPr>
              <w:ind w:left="1960"/>
              <w:spacing w:after="0"/>
              <w:rPr>
                <w:sz w:val="20"/>
                <w:szCs w:val="20"/>
                <w:color w:val="auto"/>
              </w:rPr>
            </w:pPr>
            <w:r>
              <w:rPr>
                <w:rFonts w:ascii="Arial" w:cs="Arial" w:eastAsia="Arial" w:hAnsi="Arial"/>
                <w:sz w:val="18"/>
                <w:szCs w:val="18"/>
                <w:color w:val="auto"/>
              </w:rPr>
              <w:t>By: /s/ Jeffrey W. Albers</w:t>
            </w:r>
          </w:p>
        </w:tc>
      </w:tr>
      <w:tr>
        <w:trPr>
          <w:trHeight w:val="195"/>
        </w:trPr>
        <w:tc>
          <w:tcPr>
            <w:tcW w:w="36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r>
      <w:tr>
        <w:trPr>
          <w:trHeight w:val="230"/>
        </w:trPr>
        <w:tc>
          <w:tcPr>
            <w:tcW w:w="36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4" w:name="page5"/>
    <w:bookmarkEnd w:id="4"/>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337310" cy="488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Elevates Two Talented Leaders to its Executive Team</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Philina Lee, Ph.D., promoted to Chief Commercial Officer --</w:t>
      </w:r>
    </w:p>
    <w:p>
      <w:pPr>
        <w:spacing w:after="0" w:line="225" w:lineRule="exact"/>
        <w:rPr>
          <w:sz w:val="20"/>
          <w:szCs w:val="20"/>
          <w:color w:val="auto"/>
        </w:rPr>
      </w:pPr>
    </w:p>
    <w:p>
      <w:pPr>
        <w:ind w:left="3560" w:hanging="173"/>
        <w:spacing w:after="0"/>
        <w:tabs>
          <w:tab w:leader="none" w:pos="3560" w:val="left"/>
        </w:tabs>
        <w:numPr>
          <w:ilvl w:val="1"/>
          <w:numId w:val="2"/>
        </w:numPr>
        <w:rPr>
          <w:rFonts w:ascii="Arial" w:cs="Arial" w:eastAsia="Arial" w:hAnsi="Arial"/>
          <w:sz w:val="18"/>
          <w:szCs w:val="18"/>
          <w:color w:val="auto"/>
        </w:rPr>
      </w:pPr>
      <w:r>
        <w:rPr>
          <w:rFonts w:ascii="Arial" w:cs="Arial" w:eastAsia="Arial" w:hAnsi="Arial"/>
          <w:sz w:val="18"/>
          <w:szCs w:val="18"/>
          <w:color w:val="auto"/>
        </w:rPr>
        <w:t>Helen Ho, Ph.D., role expanded to Chief Business Officer –</w:t>
      </w:r>
    </w:p>
    <w:p>
      <w:pPr>
        <w:spacing w:after="0" w:line="225" w:lineRule="exact"/>
        <w:rPr>
          <w:rFonts w:ascii="Arial" w:cs="Arial" w:eastAsia="Arial" w:hAnsi="Arial"/>
          <w:sz w:val="18"/>
          <w:szCs w:val="18"/>
          <w:color w:val="auto"/>
        </w:rPr>
      </w:pPr>
    </w:p>
    <w:p>
      <w:pPr>
        <w:ind w:left="2340" w:hanging="164"/>
        <w:spacing w:after="0"/>
        <w:tabs>
          <w:tab w:leader="none" w:pos="2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Demonstrates strong bench of talent and commitment to diversity in roles of all levels within</w:t>
      </w:r>
    </w:p>
    <w:p>
      <w:pPr>
        <w:spacing w:after="0" w:line="23" w:lineRule="exact"/>
        <w:rPr>
          <w:rFonts w:ascii="Arial" w:cs="Arial" w:eastAsia="Arial" w:hAnsi="Arial"/>
          <w:sz w:val="18"/>
          <w:szCs w:val="18"/>
          <w:color w:val="auto"/>
        </w:rPr>
      </w:pPr>
    </w:p>
    <w:p>
      <w:pPr>
        <w:ind w:left="4800"/>
        <w:spacing w:after="0"/>
        <w:rPr>
          <w:rFonts w:ascii="Arial" w:cs="Arial" w:eastAsia="Arial" w:hAnsi="Arial"/>
          <w:sz w:val="18"/>
          <w:szCs w:val="18"/>
          <w:color w:val="auto"/>
        </w:rPr>
      </w:pPr>
      <w:r>
        <w:rPr>
          <w:rFonts w:ascii="Arial" w:cs="Arial" w:eastAsia="Arial" w:hAnsi="Arial"/>
          <w:sz w:val="18"/>
          <w:szCs w:val="18"/>
          <w:color w:val="auto"/>
        </w:rPr>
        <w:t>Blueprint Medicines --</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CAMBRIDGE, Mass., (Jan. 20, 2022) / PRNewswire/ -- Blueprint Medicines Corporation (NASDAQ: BPMC) today announced two executive leadership changes highlighting the company’s commitment to developing exceptional leaders. Effective April 4, 2022, Philina Lee, Ph.D. will be promoted to Chief Commercial Officer, succeeding Christina Rossi as she transitions to Chief Operating Officer. With her promotion, Dr. Lee will become an officer of the company and assume responsibility for Blueprint’s global commercial strategy and U.S. operations. In an expanded role, Helen Ho, Ph.D., will become Chief Business Officer, adding Portfolio Strategy &amp; Program Management to her current responsibilities for Corporate and Business Development. Dr. Lee and Dr. Ho will join the company’s Executive Team.</w:t>
      </w:r>
    </w:p>
    <w:p>
      <w:pPr>
        <w:spacing w:after="0" w:line="19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“I’m thrilled to announce the elevation of these two talented and dedicated Blueprint Medicines colleagues,” said Jeff Albers, Chief Executive Officer, Blueprint Medicines. “The work of impacting patient lives takes great people to be successful and we are intentional about cultivating internal talent, enabling thoughtful succession planning in support of Blueprint’s continued success. We believe we are poised for transformational growth over the next 12-18 months. As Philina and Helen step into these roles, their leadership help will ensure consistency of approach while bringing diversity of perspective and experience as we work to achieve our goals.”</w:t>
      </w:r>
    </w:p>
    <w:p>
      <w:pPr>
        <w:spacing w:after="0" w:line="18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Dr. Lee joined Blueprint Medicines in August 2014 as Senior Director, New Product Strategy and Development and subsequently held multiple commercial roles with responsibility for strategy, operations, patient services, marketing and the precision medicine field team. During her tenure, she has been instrumental in building the company’s portfolio from research-stage onwards, laying the groundwork for the commercial strategy that is driving the</w:t>
      </w:r>
    </w:p>
    <w:p>
      <w:pPr>
        <w:spacing w:after="0" w:line="2"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successful launches of AYVAKIT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(avapritinib) and GAVRETO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(pralsetinib). Since January 2021, Dr. Lee has served as Senior Vice President, Head of Portfolio Strategy and Program Management, responsible for providing strategic and operational leadership across the company’s portfolio. Previously, Dr. Lee held product strategy and marketing roles of increasing responsibility at Algeta, Sanofi and Genzyme. Dr. Lee also serves on the board of Fusion Pharmaceuticals, as a member of both the Nomination and Governance committee and Research and Development committee. Dr. Lee earned a B.S. in Biochemistry from the University of Alberta, and a Ph.D. in Cell Biology from the Massachusetts Institute of Technology.</w:t>
      </w:r>
    </w:p>
    <w:p>
      <w:pPr>
        <w:spacing w:after="0" w:line="20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Dr. Ho joined Blueprint Medicines in April 2018 as Vice President, Corporate Development, to lead business development, corporate strategy, new product planning and alliance management, and was promoted to Senior Vice President in January 2021. During her tenure, she has played a central role in establishing and operating successful strategic partnerships with Roche, Ipsen, CStone Pharmaceuticals, and Zai Lab, as well as the acquisition of Lengo</w:t>
      </w:r>
    </w:p>
    <w:p>
      <w:pPr>
        <w:spacing w:after="0" w:line="2"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Therapeutics. Prior to joining Blueprint Medicines, Dr. Ho served in corporate development roles at TCR</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Therapeutics and Agios Pharmaceuticals and as a management consultant at LEK Consulting. Dr. Ho earned a B.S. in Biochemistry from University of California, Los Angeles, and a Ph.D. in Cell Biology from Yale University.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systemic mastocytosis, lung cancer and other genomically defined cancers, and cancer immunotherapy. For more information, visit www.BlueprintMedicines.com and follow us on Twitter (@BlueprintMeds)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timelines for marketing applications and approvals, the initiation of clinical trials or the results of ongoing and planned clinical trials; plans to expand Blueprint Medicines’ scientific platform; Blueprint Medicines' plans, strategies and timelines to nominate development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 preliminary selected financial results; Blueprint Medicines' strategy, goals, potential growth and related timelines, and anticipated financial performance, milestones, business plans and focus; and the potential benefits from Blueprint Medicines’ leadership development and succession planning.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timing and results of preclinical and clinical studies for Blueprint Medicines' drug candidates, which may not support further development of such drug candidates or may impact the timing of data publications or regulatory submissions;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Blueprint Medicines’ ability to successfully expand its operations and scientific platform and the costs thereof; the success of Blueprint Medicines' current and future collaborations, partnerships or licensing arrangements; and Blueprint Medicines' ability to realize the anticipated benefits of its succession planning and leadership development and transitions.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Blueprint Medicines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Sarah Mena Guerrero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(617) 714-6684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media@blueprintmedicines.com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(617) 714-6674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10.1</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COPY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&amp;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2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This Amended &amp; Restated Employment Agreement (“Agreement”) is between Blueprint Medicines Corporation, a Delaware corporation (the “Company”), and Philina Lee (the “Executive”) and is effective as of April 4, 2022 (the “Effective Date”).</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the Company and the Executive are parties to the Employment Agreement dated as of January 1, 2021 (the “Original Employment Agreement”);</w:t>
      </w:r>
    </w:p>
    <w:p>
      <w:pPr>
        <w:spacing w:after="0" w:line="170"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WHEREAS, the Company and the Executive desire to enter into this Agreement effective as of the Effective Date to replace the Original Employment Agreement, provided the Executive is employed by the Company on the Effective Date; and</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employ the Executive and the Executive desires to be employed by the Company on the terms and conditions contained herein.</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70"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4"/>
        <w:spacing w:after="0" w:line="259" w:lineRule="auto"/>
        <w:tabs>
          <w:tab w:leader="none" w:pos="2215"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continue until terminated in accordance with the provisions of Section 3 (the “Term”). Notwithstanding anything to the contrary in this Agreement, the Executive’s employment with the Company will be “at will,” meaning that the Executive’s employment may be terminated by the Company or the Executive at any time and for any reason, subject to the terms of this Agreement.</w:t>
      </w:r>
    </w:p>
    <w:p>
      <w:pPr>
        <w:spacing w:after="0" w:line="186" w:lineRule="exact"/>
        <w:rPr>
          <w:rFonts w:ascii="Arial" w:cs="Arial" w:eastAsia="Arial" w:hAnsi="Arial"/>
          <w:sz w:val="18"/>
          <w:szCs w:val="18"/>
          <w:color w:val="auto"/>
        </w:rPr>
      </w:pPr>
    </w:p>
    <w:p>
      <w:pPr>
        <w:ind w:right="20" w:firstLine="1304"/>
        <w:spacing w:after="0" w:line="254" w:lineRule="auto"/>
        <w:tabs>
          <w:tab w:leader="none" w:pos="2225"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Effective as of the Effective Date, the Executive shall resign as Senior Vice President, Head of Portfolio Strategy and shall serve as the Chief Commercial Officer of the Company, and shall have such duties as are consistent with such position. The Executive shall report to the Chief Operating Officer of the Company (the “Chief Operating Officer”) or another authorized executive. The Executive shall devote her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her performance of her duties to the Company as provided in this Agreement.</w:t>
      </w:r>
    </w:p>
    <w:p>
      <w:pPr>
        <w:spacing w:after="0" w:line="194"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4"/>
        <w:spacing w:after="0" w:line="257" w:lineRule="auto"/>
        <w:tabs>
          <w:tab w:leader="none" w:pos="2215"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Effective as of the Effective Date, the Executive’s annual base salary shall be $440,000. The Executive’s base salary shall be re-determined annually by the Board or the Compensation Committee of the Board (the “Compensation Committee”) and shall be subject to increase but not decrease while the Executive is serving in the Chief Commercial Officer role. The Executive’s annual base salary in effect at any given time is referred to herein as the “Base Salary.” The Base Salary shall be payable in a manner that is consistent with the Company’s usual payroll practices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ind w:right="680" w:firstLine="1304"/>
        <w:spacing w:after="0" w:line="263" w:lineRule="auto"/>
        <w:tabs>
          <w:tab w:leader="none" w:pos="2225"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Equity</w:t>
      </w:r>
      <w:r>
        <w:rPr>
          <w:rFonts w:ascii="Arial" w:cs="Arial" w:eastAsia="Arial" w:hAnsi="Arial"/>
          <w:sz w:val="18"/>
          <w:szCs w:val="18"/>
          <w:color w:val="auto"/>
        </w:rPr>
        <w:t>. The Executive may be eligible to receive future equity awards under the Company’s 2015 Stock Option and Incentive Plan (as amended and/or restated from time to time) or such other equity plan as then in effect, in the sole discretion of the Board or the Compensation Committee.</w:t>
      </w:r>
    </w:p>
    <w:p>
      <w:pPr>
        <w:spacing w:after="0" w:line="183" w:lineRule="exact"/>
        <w:rPr>
          <w:rFonts w:ascii="Arial" w:cs="Arial" w:eastAsia="Arial" w:hAnsi="Arial"/>
          <w:sz w:val="18"/>
          <w:szCs w:val="18"/>
          <w:color w:val="auto"/>
        </w:rPr>
      </w:pPr>
    </w:p>
    <w:p>
      <w:pPr>
        <w:ind w:firstLine="656"/>
        <w:spacing w:after="0" w:line="275" w:lineRule="auto"/>
        <w:tabs>
          <w:tab w:leader="none" w:pos="1792"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During the Term, the Executive shall be eligible to receive cash incentive compensation as determined by the Board or the Compensation Committee from time to time. The Executive’s target annual incentive compensation shall be 50% of the Base Salary (the “Target Incentive Compensation”). The Board or the Compensation Committee shall weigh its bonus determination as follows: 75% on Company performance and 25% on Executive’s individual performance. To earn incentive compensation, the Executive must be employed by the Company on the day such incentive compensation is paid. For the avoidance of doubt, notwithstanding anything to the contrary herein:</w:t>
      </w:r>
    </w:p>
    <w:p>
      <w:pPr>
        <w:spacing w:after="0" w:line="176" w:lineRule="exact"/>
        <w:rPr>
          <w:rFonts w:ascii="Arial" w:cs="Arial" w:eastAsia="Arial" w:hAnsi="Arial"/>
          <w:sz w:val="17"/>
          <w:szCs w:val="17"/>
          <w:color w:val="auto"/>
        </w:rPr>
      </w:pPr>
    </w:p>
    <w:p>
      <w:pPr>
        <w:ind w:left="660" w:right="80" w:firstLine="644"/>
        <w:spacing w:after="0" w:line="257" w:lineRule="auto"/>
        <w:tabs>
          <w:tab w:leader="none" w:pos="2242" w:val="left"/>
        </w:tabs>
        <w:numPr>
          <w:ilvl w:val="1"/>
          <w:numId w:val="5"/>
        </w:numPr>
        <w:rPr>
          <w:rFonts w:ascii="Arial" w:cs="Arial" w:eastAsia="Arial" w:hAnsi="Arial"/>
          <w:sz w:val="18"/>
          <w:szCs w:val="18"/>
          <w:color w:val="424242"/>
        </w:rPr>
      </w:pPr>
      <w:r>
        <w:rPr>
          <w:rFonts w:ascii="Arial" w:cs="Arial" w:eastAsia="Arial" w:hAnsi="Arial"/>
          <w:sz w:val="18"/>
          <w:szCs w:val="18"/>
          <w:color w:val="auto"/>
        </w:rPr>
        <w:t>for the year that ended December 31, 2021, the Executive is eligible to receive incentive compensation in connection with her services as Senior Vice President, Head of Portfolio Strategy of the Company during such year as determined by the Board or the Compensation Committee based on the Executive’s target incentive compensation under the Original Employment Agreement as previously determined by the Compensation Committee, provided the Executive remains employed by the Company on the day such incentive compensation is paid; and</w:t>
      </w:r>
    </w:p>
    <w:p>
      <w:pPr>
        <w:spacing w:after="0" w:line="187" w:lineRule="exact"/>
        <w:rPr>
          <w:rFonts w:ascii="Arial" w:cs="Arial" w:eastAsia="Arial" w:hAnsi="Arial"/>
          <w:sz w:val="18"/>
          <w:szCs w:val="18"/>
          <w:color w:val="424242"/>
        </w:rPr>
      </w:pPr>
    </w:p>
    <w:p>
      <w:pPr>
        <w:ind w:left="740" w:right="240" w:firstLine="564"/>
        <w:spacing w:after="0" w:line="273" w:lineRule="auto"/>
        <w:tabs>
          <w:tab w:leader="none" w:pos="2208" w:val="left"/>
        </w:tabs>
        <w:numPr>
          <w:ilvl w:val="1"/>
          <w:numId w:val="6"/>
        </w:numPr>
        <w:rPr>
          <w:rFonts w:ascii="Arial" w:cs="Arial" w:eastAsia="Arial" w:hAnsi="Arial"/>
          <w:sz w:val="17"/>
          <w:szCs w:val="17"/>
          <w:color w:val="424242"/>
        </w:rPr>
      </w:pPr>
      <w:r>
        <w:rPr>
          <w:rFonts w:ascii="Arial" w:cs="Arial" w:eastAsia="Arial" w:hAnsi="Arial"/>
          <w:sz w:val="17"/>
          <w:szCs w:val="17"/>
          <w:color w:val="auto"/>
        </w:rPr>
        <w:t>for the period beginning on January 1, 2022 and ending on April 3, 2022 (inclusive), the Executive is eligible to earn prorated incentive compensation under the Original Employment Agreement in connection with her services as Senior Vice President, Head of Portfolio Strategy of the Company during such period as determined by the Board or the Compensation Committee based on the Executive’s target incentive compensation equal to 35% of her annual base salary as in effect during such period (and the Board or the Compensation Committee shall weigh its bonus determination 50% on Company performance and 50% on Executive’s individual performance), provided the Executive remains employed by the Company on the day such incentive compensation is paid.</w:t>
      </w:r>
    </w:p>
    <w:p>
      <w:pPr>
        <w:spacing w:after="0" w:line="177" w:lineRule="exact"/>
        <w:rPr>
          <w:rFonts w:ascii="Arial" w:cs="Arial" w:eastAsia="Arial" w:hAnsi="Arial"/>
          <w:sz w:val="17"/>
          <w:szCs w:val="17"/>
          <w:color w:val="424242"/>
        </w:rPr>
      </w:pPr>
    </w:p>
    <w:p>
      <w:pPr>
        <w:ind w:right="360" w:firstLine="1304"/>
        <w:spacing w:after="0" w:line="263" w:lineRule="auto"/>
        <w:tabs>
          <w:tab w:leader="none" w:pos="2215"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Executive shall be entitled to receive prompt reimbursement for all reasonable expenses incurred by her during the Term in performing services hereunder, in accordance with the policies and procedures then in effect and established by the Company for its senior executive officers.</w:t>
      </w:r>
    </w:p>
    <w:p>
      <w:pPr>
        <w:spacing w:after="0" w:line="183" w:lineRule="exact"/>
        <w:rPr>
          <w:rFonts w:ascii="Arial" w:cs="Arial" w:eastAsia="Arial" w:hAnsi="Arial"/>
          <w:sz w:val="18"/>
          <w:szCs w:val="18"/>
          <w:color w:val="auto"/>
        </w:rPr>
      </w:pPr>
    </w:p>
    <w:p>
      <w:pPr>
        <w:ind w:right="280" w:firstLine="1304"/>
        <w:spacing w:after="0" w:line="277" w:lineRule="auto"/>
        <w:tabs>
          <w:tab w:leader="none" w:pos="2225"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the Executive shall be eligible to participate in or receive benefits under the Company’s employee benefit plans in effect from time to time, subject to the terms of such plans.</w:t>
      </w:r>
    </w:p>
    <w:p>
      <w:pPr>
        <w:spacing w:after="0" w:line="170" w:lineRule="exact"/>
        <w:rPr>
          <w:rFonts w:ascii="Arial" w:cs="Arial" w:eastAsia="Arial" w:hAnsi="Arial"/>
          <w:sz w:val="18"/>
          <w:szCs w:val="18"/>
          <w:color w:val="auto"/>
        </w:rPr>
      </w:pPr>
    </w:p>
    <w:p>
      <w:pPr>
        <w:ind w:left="2220" w:hanging="916"/>
        <w:spacing w:after="0"/>
        <w:tabs>
          <w:tab w:leader="none" w:pos="2220" w:val="left"/>
        </w:tabs>
        <w:numPr>
          <w:ilvl w:val="1"/>
          <w:numId w:val="7"/>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During the Term, the Executive shall be entitled to paid vacation in accordance with the Company’s applicable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policy.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right="200" w:firstLine="656"/>
        <w:spacing w:after="0" w:line="277" w:lineRule="auto"/>
        <w:tabs>
          <w:tab w:leader="none" w:pos="1368"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During the Term, the Executive’s employment hereunder may be terminated without any breach of this Agreement under the following circumstances:</w:t>
      </w:r>
    </w:p>
    <w:p>
      <w:pPr>
        <w:spacing w:after="0" w:line="170" w:lineRule="exact"/>
        <w:rPr>
          <w:rFonts w:ascii="Arial" w:cs="Arial" w:eastAsia="Arial" w:hAnsi="Arial"/>
          <w:sz w:val="18"/>
          <w:szCs w:val="18"/>
          <w:color w:val="auto"/>
        </w:rPr>
      </w:pPr>
    </w:p>
    <w:p>
      <w:pPr>
        <w:ind w:left="2220" w:hanging="916"/>
        <w:spacing w:after="0"/>
        <w:tabs>
          <w:tab w:leader="none" w:pos="222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her death.</w:t>
      </w:r>
    </w:p>
    <w:p>
      <w:pPr>
        <w:spacing w:after="0" w:line="225" w:lineRule="exact"/>
        <w:rPr>
          <w:rFonts w:ascii="Arial" w:cs="Arial" w:eastAsia="Arial" w:hAnsi="Arial"/>
          <w:sz w:val="18"/>
          <w:szCs w:val="18"/>
          <w:color w:val="auto"/>
        </w:rPr>
      </w:pPr>
    </w:p>
    <w:p>
      <w:pPr>
        <w:ind w:right="40" w:firstLine="1304"/>
        <w:spacing w:after="0" w:line="269" w:lineRule="auto"/>
        <w:tabs>
          <w:tab w:leader="none" w:pos="2225"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The Company may terminate the Executive’s employment if she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181" w:lineRule="exact"/>
        <w:rPr>
          <w:rFonts w:ascii="Arial" w:cs="Arial" w:eastAsia="Arial" w:hAnsi="Arial"/>
          <w:sz w:val="17"/>
          <w:szCs w:val="17"/>
          <w:color w:val="auto"/>
        </w:rPr>
      </w:pPr>
    </w:p>
    <w:p>
      <w:pPr>
        <w:ind w:firstLine="1304"/>
        <w:spacing w:after="0" w:line="268" w:lineRule="auto"/>
        <w:tabs>
          <w:tab w:leader="none" w:pos="2215"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Termination by Company for Cause</w:t>
      </w:r>
      <w:r>
        <w:rPr>
          <w:rFonts w:ascii="Arial" w:cs="Arial" w:eastAsia="Arial" w:hAnsi="Arial"/>
          <w:sz w:val="17"/>
          <w:szCs w:val="17"/>
          <w:color w:val="auto"/>
        </w:rPr>
        <w:t>. The Company may terminate the Executive’s employment hereunder for Cause. For purposes of this Agreement, “Cause” shall mean: (i) 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she were retained in her position; (iii) continued non-performance by the Executive of her duties hereunder (other than by reason of the Executive’s physical or mental illness, incapacity or disability) which has continued for more than 30 days following written notice of such non-performance from the Chief Operating Officer or the Chief Executive Officer of the Company;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right="60" w:firstLine="1304"/>
        <w:spacing w:after="0" w:line="259" w:lineRule="auto"/>
        <w:tabs>
          <w:tab w:leader="none" w:pos="222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86" w:lineRule="exact"/>
        <w:rPr>
          <w:rFonts w:ascii="Arial" w:cs="Arial" w:eastAsia="Arial" w:hAnsi="Arial"/>
          <w:sz w:val="18"/>
          <w:szCs w:val="18"/>
          <w:color w:val="auto"/>
        </w:rPr>
      </w:pPr>
    </w:p>
    <w:p>
      <w:pPr>
        <w:ind w:firstLine="1304"/>
        <w:spacing w:after="0" w:line="287" w:lineRule="auto"/>
        <w:tabs>
          <w:tab w:leader="none" w:pos="221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Termination by the Executive</w:t>
      </w:r>
      <w:r>
        <w:rPr>
          <w:rFonts w:ascii="Arial" w:cs="Arial" w:eastAsia="Arial" w:hAnsi="Arial"/>
          <w:sz w:val="16"/>
          <w:szCs w:val="16"/>
          <w:color w:val="auto"/>
        </w:rPr>
        <w:t>. The Executive may terminate her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her employment within 60 days after the end of the Cure Period. If the Company cures the Good Reason condition during the Cure Period, Good Reason shall be deemed not to have occurred.</w:t>
      </w:r>
    </w:p>
    <w:p>
      <w:pPr>
        <w:spacing w:after="0" w:line="167" w:lineRule="exact"/>
        <w:rPr>
          <w:rFonts w:ascii="Arial" w:cs="Arial" w:eastAsia="Arial" w:hAnsi="Arial"/>
          <w:sz w:val="16"/>
          <w:szCs w:val="16"/>
          <w:color w:val="auto"/>
        </w:rPr>
      </w:pPr>
    </w:p>
    <w:p>
      <w:pPr>
        <w:jc w:val="both"/>
        <w:ind w:right="120" w:firstLine="1304"/>
        <w:spacing w:after="0" w:line="311" w:lineRule="auto"/>
        <w:tabs>
          <w:tab w:leader="none" w:pos="224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48" w:lineRule="exact"/>
        <w:rPr>
          <w:rFonts w:ascii="Arial" w:cs="Arial" w:eastAsia="Arial" w:hAnsi="Arial"/>
          <w:sz w:val="16"/>
          <w:szCs w:val="16"/>
          <w:color w:val="auto"/>
        </w:rPr>
      </w:pPr>
    </w:p>
    <w:p>
      <w:pPr>
        <w:ind w:firstLine="1304"/>
        <w:spacing w:after="0" w:line="271" w:lineRule="auto"/>
        <w:tabs>
          <w:tab w:leader="none" w:pos="222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Date of Termination</w:t>
      </w:r>
      <w:r>
        <w:rPr>
          <w:rFonts w:ascii="Arial" w:cs="Arial" w:eastAsia="Arial" w:hAnsi="Arial"/>
          <w:sz w:val="17"/>
          <w:szCs w:val="17"/>
          <w:color w:val="auto"/>
        </w:rPr>
        <w:t>. “Date of Termination” shall mean: (i) if the Executive’s employment is terminated by her death, the date of her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20" w:right="80" w:firstLine="1304"/>
        <w:spacing w:after="0" w:line="257" w:lineRule="auto"/>
        <w:tabs>
          <w:tab w:leader="none" w:pos="2205"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Consent to Amended and Restated Employment Agreement</w:t>
      </w:r>
      <w:r>
        <w:rPr>
          <w:rFonts w:ascii="Arial" w:cs="Arial" w:eastAsia="Arial" w:hAnsi="Arial"/>
          <w:sz w:val="18"/>
          <w:szCs w:val="18"/>
          <w:color w:val="auto"/>
        </w:rPr>
        <w:t>. The Executive hereby gives her express written consent to this Agreement which amends and restates the Original Employment Agreement. Accordingly, the Executive acknowledges and agrees that none of the terms hereof shall serve as the basis of a “Good Reason” trigger as defined in this Agreement or the Original Employment Agreement, and therefore the Executive shall not be eligible to resign for Good Reason as a result of any terms, or in connection with the negotiation, execution and delivery, of this Agreement.</w:t>
      </w:r>
    </w:p>
    <w:p>
      <w:pPr>
        <w:spacing w:after="0" w:line="187" w:lineRule="exact"/>
        <w:rPr>
          <w:rFonts w:ascii="Arial" w:cs="Arial" w:eastAsia="Arial" w:hAnsi="Arial"/>
          <w:sz w:val="18"/>
          <w:szCs w:val="18"/>
          <w:color w:val="auto"/>
        </w:rPr>
      </w:pPr>
    </w:p>
    <w:p>
      <w:pPr>
        <w:ind w:left="1280" w:hanging="644"/>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60" w:firstLine="1304"/>
        <w:spacing w:after="0" w:line="293" w:lineRule="auto"/>
        <w:tabs>
          <w:tab w:leader="none" w:pos="2195"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Termination Generally</w:t>
      </w:r>
      <w:r>
        <w:rPr>
          <w:rFonts w:ascii="Arial" w:cs="Arial" w:eastAsia="Arial" w:hAnsi="Arial"/>
          <w:sz w:val="16"/>
          <w:szCs w:val="16"/>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2(c) of this Agreement) and, if applicable,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64" w:lineRule="exact"/>
        <w:rPr>
          <w:rFonts w:ascii="Arial" w:cs="Arial" w:eastAsia="Arial" w:hAnsi="Arial"/>
          <w:sz w:val="16"/>
          <w:szCs w:val="16"/>
          <w:color w:val="auto"/>
        </w:rPr>
      </w:pPr>
    </w:p>
    <w:p>
      <w:pPr>
        <w:ind w:left="-20" w:right="100" w:firstLine="1304"/>
        <w:spacing w:after="0" w:line="289" w:lineRule="auto"/>
        <w:tabs>
          <w:tab w:leader="none" w:pos="2205"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Termination by the Company Without Cause or by the Executive with Good Reason</w:t>
      </w:r>
      <w:r>
        <w:rPr>
          <w:rFonts w:ascii="Arial" w:cs="Arial" w:eastAsia="Arial" w:hAnsi="Arial"/>
          <w:sz w:val="16"/>
          <w:szCs w:val="16"/>
          <w:color w:val="auto"/>
        </w:rPr>
        <w:t>.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(i) the Executive signing a separation agreement containing, among other provisions, a general release of claims in favor of the Company and related persons and entities, confidentiality, return of property and non-disparagement, and a noncompetition agreement with terms substantially similar to the Restrictive Covenants Agreement (as defined below), and which shall provide that if the Executive breaches any provision of the Restrictive Covenants Agreement or any other continuing obligations the Executive has to the Company, then all payments of the Severance Amount shall immediately cease, such separation agreement to be in a form and manner satisfactory to the Company (the “Separation Agreement and Release”) and (ii) the Separation Agreement and Release becoming irrevocable, all within 60 days after the Date of Termination (or such shorter period as set forth in the Separation Agreement and Release):</w:t>
      </w:r>
    </w:p>
    <w:p>
      <w:pPr>
        <w:spacing w:after="0" w:line="166" w:lineRule="exact"/>
        <w:rPr>
          <w:rFonts w:ascii="Arial" w:cs="Arial" w:eastAsia="Arial" w:hAnsi="Arial"/>
          <w:sz w:val="16"/>
          <w:szCs w:val="16"/>
          <w:color w:val="auto"/>
        </w:rPr>
      </w:pPr>
    </w:p>
    <w:p>
      <w:pPr>
        <w:ind w:left="640" w:firstLine="1292"/>
        <w:spacing w:after="0" w:line="259" w:lineRule="auto"/>
        <w:tabs>
          <w:tab w:leader="none" w:pos="2870" w:val="left"/>
        </w:tabs>
        <w:numPr>
          <w:ilvl w:val="2"/>
          <w:numId w:val="11"/>
        </w:numPr>
        <w:rPr>
          <w:rFonts w:ascii="Arial" w:cs="Arial" w:eastAsia="Arial" w:hAnsi="Arial"/>
          <w:sz w:val="18"/>
          <w:szCs w:val="18"/>
          <w:color w:val="424242"/>
        </w:rPr>
      </w:pPr>
      <w:r>
        <w:rPr>
          <w:rFonts w:ascii="Arial" w:cs="Arial" w:eastAsia="Arial" w:hAnsi="Arial"/>
          <w:sz w:val="18"/>
          <w:szCs w:val="18"/>
          <w:color w:val="auto"/>
        </w:rPr>
        <w:t>the Company shall pay the Executive an amount equal to one (1) times the Executive’s Base Salary (the “Severance Amount”), provided in the event the Executive is entitled to any payments pursuant to the Restrictive Covenants Agreement, the Severance Amount will be reduced by the amount the Executive is paid pursuant to the Restrictive Covenants Agreement (the “Restrictive Covenants Agreement Setoff”);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11" w:name="page12"/>
    <w:bookmarkEnd w:id="11"/>
    <w:p>
      <w:pPr>
        <w:ind w:left="660" w:right="40" w:firstLine="1292"/>
        <w:spacing w:after="0" w:line="257" w:lineRule="auto"/>
        <w:tabs>
          <w:tab w:leader="none" w:pos="2850" w:val="left"/>
        </w:tabs>
        <w:numPr>
          <w:ilvl w:val="0"/>
          <w:numId w:val="12"/>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18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61" w:lineRule="exact"/>
        <w:rPr>
          <w:sz w:val="20"/>
          <w:szCs w:val="20"/>
          <w:color w:val="auto"/>
        </w:rPr>
      </w:pPr>
    </w:p>
    <w:p>
      <w:pPr>
        <w:ind w:right="20" w:firstLine="656"/>
        <w:spacing w:after="0" w:line="275" w:lineRule="auto"/>
        <w:tabs>
          <w:tab w:leader="none" w:pos="1368"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Sale Event Payment</w:t>
      </w:r>
      <w:r>
        <w:rPr>
          <w:rFonts w:ascii="Arial" w:cs="Arial" w:eastAsia="Arial" w:hAnsi="Arial"/>
          <w:sz w:val="17"/>
          <w:szCs w:val="17"/>
          <w:color w:val="auto"/>
        </w:rPr>
        <w:t>. The provisions of this Section 5 are intended to assure and encourage in advance the Executive’s continued attention and dedication to her assigned duties and her objectivity during the pendency and after the occurrence of any Sale Event (as defined below). These provisions shall apply in lieu of, and expressly supersede, the provisions of Section 4(b) regarding severance pay and benefits upon a termination of employment, if the Date of Termination occurs within twelve (12) months after the occurrence of the first event constituting a Sale Event. These provisions shall terminate and be of no further force or effect beginning twelve (12) months after the occurrence of a Sale Event.</w:t>
      </w:r>
    </w:p>
    <w:p>
      <w:pPr>
        <w:spacing w:after="0" w:line="176" w:lineRule="exact"/>
        <w:rPr>
          <w:rFonts w:ascii="Arial" w:cs="Arial" w:eastAsia="Arial" w:hAnsi="Arial"/>
          <w:sz w:val="17"/>
          <w:szCs w:val="17"/>
          <w:color w:val="auto"/>
        </w:rPr>
      </w:pPr>
    </w:p>
    <w:p>
      <w:pPr>
        <w:jc w:val="both"/>
        <w:ind w:right="20" w:firstLine="1304"/>
        <w:spacing w:after="0" w:line="279" w:lineRule="auto"/>
        <w:tabs>
          <w:tab w:leader="none" w:pos="1990"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Sale Event</w:t>
      </w:r>
      <w:r>
        <w:rPr>
          <w:rFonts w:ascii="Arial" w:cs="Arial" w:eastAsia="Arial" w:hAnsi="Arial"/>
          <w:sz w:val="17"/>
          <w:szCs w:val="17"/>
          <w:color w:val="auto"/>
        </w:rPr>
        <w:t>. During the Term, if within twelve (12) months after a Sale Event,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 (or such shorter period as set forth in the Separation Agreement and Release),</w:t>
      </w:r>
    </w:p>
    <w:p>
      <w:pPr>
        <w:spacing w:after="0" w:line="171" w:lineRule="exact"/>
        <w:rPr>
          <w:rFonts w:ascii="Arial" w:cs="Arial" w:eastAsia="Arial" w:hAnsi="Arial"/>
          <w:sz w:val="17"/>
          <w:szCs w:val="17"/>
          <w:color w:val="auto"/>
        </w:rPr>
      </w:pPr>
    </w:p>
    <w:p>
      <w:pPr>
        <w:jc w:val="both"/>
        <w:ind w:left="660" w:right="200" w:firstLine="1292"/>
        <w:spacing w:after="0" w:line="279" w:lineRule="auto"/>
        <w:tabs>
          <w:tab w:leader="none" w:pos="2890" w:val="left"/>
        </w:tabs>
        <w:numPr>
          <w:ilvl w:val="2"/>
          <w:numId w:val="13"/>
        </w:numPr>
        <w:rPr>
          <w:rFonts w:ascii="Arial" w:cs="Arial" w:eastAsia="Arial" w:hAnsi="Arial"/>
          <w:sz w:val="17"/>
          <w:szCs w:val="17"/>
          <w:color w:val="424242"/>
        </w:rPr>
      </w:pPr>
      <w:r>
        <w:rPr>
          <w:rFonts w:ascii="Arial" w:cs="Arial" w:eastAsia="Arial" w:hAnsi="Arial"/>
          <w:sz w:val="17"/>
          <w:szCs w:val="17"/>
          <w:color w:val="auto"/>
        </w:rPr>
        <w:t>the Company shall pay the Executive a lump sum in cash in an amount equal to the sum of (A) one and one-half (1.5) times the Executive’s current Base Salary (or the Executive’s Base Salary in effect immediately prior to the Sale Event, if higher) plus (B) one and one-half (1.5) times the Executive’s Target Incentive Compensation ((A) and (B) together, the “Change in Control Payment”), provided any Change in Control Payment shall be less the Restrictive Covenants Agreement Setoff, if applicable; and</w:t>
      </w:r>
    </w:p>
    <w:p>
      <w:pPr>
        <w:spacing w:after="0" w:line="171" w:lineRule="exact"/>
        <w:rPr>
          <w:rFonts w:ascii="Arial" w:cs="Arial" w:eastAsia="Arial" w:hAnsi="Arial"/>
          <w:sz w:val="17"/>
          <w:szCs w:val="17"/>
          <w:color w:val="424242"/>
        </w:rPr>
      </w:pPr>
    </w:p>
    <w:p>
      <w:pPr>
        <w:ind w:left="660" w:right="40" w:firstLine="1292"/>
        <w:spacing w:after="0" w:line="257" w:lineRule="auto"/>
        <w:tabs>
          <w:tab w:leader="none" w:pos="2850" w:val="left"/>
        </w:tabs>
        <w:numPr>
          <w:ilvl w:val="2"/>
          <w:numId w:val="13"/>
        </w:numPr>
        <w:rPr>
          <w:rFonts w:ascii="Arial" w:cs="Arial" w:eastAsia="Arial" w:hAnsi="Arial"/>
          <w:sz w:val="18"/>
          <w:szCs w:val="18"/>
          <w:color w:val="424242"/>
        </w:rPr>
      </w:pPr>
      <w:r>
        <w:rPr>
          <w:rFonts w:ascii="Arial" w:cs="Arial" w:eastAsia="Arial" w:hAnsi="Arial"/>
          <w:sz w:val="18"/>
          <w:szCs w:val="18"/>
          <w:color w:val="auto"/>
        </w:rPr>
        <w:t>if the Executive was participating in the Company’s group health (medical, dental and/or vision) plan immediately prior to the Date of Termination and elects COBRA health continuation, then the Company shall pay to the Executive a monthly cash payment for eighteen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ind w:left="560" w:right="100" w:firstLine="1292"/>
        <w:spacing w:after="0" w:line="257" w:lineRule="auto"/>
        <w:tabs>
          <w:tab w:leader="none" w:pos="2711" w:val="left"/>
        </w:tabs>
        <w:numPr>
          <w:ilvl w:val="0"/>
          <w:numId w:val="14"/>
        </w:numPr>
        <w:rPr>
          <w:rFonts w:ascii="Arial" w:cs="Arial" w:eastAsia="Arial" w:hAnsi="Arial"/>
          <w:sz w:val="18"/>
          <w:szCs w:val="18"/>
          <w:color w:val="424242"/>
        </w:rPr>
      </w:pPr>
      <w:r>
        <w:rPr>
          <w:rFonts w:ascii="Arial" w:cs="Arial" w:eastAsia="Arial" w:hAnsi="Arial"/>
          <w:sz w:val="18"/>
          <w:szCs w:val="18"/>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84" w:lineRule="exact"/>
        <w:rPr>
          <w:sz w:val="20"/>
          <w:szCs w:val="20"/>
          <w:color w:val="auto"/>
        </w:rPr>
      </w:pPr>
    </w:p>
    <w:p>
      <w:pPr>
        <w:ind w:left="1960" w:hanging="756"/>
        <w:spacing w:after="0"/>
        <w:tabs>
          <w:tab w:leader="none" w:pos="19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Additional Limitation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560" w:firstLine="1292"/>
        <w:spacing w:after="0" w:line="286" w:lineRule="auto"/>
        <w:tabs>
          <w:tab w:leader="none" w:pos="27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39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20" w:top="908" w:right="359" w:bottom="1440" w:gutter="0" w:footer="0" w:header="0"/>
        </w:sectPr>
      </w:pPr>
    </w:p>
    <w:bookmarkStart w:id="13" w:name="page14"/>
    <w:bookmarkEnd w:id="13"/>
    <w:p>
      <w:pPr>
        <w:ind w:left="660" w:right="40" w:firstLine="1292"/>
        <w:spacing w:after="0" w:line="273" w:lineRule="auto"/>
        <w:tabs>
          <w:tab w:leader="none" w:pos="2850" w:val="left"/>
        </w:tabs>
        <w:numPr>
          <w:ilvl w:val="1"/>
          <w:numId w:val="16"/>
        </w:numPr>
        <w:rPr>
          <w:rFonts w:ascii="Arial" w:cs="Arial" w:eastAsia="Arial" w:hAnsi="Arial"/>
          <w:sz w:val="17"/>
          <w:szCs w:val="17"/>
          <w:color w:val="auto"/>
        </w:rPr>
      </w:pPr>
      <w:r>
        <w:rPr>
          <w:rFonts w:ascii="Arial" w:cs="Arial" w:eastAsia="Arial" w:hAnsi="Arial"/>
          <w:sz w:val="17"/>
          <w:szCs w:val="17"/>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77" w:lineRule="exact"/>
        <w:rPr>
          <w:rFonts w:ascii="Arial" w:cs="Arial" w:eastAsia="Arial" w:hAnsi="Arial"/>
          <w:sz w:val="17"/>
          <w:szCs w:val="17"/>
          <w:color w:val="auto"/>
        </w:rPr>
      </w:pPr>
    </w:p>
    <w:p>
      <w:pPr>
        <w:ind w:left="660" w:firstLine="1292"/>
        <w:spacing w:after="0" w:line="257" w:lineRule="auto"/>
        <w:tabs>
          <w:tab w:leader="none" w:pos="2811"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7" w:lineRule="exact"/>
        <w:rPr>
          <w:rFonts w:ascii="Arial" w:cs="Arial" w:eastAsia="Arial" w:hAnsi="Arial"/>
          <w:sz w:val="18"/>
          <w:szCs w:val="18"/>
          <w:color w:val="auto"/>
        </w:rPr>
      </w:pPr>
    </w:p>
    <w:p>
      <w:pPr>
        <w:ind w:right="40" w:firstLine="1304"/>
        <w:spacing w:after="0" w:line="269" w:lineRule="auto"/>
        <w:tabs>
          <w:tab w:leader="none" w:pos="221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Sale Event Definitions</w:t>
      </w:r>
      <w:r>
        <w:rPr>
          <w:rFonts w:ascii="Arial" w:cs="Arial" w:eastAsia="Arial" w:hAnsi="Arial"/>
          <w:sz w:val="17"/>
          <w:szCs w:val="17"/>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definition of Sale Event in an option agreement or stock-based award agreement between the Executive and the Company dated prior to the Effective Date (each, a “Preexisting Equity Agreement”) is broader than this definition of Sale Event, the definition of Sale Event in such Preexisting Equity Agreement shall apply solely with respect to the equity award covered by such Preexisting Equity Agreement.</w:t>
      </w:r>
    </w:p>
    <w:p>
      <w:pPr>
        <w:spacing w:after="0" w:line="18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 w:name="page15"/>
    <w:bookmarkEnd w:id="14"/>
    <w:p>
      <w:pPr>
        <w:ind w:left="1280" w:hanging="644"/>
        <w:spacing w:after="0"/>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firstLine="1304"/>
        <w:spacing w:after="0" w:line="270" w:lineRule="auto"/>
        <w:tabs>
          <w:tab w:leader="none" w:pos="2195"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80" w:lineRule="exact"/>
        <w:rPr>
          <w:rFonts w:ascii="Arial" w:cs="Arial" w:eastAsia="Arial" w:hAnsi="Arial"/>
          <w:sz w:val="17"/>
          <w:szCs w:val="17"/>
          <w:color w:val="auto"/>
        </w:rPr>
      </w:pPr>
    </w:p>
    <w:p>
      <w:pPr>
        <w:ind w:left="-20" w:right="60" w:firstLine="1304"/>
        <w:spacing w:after="0" w:line="273" w:lineRule="auto"/>
        <w:tabs>
          <w:tab w:leader="none" w:pos="2205"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7" w:lineRule="exact"/>
        <w:rPr>
          <w:rFonts w:ascii="Arial" w:cs="Arial" w:eastAsia="Arial" w:hAnsi="Arial"/>
          <w:sz w:val="17"/>
          <w:szCs w:val="17"/>
          <w:color w:val="auto"/>
        </w:rPr>
      </w:pPr>
    </w:p>
    <w:p>
      <w:pPr>
        <w:ind w:left="-20" w:right="320" w:firstLine="1304"/>
        <w:spacing w:after="0" w:line="301" w:lineRule="auto"/>
        <w:tabs>
          <w:tab w:leader="none" w:pos="2195" w:val="left"/>
        </w:tabs>
        <w:numPr>
          <w:ilvl w:val="1"/>
          <w:numId w:val="18"/>
        </w:numPr>
        <w:rPr>
          <w:rFonts w:ascii="Arial" w:cs="Arial" w:eastAsia="Arial" w:hAnsi="Arial"/>
          <w:sz w:val="16"/>
          <w:szCs w:val="16"/>
          <w:color w:val="auto"/>
        </w:rPr>
      </w:pPr>
      <w:r>
        <w:rPr>
          <w:rFonts w:ascii="Arial" w:cs="Arial" w:eastAsia="Arial" w:hAnsi="Arial"/>
          <w:sz w:val="16"/>
          <w:szCs w:val="16"/>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57" w:lineRule="exact"/>
        <w:rPr>
          <w:rFonts w:ascii="Arial" w:cs="Arial" w:eastAsia="Arial" w:hAnsi="Arial"/>
          <w:sz w:val="16"/>
          <w:szCs w:val="16"/>
          <w:color w:val="auto"/>
        </w:rPr>
      </w:pPr>
    </w:p>
    <w:p>
      <w:pPr>
        <w:ind w:left="-20" w:right="60" w:firstLine="1304"/>
        <w:spacing w:after="0" w:line="273" w:lineRule="auto"/>
        <w:tabs>
          <w:tab w:leader="none" w:pos="2205"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7" w:lineRule="exact"/>
        <w:rPr>
          <w:rFonts w:ascii="Arial" w:cs="Arial" w:eastAsia="Arial" w:hAnsi="Arial"/>
          <w:sz w:val="17"/>
          <w:szCs w:val="17"/>
          <w:color w:val="auto"/>
        </w:rPr>
      </w:pPr>
    </w:p>
    <w:p>
      <w:pPr>
        <w:ind w:left="-20" w:right="300" w:firstLine="1304"/>
        <w:spacing w:after="0" w:line="263" w:lineRule="auto"/>
        <w:tabs>
          <w:tab w:leader="none" w:pos="2195"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15" w:name="page16"/>
    <w:bookmarkEnd w:id="15"/>
    <w:p>
      <w:pPr>
        <w:jc w:val="both"/>
        <w:ind w:right="160" w:firstLine="656"/>
        <w:spacing w:after="0" w:line="286" w:lineRule="auto"/>
        <w:tabs>
          <w:tab w:leader="none" w:pos="1637"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Restrictive Covenants Agreement</w:t>
      </w:r>
      <w:r>
        <w:rPr>
          <w:rFonts w:ascii="Arial" w:cs="Arial" w:eastAsia="Arial" w:hAnsi="Arial"/>
          <w:sz w:val="17"/>
          <w:szCs w:val="17"/>
          <w:color w:val="auto"/>
        </w:rPr>
        <w:t>. The Executive hereby acknowledges and agrees that the terms of the Employee Confidentiality, Assignment, Non-Solicitation and Non-Competition Agreement by and between the Company and the Executive signed by the Company on February 25, 2021 and by the Executive on March 2, 2021 (the “Restrictive Covenants Agreement”) remains in full force and effect.</w:t>
      </w:r>
    </w:p>
    <w:p>
      <w:pPr>
        <w:spacing w:after="0" w:line="165" w:lineRule="exact"/>
        <w:rPr>
          <w:rFonts w:ascii="Arial" w:cs="Arial" w:eastAsia="Arial" w:hAnsi="Arial"/>
          <w:sz w:val="17"/>
          <w:szCs w:val="17"/>
          <w:color w:val="auto"/>
        </w:rPr>
      </w:pPr>
    </w:p>
    <w:p>
      <w:pPr>
        <w:ind w:right="40" w:firstLine="656"/>
        <w:spacing w:after="0" w:line="269" w:lineRule="auto"/>
        <w:tabs>
          <w:tab w:leader="none" w:pos="1637"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Arbitration of Disputes</w:t>
      </w:r>
      <w:r>
        <w:rPr>
          <w:rFonts w:ascii="Arial" w:cs="Arial" w:eastAsia="Arial" w:hAnsi="Arial"/>
          <w:sz w:val="17"/>
          <w:szCs w:val="17"/>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81" w:lineRule="exact"/>
        <w:rPr>
          <w:rFonts w:ascii="Arial" w:cs="Arial" w:eastAsia="Arial" w:hAnsi="Arial"/>
          <w:sz w:val="17"/>
          <w:szCs w:val="17"/>
          <w:color w:val="auto"/>
        </w:rPr>
      </w:pPr>
    </w:p>
    <w:p>
      <w:pPr>
        <w:jc w:val="both"/>
        <w:ind w:firstLine="656"/>
        <w:spacing w:after="0" w:line="257" w:lineRule="auto"/>
        <w:tabs>
          <w:tab w:leader="none" w:pos="1637"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7" w:lineRule="exact"/>
        <w:rPr>
          <w:rFonts w:ascii="Arial" w:cs="Arial" w:eastAsia="Arial" w:hAnsi="Arial"/>
          <w:sz w:val="18"/>
          <w:szCs w:val="18"/>
          <w:color w:val="auto"/>
        </w:rPr>
      </w:pPr>
    </w:p>
    <w:p>
      <w:pPr>
        <w:jc w:val="both"/>
        <w:ind w:firstLine="656"/>
        <w:spacing w:after="0" w:line="287" w:lineRule="auto"/>
        <w:tabs>
          <w:tab w:leader="none" w:pos="1574"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Effective as of the Effective Date, this Agreement constitutes the entire agreement between the parties with respect to the subject matter hereof and supersedes all other prior agreements, written or oral, between the parties concerning such subject matter (including without limitation any offer letter, the Original Employment Agreement or any severance agreement); provided that (i) the Restrictive Covenants Agreement and</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equity award agreements entered into by the Company and the Executive prior to the date hereof, in each case, are expressly preserved.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60" w:right="300" w:firstLine="656"/>
        <w:spacing w:after="0" w:line="277" w:lineRule="auto"/>
        <w:tabs>
          <w:tab w:leader="none" w:pos="148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w:t>
      </w:r>
    </w:p>
    <w:p>
      <w:pPr>
        <w:spacing w:after="0" w:line="170" w:lineRule="exact"/>
        <w:rPr>
          <w:rFonts w:ascii="Arial" w:cs="Arial" w:eastAsia="Arial" w:hAnsi="Arial"/>
          <w:sz w:val="18"/>
          <w:szCs w:val="18"/>
          <w:color w:val="auto"/>
        </w:rPr>
      </w:pPr>
    </w:p>
    <w:p>
      <w:pPr>
        <w:ind w:left="-60" w:right="60" w:firstLine="656"/>
        <w:spacing w:after="0" w:line="301" w:lineRule="auto"/>
        <w:tabs>
          <w:tab w:leader="none" w:pos="1487"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Successor to the Executive</w:t>
      </w:r>
      <w:r>
        <w:rPr>
          <w:rFonts w:ascii="Arial" w:cs="Arial" w:eastAsia="Arial" w:hAnsi="Arial"/>
          <w:sz w:val="16"/>
          <w:szCs w:val="16"/>
          <w:color w:val="auto"/>
        </w:rPr>
        <w:t>. This Agreement shall inure to the benefit of and be enforceable by the Executive’s personal representatives, executors, administrators, heirs, distributees, devisees and legatees. In the event of the Executive’s death after her termination of employment but prior to the completion by the Company of all payments due her under this Agreement, the Company shall continue such payments to the Executive’s beneficiary designated in writing to the Company prior to her death (or to her estate, if the Executive fails to make such designation).</w:t>
      </w:r>
    </w:p>
    <w:p>
      <w:pPr>
        <w:spacing w:after="0" w:line="157" w:lineRule="exact"/>
        <w:rPr>
          <w:rFonts w:ascii="Arial" w:cs="Arial" w:eastAsia="Arial" w:hAnsi="Arial"/>
          <w:sz w:val="16"/>
          <w:szCs w:val="16"/>
          <w:color w:val="auto"/>
        </w:rPr>
      </w:pPr>
    </w:p>
    <w:p>
      <w:pPr>
        <w:ind w:left="-60" w:firstLine="656"/>
        <w:spacing w:after="0" w:line="279" w:lineRule="auto"/>
        <w:tabs>
          <w:tab w:leader="none" w:pos="1487"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Arial" w:cs="Arial" w:eastAsia="Arial" w:hAnsi="Arial"/>
          <w:sz w:val="17"/>
          <w:szCs w:val="17"/>
          <w:color w:val="auto"/>
        </w:rPr>
      </w:pPr>
    </w:p>
    <w:p>
      <w:pPr>
        <w:ind w:left="-60" w:right="80" w:firstLine="656"/>
        <w:spacing w:after="0" w:line="277" w:lineRule="auto"/>
        <w:tabs>
          <w:tab w:leader="none" w:pos="148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170" w:lineRule="exact"/>
        <w:rPr>
          <w:rFonts w:ascii="Arial" w:cs="Arial" w:eastAsia="Arial" w:hAnsi="Arial"/>
          <w:sz w:val="18"/>
          <w:szCs w:val="18"/>
          <w:color w:val="auto"/>
        </w:rPr>
      </w:pPr>
    </w:p>
    <w:p>
      <w:pPr>
        <w:ind w:left="-60" w:right="180" w:firstLine="656"/>
        <w:spacing w:after="0" w:line="286" w:lineRule="auto"/>
        <w:tabs>
          <w:tab w:leader="none" w:pos="1487"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65" w:lineRule="exact"/>
        <w:rPr>
          <w:rFonts w:ascii="Arial" w:cs="Arial" w:eastAsia="Arial" w:hAnsi="Arial"/>
          <w:sz w:val="17"/>
          <w:szCs w:val="17"/>
          <w:color w:val="auto"/>
        </w:rPr>
      </w:pPr>
    </w:p>
    <w:p>
      <w:pPr>
        <w:ind w:left="-60" w:right="220" w:firstLine="656"/>
        <w:spacing w:after="0" w:line="259" w:lineRule="auto"/>
        <w:tabs>
          <w:tab w:leader="none" w:pos="148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86" w:lineRule="exact"/>
        <w:rPr>
          <w:rFonts w:ascii="Arial" w:cs="Arial" w:eastAsia="Arial" w:hAnsi="Arial"/>
          <w:sz w:val="18"/>
          <w:szCs w:val="18"/>
          <w:color w:val="auto"/>
        </w:rPr>
      </w:pPr>
    </w:p>
    <w:p>
      <w:pPr>
        <w:ind w:left="-60" w:right="460" w:firstLine="656"/>
        <w:spacing w:after="0" w:line="277" w:lineRule="auto"/>
        <w:tabs>
          <w:tab w:leader="none" w:pos="148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170" w:lineRule="exact"/>
        <w:rPr>
          <w:rFonts w:ascii="Arial" w:cs="Arial" w:eastAsia="Arial" w:hAnsi="Arial"/>
          <w:sz w:val="18"/>
          <w:szCs w:val="18"/>
          <w:color w:val="auto"/>
        </w:rPr>
      </w:pPr>
    </w:p>
    <w:p>
      <w:pPr>
        <w:ind w:left="-60" w:right="40" w:firstLine="656"/>
        <w:spacing w:after="0" w:line="259" w:lineRule="auto"/>
        <w:tabs>
          <w:tab w:leader="none" w:pos="148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80" w:top="908" w:right="399" w:bottom="1440" w:gutter="0" w:footer="0" w:header="0"/>
        </w:sectPr>
      </w:pPr>
    </w:p>
    <w:bookmarkStart w:id="17" w:name="page18"/>
    <w:bookmarkEnd w:id="17"/>
    <w:p>
      <w:pPr>
        <w:ind w:right="200" w:firstLine="656"/>
        <w:spacing w:after="0" w:line="277" w:lineRule="auto"/>
        <w:tabs>
          <w:tab w:leader="none" w:pos="154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54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Successor to Company</w:t>
      </w:r>
      <w:r>
        <w:rPr>
          <w:rFonts w:ascii="Arial" w:cs="Arial" w:eastAsia="Arial" w:hAnsi="Arial"/>
          <w:sz w:val="18"/>
          <w:szCs w:val="18"/>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IN WITNESS WHEREOF, the parties have executed this Agreement effective as of the Effective Date.</w:t>
      </w:r>
    </w:p>
    <w:p>
      <w:pPr>
        <w:spacing w:after="0" w:line="221" w:lineRule="exact"/>
        <w:rPr>
          <w:sz w:val="20"/>
          <w:szCs w:val="20"/>
          <w:color w:val="auto"/>
        </w:rPr>
      </w:pPr>
    </w:p>
    <w:p>
      <w:pPr>
        <w:jc w:val="right"/>
        <w:ind w:right="2060"/>
        <w:spacing w:after="0"/>
        <w:rPr>
          <w:sz w:val="20"/>
          <w:szCs w:val="20"/>
          <w:color w:val="auto"/>
        </w:rPr>
      </w:pPr>
      <w:r>
        <w:rPr>
          <w:rFonts w:ascii="Arial" w:cs="Arial" w:eastAsia="Arial" w:hAnsi="Arial"/>
          <w:sz w:val="18"/>
          <w:szCs w:val="18"/>
          <w:b w:val="1"/>
          <w:bCs w:val="1"/>
          <w:color w:val="auto"/>
        </w:rPr>
        <w:t>BLUEPRINT MEDICINES CORPORATION</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Albers</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Jeffrey Albers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January 19, 2022</w:t>
            </w:r>
          </w:p>
        </w:tc>
      </w:tr>
    </w:tbl>
    <w:p>
      <w:pPr>
        <w:spacing w:after="0" w:line="198" w:lineRule="exact"/>
        <w:rPr>
          <w:sz w:val="20"/>
          <w:szCs w:val="20"/>
          <w:color w:val="auto"/>
        </w:rPr>
      </w:pPr>
    </w:p>
    <w:p>
      <w:pPr>
        <w:jc w:val="center"/>
        <w:ind w:left="108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Philina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557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Philina Lee</w:t>
      </w:r>
    </w:p>
    <w:p>
      <w:pPr>
        <w:spacing w:after="0" w:line="23" w:lineRule="exact"/>
        <w:rPr>
          <w:sz w:val="20"/>
          <w:szCs w:val="20"/>
          <w:color w:val="auto"/>
        </w:rPr>
      </w:pPr>
    </w:p>
    <w:p>
      <w:pPr>
        <w:ind w:left="4980"/>
        <w:spacing w:after="0"/>
        <w:tabs>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5715</wp:posOffset>
            </wp:positionV>
            <wp:extent cx="31375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204" w:lineRule="exact"/>
        <w:rPr>
          <w:sz w:val="20"/>
          <w:szCs w:val="20"/>
          <w:color w:val="auto"/>
        </w:rPr>
      </w:pPr>
    </w:p>
    <w:p>
      <w:pPr>
        <w:ind w:left="2600"/>
        <w:spacing w:after="0"/>
        <w:rPr>
          <w:sz w:val="20"/>
          <w:szCs w:val="20"/>
          <w:color w:val="auto"/>
        </w:rPr>
      </w:pPr>
      <w:r>
        <w:rPr>
          <w:rFonts w:ascii="Arial" w:cs="Arial" w:eastAsia="Arial" w:hAnsi="Arial"/>
          <w:sz w:val="18"/>
          <w:szCs w:val="18"/>
          <w:i w:val="1"/>
          <w:iCs w:val="1"/>
          <w:color w:val="auto"/>
        </w:rPr>
        <w:t>[Signature Page – Amended &amp; Restated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80"/>
      </w:cols>
      <w:pgMar w:left="98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6EF438D"/>
    <w:multiLevelType w:val="hybridMultilevel"/>
    <w:lvl w:ilvl="0">
      <w:lvlJc w:val="left"/>
      <w:lvlText w:val="--"/>
      <w:numFmt w:val="bullet"/>
      <w:start w:val="1"/>
    </w:lvl>
    <w:lvl w:ilvl="1">
      <w:lvlJc w:val="left"/>
      <w:lvlText w:val="--"/>
      <w:numFmt w:val="bullet"/>
      <w:start w:val="1"/>
    </w:lvl>
  </w:abstractNum>
  <w:abstractNum w:abstractNumId="2">
    <w:nsid w:val="140E0F76"/>
    <w:multiLevelType w:val="hybridMultilevel"/>
    <w:lvl w:ilvl="0">
      <w:lvlJc w:val="left"/>
      <w:lvlText w:val="%1."/>
      <w:numFmt w:val="decimal"/>
      <w:start w:val="1"/>
    </w:lvl>
    <w:lvl w:ilvl="1">
      <w:lvlJc w:val="left"/>
      <w:lvlText w:val="(%2)"/>
      <w:numFmt w:val="lowerLetter"/>
      <w:start w:val="1"/>
    </w:lvl>
  </w:abstractNum>
  <w:abstractNum w:abstractNumId="3">
    <w:nsid w:val="3352255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
    <w:nsid w:val="109CF92E"/>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5">
    <w:nsid w:val="DED7263"/>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6">
    <w:nsid w:val="7FDCC233"/>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7">
    <w:nsid w:val="1BEFD79F"/>
    <w:multiLevelType w:val="hybridMultilevel"/>
    <w:lvl w:ilvl="0">
      <w:lvlJc w:val="left"/>
      <w:lvlText w:val="%1."/>
      <w:numFmt w:val="decimal"/>
      <w:start w:val="3"/>
    </w:lvl>
    <w:lvl w:ilvl="1">
      <w:lvlJc w:val="left"/>
      <w:lvlText w:val="(%2)"/>
      <w:numFmt w:val="lowerLetter"/>
      <w:start w:val="1"/>
    </w:lvl>
  </w:abstractNum>
  <w:abstractNum w:abstractNumId="8">
    <w:nsid w:val="41A7C4C9"/>
    <w:multiLevelType w:val="hybridMultilevel"/>
    <w:lvl w:ilvl="0">
      <w:lvlJc w:val="left"/>
      <w:lvlText w:val="(%1)"/>
      <w:numFmt w:val="lowerLetter"/>
      <w:start w:val="4"/>
    </w:lvl>
  </w:abstractNum>
  <w:abstractNum w:abstractNumId="9">
    <w:nsid w:val="6B68079A"/>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0">
    <w:nsid w:val="4E6AFB6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
    <w:nsid w:val="431BD7B7"/>
    <w:multiLevelType w:val="hybridMultilevel"/>
    <w:lvl w:ilvl="0">
      <w:lvlJc w:val="left"/>
      <w:lvlText w:val="(%1)"/>
      <w:numFmt w:val="lowerRoman"/>
      <w:start w:val="3"/>
    </w:lvl>
  </w:abstractNum>
  <w:abstractNum w:abstractNumId="14">
    <w:nsid w:val="3F2DBA31"/>
    <w:multiLevelType w:val="hybridMultilevel"/>
    <w:lvl w:ilvl="0">
      <w:lvlJc w:val="left"/>
      <w:lvlText w:val="(%1)"/>
      <w:numFmt w:val="lowerLetter"/>
      <w:start w:val="2"/>
    </w:lvl>
    <w:lvl w:ilvl="1">
      <w:lvlJc w:val="left"/>
      <w:lvlText w:val="(%2)"/>
      <w:numFmt w:val="lowerLetter"/>
      <w:start w:val="9"/>
    </w:lvl>
  </w:abstractNum>
  <w:abstractNum w:abstractNumId="15">
    <w:nsid w:val="7C83E458"/>
    <w:multiLevelType w:val="hybridMultilevel"/>
    <w:lvl w:ilvl="0">
      <w:lvlJc w:val="left"/>
      <w:lvlText w:val="%1"/>
      <w:numFmt w:val="lowerLetter"/>
      <w:start w:val="1"/>
    </w:lvl>
    <w:lvl w:ilvl="1">
      <w:lvlJc w:val="left"/>
      <w:lvlText w:val="(%2)"/>
      <w:numFmt w:val="lowerRoman"/>
      <w:start w:val="2"/>
    </w:lvl>
  </w:abstractNum>
  <w:abstractNum w:abstractNumId="16">
    <w:nsid w:val="257130A3"/>
    <w:multiLevelType w:val="hybridMultilevel"/>
    <w:lvl w:ilvl="0">
      <w:lvlJc w:val="left"/>
      <w:lvlText w:val="(%1)"/>
      <w:numFmt w:val="lowerLetter"/>
      <w:start w:val="3"/>
    </w:lvl>
    <w:lvl w:ilvl="1">
      <w:lvlJc w:val="left"/>
      <w:lvlText w:val="%2"/>
      <w:numFmt w:val="lowerRoman"/>
      <w:start w:val="1"/>
    </w:lvl>
  </w:abstractNum>
  <w:abstractNum w:abstractNumId="17">
    <w:nsid w:val="62BBD95A"/>
    <w:multiLevelType w:val="hybridMultilevel"/>
    <w:lvl w:ilvl="0">
      <w:lvlJc w:val="left"/>
      <w:lvlText w:val="%1."/>
      <w:numFmt w:val="decimal"/>
      <w:start w:val="6"/>
    </w:lvl>
    <w:lvl w:ilvl="1">
      <w:lvlJc w:val="left"/>
      <w:lvlText w:val="(%2)"/>
      <w:numFmt w:val="lowerLetter"/>
      <w:start w:val="1"/>
    </w:lvl>
  </w:abstractNum>
  <w:abstractNum w:abstractNumId="18">
    <w:nsid w:val="436C6125"/>
    <w:multiLevelType w:val="hybridMultilevel"/>
    <w:lvl w:ilvl="0">
      <w:lvlJc w:val="left"/>
      <w:lvlText w:val="%1"/>
      <w:numFmt w:val="lowerRoman"/>
      <w:start w:val="1"/>
    </w:lvl>
    <w:lvl w:ilvl="1">
      <w:lvlJc w:val="left"/>
      <w:lvlText w:val="%2."/>
      <w:numFmt w:val="decimal"/>
      <w:start w:val="7"/>
    </w:lvl>
  </w:abstractNum>
  <w:abstractNum w:abstractNumId="19">
    <w:nsid w:val="628C895D"/>
    <w:multiLevelType w:val="hybridMultilevel"/>
    <w:lvl w:ilvl="0">
      <w:lvlJc w:val="left"/>
      <w:lvlText w:val="(%1)"/>
      <w:numFmt w:val="lowerRoman"/>
      <w:start w:val="2"/>
    </w:lvl>
    <w:lvl w:ilvl="1">
      <w:lvlJc w:val="left"/>
      <w:lvlText w:val="%2"/>
      <w:numFmt w:val="decimal"/>
      <w:start w:val="1"/>
    </w:lvl>
  </w:abstractNum>
  <w:abstractNum w:abstractNumId="20">
    <w:nsid w:val="333AB105"/>
    <w:multiLevelType w:val="hybridMultilevel"/>
    <w:lvl w:ilvl="0">
      <w:lvlJc w:val="left"/>
      <w:lvlText w:val="%1."/>
      <w:numFmt w:val="decimal"/>
      <w:start w:val="11"/>
    </w:lvl>
  </w:abstractNum>
  <w:abstractNum w:abstractNumId="21">
    <w:nsid w:val="721DA317"/>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2022-01-20T07:10:01Z</dcterms:created>
  <dcterms:modified xsi:type="dcterms:W3CDTF">2022-01-20T07:10:01Z</dcterms:modified>
</cp:coreProperties>
</file>