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9, 2021 (December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196215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10"/>
        </w:trPr>
        <w:tc>
          <w:tcPr>
            <w:tcW w:w="4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28"/>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675"/>
        </w:trPr>
        <w:tc>
          <w:tcPr>
            <w:tcW w:w="4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firstLine="441"/>
        <w:spacing w:after="0" w:line="301" w:lineRule="auto"/>
        <w:rPr>
          <w:sz w:val="20"/>
          <w:szCs w:val="20"/>
          <w:color w:val="auto"/>
        </w:rPr>
      </w:pPr>
      <w:r>
        <w:rPr>
          <w:rFonts w:ascii="Arial" w:cs="Arial" w:eastAsia="Arial" w:hAnsi="Arial"/>
          <w:sz w:val="16"/>
          <w:szCs w:val="16"/>
          <w:color w:val="auto"/>
        </w:rPr>
        <w:t>Effective December 8, 2021, the Board of Directors (the “Board”) of Blueprint Medicines Corporation (the “Company”), on the recommendation of the Nominating and Corporate Governance Committee of the Board, unanimously appointed Daniella Beckman to fill a newly created vacancy on the Board resulting from an increase in the size of the Board from eight (8) to nine (9) directors. Ms. Beckman was appointed as a Class III director of the Company, to serve in such capacity until the annual meeting of the Company’s stockholders in 2023 or until her earlier resignation, death or removal.</w:t>
      </w:r>
    </w:p>
    <w:p>
      <w:pPr>
        <w:spacing w:after="0" w:line="15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Since September 2019, Ms. Beckman has served as the Chief Financial Officer of Tango Therapeutics, a targeted oncology biotechnology company. From November 2015 to September 2019, Ms. Beckman provided consulting services and served as the Interim Chief Financial Officer for several early-stage biotechnology companies. Prior to consulting, Ms. Beckman was the Chief Financial Officer of Idenix Pharmaceuticals from 2011 until its acquisition by Merck in 2014. Ms. Beckman has served on the board of directors and chair of the audit committee and a member of the compensation committee of Vor Biopharma, Inc., since July 2020, and on the board of directors and chair of the audit committee and a member of the nomination and governance committee of 5:01 Acquisition Corp, a special purpose acquisition company, since October 2020. Ms. Beckman previously served on the board of directors and chair of both the audit and the nomination and governance committees of Translate Bio, Inc. Ms. Beckman received a B.S. in business administration-accounting from Boston University.</w:t>
      </w:r>
    </w:p>
    <w:p>
      <w:pPr>
        <w:spacing w:after="0" w:line="17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Upon her election to the Board, Ms. Beckman was granted an option to purchase 7,000 shares of the Company’s Common Stock at an exercise price of $98.72 per share, which was the closing price of the Company’s Common Stock on the date of grant, which will vest in equal monthly installments during the three years following the grant date, subject to Ms. Beckman’s continued service on the Board. Ms. Beckman was also granted 3,400 restricted stock units, which will vest in equal annual installments over a three-year period beginning on the one-year anniversary of the grant date, subject to Ms. Beckman’s continued service on the Board. Each restricted stock unit will entitle Ms. Beckman to one share of the Company’s Common Stock if and when the restricted stock unit vests.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her election to the Board, Ms. Beckman has been appointed to serve as a member of the Audit Committee of the Board.</w:t>
      </w:r>
    </w:p>
    <w:p>
      <w:pPr>
        <w:spacing w:after="0" w:line="23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Ms. Beckman has no family relationship with any of the executive officers or directors of the Company. There are no arrangements or understandings between Ms. Beckman and any other person pursuant to which she was appointed as a director of the Company.</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connection with Ms. Beckman’s election to the Board, Ms. Beckman entered into the Company’s standard form of indemnification agreement, a copy of which was filed as Exhibit 10.11 to the Company’s Registration Statement on Form S-1 (File No. 333-202938) filed with the Securities and Exchange Commission on March 23, 2015. Pursuant to the terms of the indemnification agreement, the Company may be required, among other things, to indemnify Ms. Beckman for some expenses, including attorneys’ fees, judgments, fines and settlement amounts incurred by her in any action or proceeding arising out of her service as one of the Company’s directors.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copy of the Company’s press release announcing the appointment of Ms. Beckman is attached as Exhibit 99.1 to this Current Report on Form 8-K.</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680" w:type="dxa"/>
            <w:vAlign w:val="bottom"/>
          </w:tcPr>
          <w:p>
            <w:pPr>
              <w:spacing w:after="0"/>
              <w:rPr>
                <w:sz w:val="20"/>
                <w:szCs w:val="20"/>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5680" w:type="dxa"/>
            <w:vAlign w:val="bottom"/>
          </w:tcPr>
          <w:p>
            <w:pPr>
              <w:spacing w:after="0"/>
              <w:rPr>
                <w:sz w:val="19"/>
                <w:szCs w:val="19"/>
                <w:color w:val="auto"/>
              </w:rPr>
            </w:pPr>
          </w:p>
        </w:tc>
      </w:tr>
      <w:tr>
        <w:trPr>
          <w:trHeight w:val="190"/>
        </w:trPr>
        <w:tc>
          <w:tcPr>
            <w:tcW w:w="360" w:type="dxa"/>
            <w:vAlign w:val="bottom"/>
            <w:tcBorders>
              <w:bottom w:val="single" w:sz="8" w:color="0000EE"/>
            </w:tcBorders>
          </w:tcPr>
          <w:p>
            <w:pPr>
              <w:spacing w:after="0" w:line="190"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780" w:type="dxa"/>
            <w:vAlign w:val="bottom"/>
          </w:tcPr>
          <w:p>
            <w:pPr>
              <w:spacing w:after="0"/>
              <w:rPr>
                <w:sz w:val="16"/>
                <w:szCs w:val="16"/>
                <w:color w:val="auto"/>
              </w:rPr>
            </w:pPr>
          </w:p>
        </w:tc>
        <w:tc>
          <w:tcPr>
            <w:tcW w:w="5680" w:type="dxa"/>
            <w:vAlign w:val="bottom"/>
            <w:tcBorders>
              <w:bottom w:val="single" w:sz="8" w:color="0000EE"/>
            </w:tcBorders>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issued by Blueprint Medicines Corporation on December 9, 2021</w:t>
              </w:r>
            </w:hyperlink>
          </w:p>
        </w:tc>
      </w:tr>
    </w:tbl>
    <w:p>
      <w:pPr>
        <w:spacing w:after="0" w:line="13" w:lineRule="exact"/>
        <w:rPr>
          <w:sz w:val="20"/>
          <w:szCs w:val="20"/>
          <w:color w:val="auto"/>
        </w:rPr>
      </w:pPr>
    </w:p>
    <w:p>
      <w:pPr>
        <w:ind w:left="5580" w:right="879" w:hanging="5572"/>
        <w:spacing w:after="0" w:line="778"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incorporated as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282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3700" w:type="dxa"/>
            <w:vAlign w:val="bottom"/>
          </w:tcPr>
          <w:p>
            <w:pPr>
              <w:ind w:left="60"/>
              <w:spacing w:after="0"/>
              <w:rPr>
                <w:sz w:val="20"/>
                <w:szCs w:val="20"/>
                <w:color w:val="auto"/>
              </w:rPr>
            </w:pPr>
            <w:r>
              <w:rPr>
                <w:rFonts w:ascii="Arial" w:cs="Arial" w:eastAsia="Arial" w:hAnsi="Arial"/>
                <w:sz w:val="18"/>
                <w:szCs w:val="18"/>
                <w:color w:val="auto"/>
              </w:rPr>
              <w:t>Date: December 9, 2021</w:t>
            </w:r>
          </w:p>
        </w:tc>
        <w:tc>
          <w:tcPr>
            <w:tcW w:w="7540" w:type="dxa"/>
            <w:vAlign w:val="bottom"/>
            <w:gridSpan w:val="2"/>
          </w:tcPr>
          <w:p>
            <w:pPr>
              <w:ind w:left="2820"/>
              <w:spacing w:after="0"/>
              <w:rPr>
                <w:sz w:val="20"/>
                <w:szCs w:val="20"/>
                <w:color w:val="auto"/>
              </w:rPr>
            </w:pPr>
            <w:r>
              <w:rPr>
                <w:rFonts w:ascii="Arial" w:cs="Arial" w:eastAsia="Arial" w:hAnsi="Arial"/>
                <w:sz w:val="18"/>
                <w:szCs w:val="18"/>
                <w:color w:val="auto"/>
              </w:rPr>
              <w:t>By: /s/ Jeffrey W. Albers</w:t>
            </w:r>
          </w:p>
        </w:tc>
      </w:tr>
      <w:tr>
        <w:trPr>
          <w:trHeight w:val="195"/>
        </w:trPr>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7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4</w:t>
            </w: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132842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84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Appoints Daniella Beckman to its Board of Directors</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CAMBRIDGE, Mass., (Dec. 9, 2021) / PRNewswire/ -- Blueprint Medicines Corporation (NASDAQ: BPMC) today announced the appointment of Daniella Beckman to its board of directors. Ms. Beckman, who is currently the Chief Financial Officer of Tango Therapeutics and board member for Vor Biopharma and 5:01 Acquisition Corp, brings more than 20 years of corporate strategy, finance and business operations experience.</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“Daniella’s wealth of experience in the biopharmaceutical sector brings new strength to our Board of Directors,” said Jeff Albers, Chief Executive Officer and Chairman of the Board of Directors of Blueprint Medicines. “We welcome her perspective and expertise as we continue our evolution as a global leader in precision therapy.”</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“Blueprint Medicines has achieved impressive business results and impact for patients in its first 10 years, with two approved medicines, a broad pipeline and a fully integrated global business,” said Ms. Beckman. “I’m excited to join the company at the precipice of its next wave of growth, and I look forward to working with management and other board members to realize the promise of precision medicine for even more patients with significant medical needs.”</w:t>
      </w:r>
    </w:p>
    <w:p>
      <w:pPr>
        <w:spacing w:after="0" w:line="1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Ms. Beckman joins Blueprint Medicines with deep financial and operational experience across the biotechnology industry, having worked with both private and publicly traded companies throughout her career. At Tango Therapeutics, Ms. Beckman oversees finance, investor relations, and business development. Prior to joining Tango, Ms. Beckman was a consultant to early-stage biotechnology companies, leading financial activities and building companies’ financial infrastructures. She also served as Interim Chief Financial Officer for Neon Therapeutics. Previously, Ms. Beckman was Chief Financial Officer of Idenix Pharmaceuticals, where she was responsible for finance, investor relations, and IT until the company was acquired by Merck in 2014. Earlier in her career, she held various finance positions at Coley Pharmaceuticals, Biogen Idec, and PricewaterhouseCoopers (PwC). Ms. Beckman received her BA in business administration and accounting from Boston University. Ms. Beckman also serves as Chair of the Audit Committee and member of the Compensation Committee for the Board of Directors of Vor Biopharma, Chair of the Audit Committee and member of the Nomination and Governance Committee for the Board of Directors of 5:01 Acquisition Corp, and previously served as Chair of both the Audit and the Nomination and Governance Committees for the Board of Directors of Translate Bio.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Blueprint Medicines is a global precision therapy company that invents life-changing therapies for people with cancer and hematologic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to rapidly and reproducibly translate science into a broad pipeline of precision therapies. Today, we are delivering approved medicines directly to patients in the United States and Europe, and we are globally advancing multiple programs for genomically defined cancers, systemic mastocytosis, and cancer immunotherapy. For more information, visit www.BlueprintMedicines.com and follow us on Twitter (@BlueprintMeds)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842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28420" cy="53149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express or implied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timelines and expectations for the proposed acquisition (including future performance and revenue); and Blueprint Medicines’ strategy, goals and anticipated financial performance, milestones, business plans and focus. The words “aim,” “may,” “will,” “could,” “would,” “should,” “expect,” “plan,” “anticipate,” “intend,” “believe,” “estimate,”</w:t>
      </w:r>
    </w:p>
    <w:p>
      <w:pPr>
        <w:spacing w:after="0" w:line="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complete the proposed acquisition in a timely manner or at all; the occurrence of any event, change or other circumstances that could give rise to the termination of the proposed acquisition;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842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28420" cy="53149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Blueprint Medicines 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Sarah Mena Guerrero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714-6684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media@blueprintmedicines.com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2021-12-10T05:16:49Z</dcterms:created>
  <dcterms:modified xsi:type="dcterms:W3CDTF">2021-12-10T05:16:49Z</dcterms:modified>
</cp:coreProperties>
</file>