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210820</wp:posOffset>
            </wp:positionV>
            <wp:extent cx="16033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229870</wp:posOffset>
            </wp:positionV>
            <wp:extent cx="16033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9,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223520</wp:posOffset>
            </wp:positionV>
            <wp:extent cx="1603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Blueprint Medicines Corporation</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210820</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ectPr>
          <w:pgSz w:w="11900" w:h="16838" w:orient="portrait"/>
          <w:cols w:equalWidth="0" w:num="1">
            <w:col w:w="10080"/>
          </w:cols>
          <w:pgMar w:left="920" w:top="206" w:right="8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12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68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0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9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9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340" w:space="720"/>
            <w:col w:w="3000" w:space="720"/>
            <w:col w:w="2300"/>
          </w:cols>
          <w:pgMar w:left="920" w:top="206" w:right="899" w:bottom="1440" w:gutter="0" w:footer="0" w:header="0"/>
          <w:type w:val="continuous"/>
        </w:sectPr>
      </w:pPr>
    </w:p>
    <w:p>
      <w:pPr>
        <w:spacing w:after="0" w:line="331"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45 Sidney Street</w:t>
      </w:r>
    </w:p>
    <w:p>
      <w:pPr>
        <w:spacing w:after="0" w:line="27"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jc w:val="center"/>
        <w:ind w:right="15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7" w:lineRule="exact"/>
        <w:rPr>
          <w:sz w:val="24"/>
          <w:szCs w:val="24"/>
          <w:color w:val="auto"/>
        </w:rPr>
      </w:pPr>
    </w:p>
    <w:p>
      <w:pPr>
        <w:jc w:val="center"/>
        <w:ind w:right="208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20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480" w:space="720"/>
            <w:col w:w="2880"/>
          </w:cols>
          <w:pgMar w:left="920" w:top="206" w:right="899" w:bottom="1440" w:gutter="0" w:footer="0" w:header="0"/>
          <w:type w:val="continuous"/>
        </w:sectPr>
      </w:pP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83185</wp:posOffset>
            </wp:positionV>
            <wp:extent cx="16033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right="10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80" w:hanging="332"/>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980" w:hanging="332"/>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980" w:hanging="332"/>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980" w:hanging="332"/>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1" w:lineRule="exact"/>
        <w:rPr>
          <w:sz w:val="24"/>
          <w:szCs w:val="24"/>
          <w:color w:val="auto"/>
        </w:rPr>
      </w:pPr>
    </w:p>
    <w:p>
      <w:pPr>
        <w:ind w:right="400" w:firstLine="648"/>
        <w:spacing w:after="0" w:line="30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ind w:left="6760"/>
        <w:spacing w:after="0" w:line="207" w:lineRule="exact"/>
        <w:tabs>
          <w:tab w:leader="none" w:pos="890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44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2"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125"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040" w:type="dxa"/>
            <w:vAlign w:val="bottom"/>
            <w:tcBorders>
              <w:top w:val="single" w:sz="8" w:color="auto"/>
              <w:bottom w:val="single" w:sz="8" w:color="auto"/>
              <w:right w:val="single" w:sz="8" w:color="auto"/>
            </w:tcBorders>
          </w:tcPr>
          <w:p>
            <w:pPr>
              <w:jc w:val="center"/>
              <w:ind w:right="50"/>
              <w:spacing w:after="0"/>
              <w:rPr>
                <w:sz w:val="20"/>
                <w:szCs w:val="20"/>
                <w:color w:val="auto"/>
              </w:rPr>
            </w:pPr>
            <w:r>
              <w:rPr>
                <w:rFonts w:ascii="Arial" w:cs="Arial" w:eastAsia="Arial" w:hAnsi="Arial"/>
                <w:sz w:val="18"/>
                <w:szCs w:val="18"/>
                <w:color w:val="auto"/>
                <w:w w:val="93"/>
              </w:rPr>
              <w:t>Trading symbol(s)</w:t>
            </w:r>
          </w:p>
        </w:tc>
        <w:tc>
          <w:tcPr>
            <w:tcW w:w="4080" w:type="dxa"/>
            <w:vAlign w:val="bottom"/>
            <w:tcBorders>
              <w:top w:val="single" w:sz="8" w:color="auto"/>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040" w:type="dxa"/>
            <w:vAlign w:val="bottom"/>
            <w:tcBorders>
              <w:bottom w:val="single" w:sz="8" w:color="auto"/>
              <w:right w:val="single" w:sz="8" w:color="auto"/>
            </w:tcBorders>
          </w:tcPr>
          <w:p>
            <w:pPr>
              <w:jc w:val="center"/>
              <w:ind w:right="50"/>
              <w:spacing w:after="0"/>
              <w:rPr>
                <w:sz w:val="20"/>
                <w:szCs w:val="20"/>
                <w:color w:val="auto"/>
              </w:rPr>
            </w:pPr>
            <w:r>
              <w:rPr>
                <w:rFonts w:ascii="Arial" w:cs="Arial" w:eastAsia="Arial" w:hAnsi="Arial"/>
                <w:sz w:val="18"/>
                <w:szCs w:val="18"/>
                <w:color w:val="auto"/>
                <w:w w:val="96"/>
              </w:rPr>
              <w:t>BPMC</w:t>
            </w:r>
          </w:p>
        </w:tc>
        <w:tc>
          <w:tcPr>
            <w:tcW w:w="408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1"/>
              </w:rPr>
              <w:t>Nasdaq Global Select Market</w:t>
            </w:r>
          </w:p>
        </w:tc>
      </w:tr>
      <w:tr>
        <w:trPr>
          <w:trHeight w:val="433"/>
        </w:trPr>
        <w:tc>
          <w:tcPr>
            <w:tcW w:w="39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r>
    </w:tbl>
    <w:p>
      <w:pPr>
        <w:sectPr>
          <w:pgSz w:w="11900" w:h="16838" w:orient="portrait"/>
          <w:cols w:equalWidth="0" w:num="1">
            <w:col w:w="10080"/>
          </w:cols>
          <w:pgMar w:left="920" w:top="206" w:right="899" w:bottom="1440" w:gutter="0" w:footer="0" w:header="0"/>
          <w:type w:val="continuous"/>
        </w:sectPr>
      </w:pPr>
    </w:p>
    <w:bookmarkStart w:id="1" w:name="page2"/>
    <w:bookmarkEnd w:id="1"/>
    <w:p>
      <w:pPr>
        <w:ind w:left="160"/>
        <w:spacing w:after="0"/>
        <w:tabs>
          <w:tab w:leader="none" w:pos="10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ind w:left="160" w:right="159" w:firstLine="648"/>
        <w:spacing w:after="0" w:line="312" w:lineRule="auto"/>
        <w:rPr>
          <w:sz w:val="20"/>
          <w:szCs w:val="20"/>
          <w:color w:val="auto"/>
        </w:rPr>
      </w:pPr>
      <w:r>
        <w:rPr>
          <w:rFonts w:ascii="Arial" w:cs="Arial" w:eastAsia="Arial" w:hAnsi="Arial"/>
          <w:sz w:val="16"/>
          <w:szCs w:val="16"/>
          <w:color w:val="auto"/>
        </w:rPr>
        <w:t>On May 9, 2019, Blueprint Medicines Corporation announced its financial results for the quarter ended March 31, 2019 and other business highlights. The full text of the press release issued in connection with the announcement is furnished as Exhibit 99.1 to this Current Report on Form 8-K and is incorporated by reference herein.</w:t>
      </w:r>
    </w:p>
    <w:p>
      <w:pPr>
        <w:spacing w:after="0" w:line="147" w:lineRule="exact"/>
        <w:rPr>
          <w:sz w:val="20"/>
          <w:szCs w:val="20"/>
          <w:color w:val="auto"/>
        </w:rPr>
      </w:pPr>
    </w:p>
    <w:p>
      <w:pPr>
        <w:ind w:left="160" w:right="219" w:firstLine="648"/>
        <w:spacing w:after="0" w:line="257" w:lineRule="auto"/>
        <w:rPr>
          <w:sz w:val="20"/>
          <w:szCs w:val="20"/>
          <w:color w:val="auto"/>
        </w:rPr>
      </w:pPr>
      <w:r>
        <w:rPr>
          <w:rFonts w:ascii="Arial" w:cs="Arial" w:eastAsia="Arial" w:hAnsi="Arial"/>
          <w:sz w:val="18"/>
          <w:szCs w:val="18"/>
          <w:color w:val="auto"/>
        </w:rPr>
        <w:t>The information in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84" w:lineRule="exact"/>
        <w:rPr>
          <w:sz w:val="20"/>
          <w:szCs w:val="20"/>
          <w:color w:val="auto"/>
        </w:rPr>
      </w:pPr>
    </w:p>
    <w:p>
      <w:pPr>
        <w:ind w:left="160"/>
        <w:spacing w:after="0"/>
        <w:tabs>
          <w:tab w:leader="none" w:pos="10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160" w:right="919" w:firstLine="648"/>
        <w:spacing w:after="0" w:line="277" w:lineRule="auto"/>
        <w:rPr>
          <w:sz w:val="20"/>
          <w:szCs w:val="20"/>
          <w:color w:val="auto"/>
        </w:rPr>
      </w:pPr>
      <w:r>
        <w:rPr>
          <w:rFonts w:ascii="Arial" w:cs="Arial" w:eastAsia="Arial" w:hAnsi="Arial"/>
          <w:sz w:val="18"/>
          <w:szCs w:val="18"/>
          <w:color w:val="auto"/>
        </w:rPr>
        <w:t>The following exhibit relating to Item 2.02 of this Current Report on Form 8-K shall be deemed to be furnished and not filed:</w:t>
      </w:r>
    </w:p>
    <w:p>
      <w:pPr>
        <w:spacing w:after="0" w:line="180"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1540" w:type="dxa"/>
            <w:vAlign w:val="bottom"/>
            <w:gridSpan w:val="2"/>
          </w:tcPr>
          <w:p>
            <w:pPr>
              <w:ind w:left="120"/>
              <w:spacing w:after="0"/>
              <w:rPr>
                <w:sz w:val="20"/>
                <w:szCs w:val="20"/>
                <w:color w:val="auto"/>
              </w:rPr>
            </w:pPr>
            <w:r>
              <w:rPr>
                <w:rFonts w:ascii="Arial" w:cs="Arial" w:eastAsia="Arial" w:hAnsi="Arial"/>
                <w:sz w:val="18"/>
                <w:szCs w:val="18"/>
                <w:b w:val="1"/>
                <w:bCs w:val="1"/>
                <w:color w:val="auto"/>
              </w:rPr>
              <w:t>Exhibit No.</w:t>
            </w:r>
          </w:p>
        </w:tc>
        <w:tc>
          <w:tcPr>
            <w:tcW w:w="120" w:type="dxa"/>
            <w:vAlign w:val="bottom"/>
          </w:tcPr>
          <w:p>
            <w:pPr>
              <w:spacing w:after="0"/>
              <w:rPr>
                <w:sz w:val="20"/>
                <w:szCs w:val="20"/>
                <w:color w:val="auto"/>
              </w:rPr>
            </w:pPr>
          </w:p>
        </w:tc>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240" w:type="dxa"/>
            <w:vAlign w:val="bottom"/>
            <w:tcBorders>
              <w:top w:val="single" w:sz="8" w:color="auto"/>
            </w:tcBorders>
          </w:tcPr>
          <w:p>
            <w:pPr>
              <w:ind w:left="120"/>
              <w:spacing w:after="0" w:line="170" w:lineRule="exact"/>
              <w:rPr>
                <w:sz w:val="20"/>
                <w:szCs w:val="20"/>
                <w:color w:val="auto"/>
              </w:rPr>
            </w:pPr>
            <w:r>
              <w:rPr>
                <w:rFonts w:ascii="Arial" w:cs="Arial" w:eastAsia="Arial" w:hAnsi="Arial"/>
                <w:sz w:val="18"/>
                <w:szCs w:val="18"/>
                <w:color w:val="auto"/>
              </w:rPr>
              <w:t>99.1</w:t>
            </w:r>
          </w:p>
        </w:tc>
        <w:tc>
          <w:tcPr>
            <w:tcW w:w="3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260" w:type="dxa"/>
            <w:vAlign w:val="bottom"/>
            <w:tcBorders>
              <w:top w:val="single" w:sz="8" w:color="auto"/>
              <w:bottom w:val="single" w:sz="8" w:color="0000EE"/>
            </w:tcBorders>
          </w:tcPr>
          <w:p>
            <w:pPr>
              <w:spacing w:after="0" w:line="170"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Press release issued by Blueprint Medicines Corporation on May 9, 2019</w:t>
              </w:r>
            </w:hyperlink>
          </w:p>
        </w:tc>
        <w:tc>
          <w:tcPr>
            <w:tcW w:w="1800" w:type="dxa"/>
            <w:vAlign w:val="bottom"/>
            <w:tcBorders>
              <w:top w:val="single" w:sz="8" w:color="auto"/>
            </w:tcBorders>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83185</wp:posOffset>
            </wp:positionV>
            <wp:extent cx="554863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445"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60" w:right="27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96"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p>
        </w:tc>
        <w:tc>
          <w:tcPr>
            <w:tcW w:w="5500" w:type="dxa"/>
            <w:vAlign w:val="bottom"/>
            <w:gridSpan w:val="2"/>
          </w:tcPr>
          <w:p>
            <w:pPr>
              <w:ind w:left="1540"/>
              <w:spacing w:after="0"/>
              <w:rPr>
                <w:sz w:val="20"/>
                <w:szCs w:val="20"/>
                <w:color w:val="auto"/>
              </w:rPr>
            </w:pPr>
            <w:r>
              <w:rPr>
                <w:rFonts w:ascii="Arial" w:cs="Arial" w:eastAsia="Arial" w:hAnsi="Arial"/>
                <w:sz w:val="18"/>
                <w:szCs w:val="18"/>
                <w:b w:val="1"/>
                <w:bCs w:val="1"/>
                <w:color w:val="auto"/>
              </w:rPr>
              <w:t>BLUEPRINT MEDICINES CORPORATION</w:t>
            </w:r>
          </w:p>
        </w:tc>
        <w:tc>
          <w:tcPr>
            <w:tcW w:w="400" w:type="dxa"/>
            <w:vAlign w:val="bottom"/>
          </w:tcPr>
          <w:p>
            <w:pPr>
              <w:spacing w:after="0"/>
              <w:rPr>
                <w:sz w:val="20"/>
                <w:szCs w:val="20"/>
                <w:color w:val="auto"/>
              </w:rPr>
            </w:pPr>
          </w:p>
        </w:tc>
      </w:tr>
      <w:tr>
        <w:trPr>
          <w:trHeight w:val="634"/>
        </w:trPr>
        <w:tc>
          <w:tcPr>
            <w:tcW w:w="2840" w:type="dxa"/>
            <w:vAlign w:val="bottom"/>
          </w:tcPr>
          <w:p>
            <w:pPr>
              <w:ind w:left="20"/>
              <w:spacing w:after="0"/>
              <w:rPr>
                <w:sz w:val="20"/>
                <w:szCs w:val="20"/>
                <w:color w:val="auto"/>
              </w:rPr>
            </w:pPr>
            <w:r>
              <w:rPr>
                <w:rFonts w:ascii="Arial" w:cs="Arial" w:eastAsia="Arial" w:hAnsi="Arial"/>
                <w:sz w:val="18"/>
                <w:szCs w:val="18"/>
                <w:color w:val="auto"/>
              </w:rPr>
              <w:t>Date: May 9, 2019</w:t>
            </w:r>
          </w:p>
        </w:tc>
        <w:tc>
          <w:tcPr>
            <w:tcW w:w="5500" w:type="dxa"/>
            <w:vAlign w:val="bottom"/>
            <w:gridSpan w:val="2"/>
          </w:tcPr>
          <w:p>
            <w:pPr>
              <w:ind w:left="1540"/>
              <w:spacing w:after="0"/>
              <w:rPr>
                <w:sz w:val="20"/>
                <w:szCs w:val="20"/>
                <w:color w:val="auto"/>
              </w:rPr>
            </w:pPr>
            <w:r>
              <w:rPr>
                <w:rFonts w:ascii="Arial" w:cs="Arial" w:eastAsia="Arial" w:hAnsi="Arial"/>
                <w:sz w:val="18"/>
                <w:szCs w:val="18"/>
                <w:color w:val="auto"/>
              </w:rPr>
              <w:t>By: /s/ Jeffrey W.</w:t>
            </w:r>
          </w:p>
        </w:tc>
        <w:tc>
          <w:tcPr>
            <w:tcW w:w="400" w:type="dxa"/>
            <w:vAlign w:val="bottom"/>
          </w:tcPr>
          <w:p>
            <w:pPr>
              <w:spacing w:after="0"/>
              <w:rPr>
                <w:sz w:val="24"/>
                <w:szCs w:val="24"/>
                <w:color w:val="auto"/>
              </w:rPr>
            </w:pPr>
          </w:p>
        </w:tc>
      </w:tr>
      <w:tr>
        <w:trPr>
          <w:trHeight w:val="230"/>
        </w:trPr>
        <w:tc>
          <w:tcPr>
            <w:tcW w:w="28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Albers</w:t>
            </w:r>
          </w:p>
        </w:tc>
        <w:tc>
          <w:tcPr>
            <w:tcW w:w="400" w:type="dxa"/>
            <w:vAlign w:val="bottom"/>
          </w:tcPr>
          <w:p>
            <w:pPr>
              <w:spacing w:after="0"/>
              <w:rPr>
                <w:sz w:val="20"/>
                <w:szCs w:val="20"/>
                <w:color w:val="auto"/>
              </w:rPr>
            </w:pPr>
          </w:p>
        </w:tc>
      </w:tr>
      <w:tr>
        <w:trPr>
          <w:trHeight w:val="195"/>
        </w:trPr>
        <w:tc>
          <w:tcPr>
            <w:tcW w:w="28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620" w:type="dxa"/>
            <w:vAlign w:val="bottom"/>
          </w:tcPr>
          <w:p>
            <w:pPr>
              <w:spacing w:after="0" w:line="195" w:lineRule="exact"/>
              <w:rPr>
                <w:sz w:val="20"/>
                <w:szCs w:val="20"/>
                <w:color w:val="auto"/>
              </w:rPr>
            </w:pPr>
            <w:r>
              <w:rPr>
                <w:rFonts w:ascii="Arial" w:cs="Arial" w:eastAsia="Arial" w:hAnsi="Arial"/>
                <w:sz w:val="18"/>
                <w:szCs w:val="18"/>
                <w:color w:val="auto"/>
              </w:rPr>
              <w:t>Jeffrey W. Albers</w:t>
            </w:r>
          </w:p>
        </w:tc>
        <w:tc>
          <w:tcPr>
            <w:tcW w:w="400" w:type="dxa"/>
            <w:vAlign w:val="bottom"/>
          </w:tcPr>
          <w:p>
            <w:pPr>
              <w:spacing w:after="0"/>
              <w:rPr>
                <w:sz w:val="16"/>
                <w:szCs w:val="16"/>
                <w:color w:val="auto"/>
              </w:rPr>
            </w:pPr>
          </w:p>
        </w:tc>
      </w:tr>
      <w:tr>
        <w:trPr>
          <w:trHeight w:val="230"/>
        </w:trPr>
        <w:tc>
          <w:tcPr>
            <w:tcW w:w="28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00" w:type="dxa"/>
            <w:vAlign w:val="bottom"/>
          </w:tcPr>
          <w:p>
            <w:pPr>
              <w:spacing w:after="0"/>
              <w:rPr>
                <w:sz w:val="20"/>
                <w:szCs w:val="20"/>
                <w:color w:val="auto"/>
              </w:rPr>
            </w:pPr>
          </w:p>
        </w:tc>
      </w:tr>
      <w:tr>
        <w:trPr>
          <w:trHeight w:val="864"/>
        </w:trPr>
        <w:tc>
          <w:tcPr>
            <w:tcW w:w="2840" w:type="dxa"/>
            <w:vAlign w:val="bottom"/>
          </w:tcPr>
          <w:p>
            <w:pPr>
              <w:spacing w:after="0"/>
              <w:rPr>
                <w:sz w:val="24"/>
                <w:szCs w:val="24"/>
                <w:color w:val="auto"/>
              </w:rPr>
            </w:pPr>
          </w:p>
        </w:tc>
        <w:tc>
          <w:tcPr>
            <w:tcW w:w="1880" w:type="dxa"/>
            <w:vAlign w:val="bottom"/>
          </w:tcPr>
          <w:p>
            <w:pPr>
              <w:jc w:val="right"/>
              <w:ind w:right="210"/>
              <w:spacing w:after="0"/>
              <w:rPr>
                <w:sz w:val="20"/>
                <w:szCs w:val="20"/>
                <w:color w:val="auto"/>
              </w:rPr>
            </w:pPr>
            <w:r>
              <w:rPr>
                <w:rFonts w:ascii="Arial" w:cs="Arial" w:eastAsia="Arial" w:hAnsi="Arial"/>
                <w:sz w:val="18"/>
                <w:szCs w:val="18"/>
                <w:color w:val="auto"/>
              </w:rPr>
              <w:t>3</w:t>
            </w:r>
          </w:p>
        </w:tc>
        <w:tc>
          <w:tcPr>
            <w:tcW w:w="36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9"/>
        </w:trPr>
        <w:tc>
          <w:tcPr>
            <w:tcW w:w="284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spacing w:after="0"/>
              <w:rPr>
                <w:sz w:val="11"/>
                <w:szCs w:val="11"/>
                <w:color w:val="auto"/>
              </w:rPr>
            </w:pPr>
          </w:p>
        </w:tc>
        <w:tc>
          <w:tcPr>
            <w:tcW w:w="36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r>
    </w:tbl>
    <w:p>
      <w:pPr>
        <w:sectPr>
          <w:pgSz w:w="11900" w:h="16838" w:orient="portrait"/>
          <w:cols w:equalWidth="0" w:num="1">
            <w:col w:w="9019"/>
          </w:cols>
          <w:pgMar w:left="1440" w:top="445"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1672590" cy="5657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7259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Reports First Quarter 2019 Financial Results</w:t>
      </w:r>
    </w:p>
    <w:p>
      <w:pPr>
        <w:spacing w:after="0" w:line="229" w:lineRule="exact"/>
        <w:rPr>
          <w:sz w:val="20"/>
          <w:szCs w:val="20"/>
          <w:color w:val="auto"/>
        </w:rPr>
      </w:pPr>
    </w:p>
    <w:p>
      <w:pPr>
        <w:jc w:val="center"/>
        <w:ind w:right="20"/>
        <w:spacing w:after="0" w:line="256" w:lineRule="auto"/>
        <w:rPr>
          <w:sz w:val="20"/>
          <w:szCs w:val="20"/>
          <w:color w:val="auto"/>
        </w:rPr>
      </w:pPr>
      <w:r>
        <w:rPr>
          <w:rFonts w:ascii="Arial" w:cs="Arial" w:eastAsia="Arial" w:hAnsi="Arial"/>
          <w:sz w:val="18"/>
          <w:szCs w:val="18"/>
          <w:i w:val="1"/>
          <w:iCs w:val="1"/>
          <w:color w:val="auto"/>
        </w:rPr>
        <w:t>-- Avapritinib NDA for PDGFRA Exon 18 mutant GIST and fourth-line GIST on track for submission to FDA in second quarter -- -- BLU-667 granted Breakthrough Therapy Designation for the treatment of RET fusion-positive NSCLC -- -- Avapritinib data in GIST and BLU-667 data in RET-altered NSCLC and MTC accepted for presentation at ASCO --</w:t>
      </w:r>
    </w:p>
    <w:p>
      <w:pPr>
        <w:ind w:left="1400" w:right="1420" w:firstLine="39"/>
        <w:spacing w:after="0" w:line="323" w:lineRule="auto"/>
        <w:rPr>
          <w:sz w:val="20"/>
          <w:szCs w:val="20"/>
          <w:color w:val="auto"/>
        </w:rPr>
      </w:pPr>
      <w:r>
        <w:rPr>
          <w:rFonts w:ascii="Arial" w:cs="Arial" w:eastAsia="Arial" w:hAnsi="Arial"/>
          <w:sz w:val="16"/>
          <w:szCs w:val="16"/>
          <w:i w:val="1"/>
          <w:iCs w:val="1"/>
          <w:color w:val="auto"/>
        </w:rPr>
        <w:t>-- Avapritinib data in advanced systemic mastocytosis accepted for presentation at EHA -- -- Completed follow-on offering and raised approximately $327.2 million in net proceeds --</w:t>
      </w:r>
    </w:p>
    <w:p>
      <w:pPr>
        <w:spacing w:after="0" w:line="13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CAMBRIDGE, Mass., May 9, 2019 – Blueprint Medicines Corporation (NASDAQ:BPMC), a precision therapy company focused on genomically defined cancers, rare diseases and cancer immunotherapy, today reported financial results and provided a business update for the quarter ended March 31, 2019.</w:t>
      </w:r>
    </w:p>
    <w:p>
      <w:pPr>
        <w:spacing w:after="0" w:line="181"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“Based on significant clinical and regulatory progress in the first quarter, we accelerated multiple programs and advanced our ‘2020 Blueprint’ strategy to transform Blueprint Medicines into a fully-integrated precision therapy company,” said Jeff Albers, Chief Executive Officer of Blueprint Medicines. “We are especially encouraged that the FDA granted Breakthrough Therapy Designation to BLU-667 for RET-fusion-positive NSCLC, and we look forward to presenting updated data from our Phase 1 ARROW trial at the ASCO Annual Meeting next month. In addition, our follow-on public offering in April further strengthened our financial position, enabling us to continue to build the company ahead of multiple planned marketing applications for avapritinib and BLU-667 in the United States and Europe over the next 18 months.”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2019 Highlights and Recent Progress: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Avapritinib: Gastrointestinal stromal tumors (GIST):</w:t>
      </w:r>
    </w:p>
    <w:p>
      <w:pPr>
        <w:spacing w:after="0" w:line="225" w:lineRule="exact"/>
        <w:rPr>
          <w:sz w:val="20"/>
          <w:szCs w:val="20"/>
          <w:color w:val="auto"/>
        </w:rPr>
      </w:pPr>
    </w:p>
    <w:p>
      <w:pPr>
        <w:ind w:left="640" w:right="60" w:hanging="321"/>
        <w:spacing w:after="0" w:line="308" w:lineRule="auto"/>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Announced plans to submit a marketing authorization application (MAA) to the European Medicines Agency (EMA) for avapritinib for the treatment of PDGFRα D842V mutant GIST and fourth-line GIST in the third quarter of 2019.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Avapritinib: Systemic mastocytosis (SM):</w:t>
      </w:r>
    </w:p>
    <w:p>
      <w:pPr>
        <w:spacing w:after="0" w:line="225" w:lineRule="exact"/>
        <w:rPr>
          <w:sz w:val="20"/>
          <w:szCs w:val="20"/>
          <w:color w:val="auto"/>
        </w:rPr>
      </w:pPr>
    </w:p>
    <w:p>
      <w:pPr>
        <w:ind w:left="640" w:right="60" w:hanging="321"/>
        <w:spacing w:after="0" w:line="264"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Announced plans to accelerate the submission of a new drug application (NDA) to the U.S. Food and Drug Administration (FDA) for avapritinib for the treatment of advanced SM in the first quarter of 2020, subject to continuing discussions with the FDA to determine the required clinical data for an NDA submission.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BLU-667: RET-altered solid tumors:</w:t>
      </w:r>
    </w:p>
    <w:p>
      <w:pPr>
        <w:spacing w:after="0" w:line="225" w:lineRule="exact"/>
        <w:rPr>
          <w:sz w:val="20"/>
          <w:szCs w:val="20"/>
          <w:color w:val="auto"/>
        </w:rPr>
      </w:pPr>
    </w:p>
    <w:p>
      <w:pPr>
        <w:ind w:left="640" w:right="180" w:hanging="321"/>
        <w:spacing w:after="0" w:line="274"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Received FDA Breakthrough Therapy Designation for BLU-667 for the treatment of patients with RET fusion-positive non-small cell lung cancer (NSCLC) that has progressed following platinum-based chemotherapy.</w:t>
      </w:r>
    </w:p>
    <w:p>
      <w:pPr>
        <w:ind w:left="640" w:right="260" w:hanging="321"/>
        <w:spacing w:after="0" w:line="265"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Announced top-line interim data from the Phase 1 ARROW trial of BLU-667 in patients with previously treated RET-fusion NSCLC and previously treated RET-mutant medullary thyroid cancer (MTC). Read the full data here.</w:t>
      </w:r>
    </w:p>
    <w:p>
      <w:pPr>
        <w:ind w:left="640" w:right="20" w:hanging="321"/>
        <w:spacing w:after="0" w:line="270"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Achieved enrollment targets for registration-enabling ARROW trial cohorts for patients with previously treated RET-fusion NSCLC and previously treated RET-mutant MTC. Based on the early achievement of the enrollment target for the RET-fusion NSCLC cohort, Blueprint Medicines plans to submit an NDA to the FDA for BLU-667 for the treatment of patients with NSCLC previously treated with platinum-based chemotherapy in the first quarter of 2020. Blueprint Medicines continues to expect to submit an NDA to the FDA for BLU-667 for the treatment of patients with RET-mutant MTC previously treated with an approved multi-kinase inhibitor in the first half of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259715</wp:posOffset>
            </wp:positionV>
            <wp:extent cx="596011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60110" cy="17145"/>
                    </a:xfrm>
                    <a:prstGeom prst="rect">
                      <a:avLst/>
                    </a:prstGeom>
                    <a:noFill/>
                  </pic:spPr>
                </pic:pic>
              </a:graphicData>
            </a:graphic>
          </wp:anchor>
        </w:drawing>
      </w:r>
    </w:p>
    <w:p>
      <w:pPr>
        <w:sectPr>
          <w:pgSz w:w="11900" w:h="16838" w:orient="portrait"/>
          <w:cols w:equalWidth="0" w:num="1">
            <w:col w:w="9400"/>
          </w:cols>
          <w:pgMar w:left="1260" w:top="121" w:right="12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BLU-554: Advanced hepatocellular carcinoma (HCC)</w:t>
      </w:r>
    </w:p>
    <w:p>
      <w:pPr>
        <w:spacing w:after="0" w:line="225" w:lineRule="exact"/>
        <w:rPr>
          <w:sz w:val="20"/>
          <w:szCs w:val="20"/>
          <w:color w:val="auto"/>
        </w:rPr>
      </w:pPr>
    </w:p>
    <w:p>
      <w:pPr>
        <w:ind w:left="640" w:right="160" w:hanging="321"/>
        <w:spacing w:after="0" w:line="277"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Dosed the first patient in China in the ongoing Phase 1 clinical trial of BLU-554 in patients with advanced HCC, under Blueprint Medicines’ collaboration with CStone Pharmaceuticals.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BLU-782: Fibrodysplasia ossificans progressiva (FOP):</w:t>
      </w:r>
    </w:p>
    <w:p>
      <w:pPr>
        <w:spacing w:after="0" w:line="225" w:lineRule="exact"/>
        <w:rPr>
          <w:sz w:val="20"/>
          <w:szCs w:val="20"/>
          <w:color w:val="auto"/>
        </w:rPr>
      </w:pPr>
    </w:p>
    <w:p>
      <w:pPr>
        <w:jc w:val="both"/>
        <w:ind w:left="640" w:right="260" w:hanging="321"/>
        <w:spacing w:after="0" w:line="264"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Initiated a Phase 1 clinical trial for BLU-782 in healthy volunteers and, based on the progress of the ongoing trial and input from clinical experts, announced plans to initiate a Phase 2 clinical trial of BLU-782 in patients with FOP in the fourth quarter of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w:t>
      </w:r>
    </w:p>
    <w:p>
      <w:pPr>
        <w:spacing w:after="0" w:line="225" w:lineRule="exact"/>
        <w:rPr>
          <w:sz w:val="20"/>
          <w:szCs w:val="20"/>
          <w:color w:val="auto"/>
        </w:rPr>
      </w:pPr>
    </w:p>
    <w:p>
      <w:pPr>
        <w:ind w:left="640" w:right="220" w:hanging="321"/>
        <w:spacing w:after="0" w:line="259"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Closed an underwritten public offering of 4,662,162 shares of common stock at a public offering price of $74.00 per share, including the exercise in full by the underwriters of their option to purchase additional shares of common stock. Blueprint Medicines received estimated net proceeds of approximately $327.2 million, after deducting underwriting discounts and commissions and estimated offering expenses.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Upcoming Milestones: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to achieve the following near-term milestones:</w:t>
      </w:r>
    </w:p>
    <w:p>
      <w:pPr>
        <w:spacing w:after="0" w:line="225" w:lineRule="exact"/>
        <w:rPr>
          <w:sz w:val="20"/>
          <w:szCs w:val="20"/>
          <w:color w:val="auto"/>
        </w:rPr>
      </w:pPr>
    </w:p>
    <w:p>
      <w:pPr>
        <w:ind w:left="640" w:right="160" w:hanging="321"/>
        <w:spacing w:after="0" w:line="274"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Submit an NDA to the FDA and an MAA to the EMA for avapritinib for the treatment of patients with PDGFRA Exon 18 mutant GIST and fourth-line GIST in the second quarter and third quarter of 2019, respectively.</w:t>
      </w:r>
    </w:p>
    <w:p>
      <w:pPr>
        <w:ind w:left="640" w:right="460" w:hanging="321"/>
        <w:spacing w:after="0" w:line="250"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Present the registration dataset for avapritinib in PDGFRA Exon 18 mutant GIST and fourth-line GIST at the 2019 American Society of Clinical Oncology (ASCO) Annual Meeting.</w:t>
      </w:r>
    </w:p>
    <w:p>
      <w:pPr>
        <w:ind w:left="640" w:right="220" w:hanging="321"/>
        <w:spacing w:after="0" w:line="250"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Present updated data from the Phase 1 EXPLORER trial of avapritinib in advanced SM at the 24</w:t>
      </w:r>
      <w:r>
        <w:rPr>
          <w:rFonts w:ascii="Arial" w:cs="Arial" w:eastAsia="Arial" w:hAnsi="Arial"/>
          <w:sz w:val="8"/>
          <w:szCs w:val="8"/>
          <w:color w:val="auto"/>
        </w:rPr>
        <w:t>th</w:t>
      </w:r>
      <w:r>
        <w:rPr>
          <w:rFonts w:ascii="Arial" w:cs="Arial" w:eastAsia="Arial" w:hAnsi="Arial"/>
          <w:sz w:val="18"/>
          <w:szCs w:val="18"/>
          <w:color w:val="auto"/>
        </w:rPr>
        <w:t xml:space="preserve"> Annual Congress of the European Hematology Society.</w:t>
      </w:r>
    </w:p>
    <w:p>
      <w:pPr>
        <w:ind w:left="640" w:right="380" w:hanging="321"/>
        <w:spacing w:after="0" w:line="261"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Present updated data from the Phase 1 ARROW trial of BLU-667 in RET-altered cancers at the 2019 ASCO Annual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2019 Financial Results:</w:t>
      </w:r>
    </w:p>
    <w:p>
      <w:pPr>
        <w:spacing w:after="0" w:line="225" w:lineRule="exact"/>
        <w:rPr>
          <w:sz w:val="20"/>
          <w:szCs w:val="20"/>
          <w:color w:val="auto"/>
        </w:rPr>
      </w:pPr>
    </w:p>
    <w:p>
      <w:pPr>
        <w:ind w:left="640" w:hanging="321"/>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Cash Position: </w:t>
      </w:r>
      <w:r>
        <w:rPr>
          <w:rFonts w:ascii="Arial" w:cs="Arial" w:eastAsia="Arial" w:hAnsi="Arial"/>
          <w:sz w:val="17"/>
          <w:szCs w:val="17"/>
          <w:color w:val="auto"/>
        </w:rPr>
        <w:t>As of March 31, 2019, cash, cash equivalents and investments were $415.9 million, as compared to</w:t>
      </w:r>
    </w:p>
    <w:p>
      <w:pPr>
        <w:spacing w:after="0" w:line="38" w:lineRule="exact"/>
        <w:rPr>
          <w:rFonts w:ascii="Arial" w:cs="Arial" w:eastAsia="Arial" w:hAnsi="Arial"/>
          <w:sz w:val="17"/>
          <w:szCs w:val="17"/>
          <w:color w:val="auto"/>
        </w:rPr>
      </w:pPr>
    </w:p>
    <w:p>
      <w:pPr>
        <w:ind w:left="640" w:right="160"/>
        <w:spacing w:after="0" w:line="250" w:lineRule="auto"/>
        <w:rPr>
          <w:rFonts w:ascii="Arial" w:cs="Arial" w:eastAsia="Arial" w:hAnsi="Arial"/>
          <w:sz w:val="17"/>
          <w:szCs w:val="17"/>
          <w:color w:val="auto"/>
        </w:rPr>
      </w:pPr>
      <w:r>
        <w:rPr>
          <w:rFonts w:ascii="Arial" w:cs="Arial" w:eastAsia="Arial" w:hAnsi="Arial"/>
          <w:sz w:val="18"/>
          <w:szCs w:val="18"/>
          <w:color w:val="auto"/>
        </w:rPr>
        <w:t>$494.0 million as of December 31, 2018. This decrease was primarily related to cash used in operating activities. Cash, cash equivalents and investments as of March 31, 2019 do not include the estimated net proceeds of approximately $327.2 million from the company’s follow-on underwritten public offering of common stock, which closed in April 2019.</w:t>
      </w:r>
    </w:p>
    <w:p>
      <w:pPr>
        <w:spacing w:after="0" w:line="1" w:lineRule="exact"/>
        <w:rPr>
          <w:rFonts w:ascii="Arial" w:cs="Arial" w:eastAsia="Arial" w:hAnsi="Arial"/>
          <w:sz w:val="17"/>
          <w:szCs w:val="17"/>
          <w:color w:val="auto"/>
        </w:rPr>
      </w:pPr>
    </w:p>
    <w:p>
      <w:pPr>
        <w:ind w:left="640" w:right="40" w:hanging="321"/>
        <w:spacing w:after="0" w:line="281" w:lineRule="auto"/>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Collaboration Revenues</w:t>
      </w:r>
      <w:r>
        <w:rPr>
          <w:rFonts w:ascii="Arial" w:cs="Arial" w:eastAsia="Arial" w:hAnsi="Arial"/>
          <w:sz w:val="16"/>
          <w:szCs w:val="16"/>
          <w:color w:val="auto"/>
        </w:rPr>
        <w:t>: Collaboration revenues were $0.7 million for the first quarter of 2019, as compared to $1.0</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for the first quarter of 2018. This decrease was primarily due to revenue recorded under the Roche collaboration.</w:t>
      </w:r>
    </w:p>
    <w:p>
      <w:pPr>
        <w:spacing w:after="0" w:line="1" w:lineRule="exact"/>
        <w:rPr>
          <w:rFonts w:ascii="Arial" w:cs="Arial" w:eastAsia="Arial" w:hAnsi="Arial"/>
          <w:sz w:val="16"/>
          <w:szCs w:val="16"/>
          <w:color w:val="auto"/>
        </w:rPr>
      </w:pPr>
    </w:p>
    <w:p>
      <w:pPr>
        <w:ind w:left="640" w:right="240" w:hanging="321"/>
        <w:spacing w:after="0" w:line="281" w:lineRule="auto"/>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R&amp;D Expenses</w:t>
      </w:r>
      <w:r>
        <w:rPr>
          <w:rFonts w:ascii="Arial" w:cs="Arial" w:eastAsia="Arial" w:hAnsi="Arial"/>
          <w:sz w:val="16"/>
          <w:szCs w:val="16"/>
          <w:color w:val="auto"/>
        </w:rPr>
        <w:t>: Research and development expenses were $74.3 million for the first quarter of 2019, as compared to</w:t>
      </w:r>
      <w:r>
        <w:rPr>
          <w:rFonts w:ascii="Arial" w:cs="Arial" w:eastAsia="Arial" w:hAnsi="Arial"/>
          <w:sz w:val="16"/>
          <w:szCs w:val="16"/>
          <w:b w:val="1"/>
          <w:bCs w:val="1"/>
          <w:color w:val="auto"/>
        </w:rPr>
        <w:t xml:space="preserve"> </w:t>
      </w:r>
      <w:r>
        <w:rPr>
          <w:rFonts w:ascii="Arial" w:cs="Arial" w:eastAsia="Arial" w:hAnsi="Arial"/>
          <w:sz w:val="16"/>
          <w:szCs w:val="16"/>
          <w:color w:val="auto"/>
        </w:rPr>
        <w:t>$50.0 million for the first quarter of 2018. This increase was primarily due to increased clinical and manufacturing expenses driven by our lead development candidates and increased personnel-related expenses. Research and development expenses included $5.8 million in stock-based compensation expenses for the first quarter of 2019.</w:t>
      </w:r>
    </w:p>
    <w:p>
      <w:pPr>
        <w:spacing w:after="0" w:line="2" w:lineRule="exact"/>
        <w:rPr>
          <w:rFonts w:ascii="Arial" w:cs="Arial" w:eastAsia="Arial" w:hAnsi="Arial"/>
          <w:sz w:val="16"/>
          <w:szCs w:val="16"/>
          <w:color w:val="auto"/>
        </w:rPr>
      </w:pPr>
    </w:p>
    <w:p>
      <w:pPr>
        <w:ind w:left="640" w:hanging="321"/>
        <w:spacing w:after="0" w:line="265" w:lineRule="auto"/>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G&amp;A Expenses</w:t>
      </w:r>
      <w:r>
        <w:rPr>
          <w:rFonts w:ascii="Arial" w:cs="Arial" w:eastAsia="Arial" w:hAnsi="Arial"/>
          <w:sz w:val="17"/>
          <w:szCs w:val="17"/>
          <w:color w:val="auto"/>
        </w:rPr>
        <w:t>: General and administrative expenses were $16.6 million for the first quarter of 2019, as compared to</w:t>
      </w:r>
      <w:r>
        <w:rPr>
          <w:rFonts w:ascii="Arial" w:cs="Arial" w:eastAsia="Arial" w:hAnsi="Arial"/>
          <w:sz w:val="17"/>
          <w:szCs w:val="17"/>
          <w:b w:val="1"/>
          <w:bCs w:val="1"/>
          <w:color w:val="auto"/>
        </w:rPr>
        <w:t xml:space="preserve"> </w:t>
      </w:r>
      <w:r>
        <w:rPr>
          <w:rFonts w:ascii="Arial" w:cs="Arial" w:eastAsia="Arial" w:hAnsi="Arial"/>
          <w:sz w:val="17"/>
          <w:szCs w:val="17"/>
          <w:color w:val="auto"/>
        </w:rPr>
        <w:t>$9.9 million for the first quarter of 2018. This increase was primarily due to increased personnel-related expenses, commercial-readiness activities and increased other professional fees. General and administrative expenses included $4.5 million in stock-based compensation expenses for the first quarter of 2019.</w:t>
      </w:r>
    </w:p>
    <w:p>
      <w:pPr>
        <w:ind w:left="640" w:right="160" w:hanging="321"/>
        <w:spacing w:after="0" w:line="261"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Net loss was $87.4 million for the first quarter of 2019, or a net loss per share of $1.98, as compared to a net</w:t>
      </w:r>
      <w:r>
        <w:rPr>
          <w:rFonts w:ascii="Arial" w:cs="Arial" w:eastAsia="Arial" w:hAnsi="Arial"/>
          <w:sz w:val="18"/>
          <w:szCs w:val="18"/>
          <w:b w:val="1"/>
          <w:bCs w:val="1"/>
          <w:color w:val="auto"/>
        </w:rPr>
        <w:t xml:space="preserve"> </w:t>
      </w:r>
      <w:r>
        <w:rPr>
          <w:rFonts w:ascii="Arial" w:cs="Arial" w:eastAsia="Arial" w:hAnsi="Arial"/>
          <w:sz w:val="18"/>
          <w:szCs w:val="18"/>
          <w:color w:val="auto"/>
        </w:rPr>
        <w:t>loss of $56.5 million for the first quarter of 2018, or a net loss per share of $1.29.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262890</wp:posOffset>
            </wp:positionV>
            <wp:extent cx="596011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80"/>
          </w:cols>
          <w:pgMar w:left="1260" w:top="125" w:right="1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Financial Guidance</w:t>
      </w:r>
      <w:r>
        <w:rPr>
          <w:rFonts w:ascii="Arial" w:cs="Arial" w:eastAsia="Arial" w:hAnsi="Arial"/>
          <w:sz w:val="18"/>
          <w:szCs w:val="18"/>
          <w:color w:val="auto"/>
        </w:rPr>
        <w:t>:</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Based on its current plans, Blueprint Medicines expects that its existing cash, cash equivalents and investments, including the estimated net proceeds of approximately $327.2 million from its April 2019 follow-on public offering but excluding any potential option fees and milestone payments under its existing collaborations with Roche and CStone Pharmaceuticals, will be sufficient to enable it to fund its operating expenses and capital expenditure requirements into the middle of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Blueprint Medicines will host a live conference call and webcast at 8:30 a.m. ET today to discuss first quarter 2019 financial results and recent business activities. The conference call may be accessed by dialing (855) 728-4793 (domestic) or (503) 343-6666 (international) and referring to conference ID 9671728. A webcast of the conference call will be available in the Investors section of the Blueprint Medicines’ website at http://ir.blueprintmedicines.com. The archived webcast will be available</w:t>
      </w:r>
    </w:p>
    <w:p>
      <w:pPr>
        <w:spacing w:after="0" w:line="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on Blueprint Medicines’ website approximately two hours after the conference call and will be available for 30 days following the call.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Blueprint Medicines: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Blueprint Medicines is a precision therapy company striving to improve human health. With a focus on genomically defined cancers, rare diseases and cancer immunotherapy, we are developing transformational medicines rooted in our leading expertise in protein kinases, which are proven drivers of disease. Our uniquely targeted, scalable approach empowers the rapid design and development of new treatments and increases the likelihood of clinical success. We are currently advancing four investigational medicines in clinical development, along with multiple research programs. For more information, visit www.BlueprintMedicines.com and follow us on Twitter (@BlueprintMeds) and LinkedIn.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as amended, including, without limitation, statements regarding plans and timelines for the development of avapritinib, BLU-667, BLU-554 and BLU-782; plans and timelines for submitting an NDA to the FDA and an MAA to the EMA for avapritinib for the treatment of GIST; plans and timelines for presenting the registration dataset for avapritinib in PDGFRA Exon 18 mutant GIST and fourth-line GIST; plans and timelines for submitting an NDA to the FDA for avapritinib for the treatment of advanced SM; plans and timelines for presenting updated data from the Phase 1 EXPLORER trial of avapritinib in advanced SM; plans and timelines for submitting NDAs to the FDA for BLU-667 for the treatment of RET-fusion NSCLC and RET-fusion MTC; plans and timelines for presenting updated data from the Phase 1 ARROW trial of BLU-667 in RET-altered cancers; expectations regarding the results from the Phase 1 clinical trial of BLU-782 in patients with FOP; plans and timelines for initiating a Phase 2 clinical trial of BLU-782 in patients with FOP; plans and timelines for patient enrollment in China in the ongoing global Phase 1 trial of BLU-554 in patients with advanced HCC; the potential benefits of Blueprint Medicines’ current and future drug candidates in treating patients; expectations regarding Blueprint Medicines’ existing cash, cash equivalents and investments; and Blueprint Medicines’ strategy, goals and anticipated milestones, business plans and focus.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delay of any current or planned clinical trials or the development of Blueprint Medicines’ drug candidates, including avapritinib, BLU-667, BLU-554 and BLU-782; Blueprint Medicines’ advancement of multiple early-stage efforts; Blueprint Medicines’ ability to successfully demonstrate the safety and efficacy of its drug candidates and gain approval of its drug candidates on a timely basis, if at all; the preclinical and clinical results for Blueprint Medicines’ drug candidates, which may not support further development of such drug candidates; actions of regulatory agencies, which may affect the initiation, timing and progress of clinical trials; Blueprint Medicines’ ability to develop and commercialize companion diagnostic tests for its current and future drug candidates; and the success of Blueprint Medicines’ current and future collaborations, including its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257810</wp:posOffset>
            </wp:positionV>
            <wp:extent cx="596011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80"/>
          </w:cols>
          <w:pgMar w:left="1260" w:top="121" w:right="1259" w:bottom="1440" w:gutter="0" w:footer="0" w:header="0"/>
        </w:sectPr>
      </w:pPr>
    </w:p>
    <w:bookmarkStart w:id="6" w:name="page7"/>
    <w:bookmarkEnd w:id="6"/>
    <w:p>
      <w:pPr>
        <w:spacing w:after="0" w:line="291" w:lineRule="auto"/>
        <w:rPr>
          <w:sz w:val="20"/>
          <w:szCs w:val="20"/>
          <w:color w:val="auto"/>
        </w:rPr>
      </w:pPr>
      <w:r>
        <w:rPr>
          <w:rFonts w:ascii="Arial" w:cs="Arial" w:eastAsia="Arial" w:hAnsi="Arial"/>
          <w:sz w:val="16"/>
          <w:szCs w:val="16"/>
          <w:color w:val="auto"/>
        </w:rPr>
        <w:t>immunotherapy collaboration with F. Hoffmann-La Roche Ltd and Hoffmann-La Roche Inc. and its collaboration with CStone Pharmaceuticals. These and other risks and uncertainties are described in greater detail in the section entitled “Risk Factors” in Blueprint Medicines’ Annual Report on Form 10-K for the year ended December 31, 2018, as filed with the Securities and Exchange Commission (SEC) on February 26, 2019,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527050</wp:posOffset>
            </wp:positionV>
            <wp:extent cx="596011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20"/>
          </w:cols>
          <w:pgMar w:left="1260" w:top="125" w:right="1319" w:bottom="1440" w:gutter="0" w:footer="0" w:header="0"/>
        </w:sectPr>
      </w:pPr>
    </w:p>
    <w:bookmarkStart w:id="7" w:name="page8"/>
    <w:bookmarkEnd w:id="7"/>
    <w:p>
      <w:pPr>
        <w:ind w:left="3405"/>
        <w:spacing w:after="0"/>
        <w:rPr>
          <w:sz w:val="20"/>
          <w:szCs w:val="20"/>
          <w:color w:val="auto"/>
        </w:rPr>
      </w:pPr>
      <w:r>
        <w:rPr>
          <w:rFonts w:ascii="Arial" w:cs="Arial" w:eastAsia="Arial" w:hAnsi="Arial"/>
          <w:sz w:val="18"/>
          <w:szCs w:val="18"/>
          <w:b w:val="1"/>
          <w:bCs w:val="1"/>
          <w:color w:val="auto"/>
        </w:rPr>
        <w:t>Blueprint Medicines Corporation</w:t>
      </w:r>
    </w:p>
    <w:p>
      <w:pPr>
        <w:ind w:left="2645"/>
        <w:spacing w:after="0" w:line="237" w:lineRule="auto"/>
        <w:rPr>
          <w:sz w:val="20"/>
          <w:szCs w:val="20"/>
          <w:color w:val="auto"/>
        </w:rPr>
      </w:pPr>
      <w:r>
        <w:rPr>
          <w:rFonts w:ascii="Arial" w:cs="Arial" w:eastAsia="Arial" w:hAnsi="Arial"/>
          <w:sz w:val="18"/>
          <w:szCs w:val="18"/>
          <w:b w:val="1"/>
          <w:bCs w:val="1"/>
          <w:color w:val="auto"/>
        </w:rPr>
        <w:t>Selected Condensed Consolidated Balance Sheet Data</w:t>
      </w:r>
    </w:p>
    <w:p>
      <w:pPr>
        <w:jc w:val="center"/>
        <w:ind w:right="-4"/>
        <w:spacing w:after="0" w:line="219" w:lineRule="auto"/>
        <w:rPr>
          <w:sz w:val="20"/>
          <w:szCs w:val="20"/>
          <w:color w:val="auto"/>
        </w:rPr>
      </w:pPr>
      <w:r>
        <w:rPr>
          <w:rFonts w:ascii="Arial" w:cs="Arial" w:eastAsia="Arial" w:hAnsi="Arial"/>
          <w:sz w:val="18"/>
          <w:szCs w:val="18"/>
          <w:b w:val="1"/>
          <w:bCs w:val="1"/>
          <w:color w:val="auto"/>
        </w:rPr>
        <w:t>(in thousands)</w:t>
      </w:r>
    </w:p>
    <w:p>
      <w:pPr>
        <w:jc w:val="center"/>
        <w:ind w:right="-4"/>
        <w:spacing w:after="0"/>
        <w:rPr>
          <w:sz w:val="20"/>
          <w:szCs w:val="20"/>
          <w:color w:val="auto"/>
        </w:rPr>
      </w:pPr>
      <w:r>
        <w:rPr>
          <w:rFonts w:ascii="Arial" w:cs="Arial" w:eastAsia="Arial" w:hAnsi="Arial"/>
          <w:sz w:val="18"/>
          <w:szCs w:val="18"/>
          <w:b w:val="1"/>
          <w:bCs w:val="1"/>
          <w:i w:val="1"/>
          <w:iCs w:val="1"/>
          <w:color w:val="auto"/>
        </w:rPr>
        <w:t>(unaudited)</w:t>
      </w:r>
    </w:p>
    <w:p>
      <w:pPr>
        <w:spacing w:after="0" w:line="219" w:lineRule="exact"/>
        <w:rPr>
          <w:sz w:val="20"/>
          <w:szCs w:val="20"/>
          <w:color w:val="auto"/>
        </w:rPr>
      </w:pPr>
    </w:p>
    <w:tbl>
      <w:tblPr>
        <w:tblLayout w:type="fixed"/>
        <w:tblInd w:w="5"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6"/>
              </w:rPr>
              <w:t>March 31,</w:t>
            </w:r>
          </w:p>
        </w:tc>
        <w:tc>
          <w:tcPr>
            <w:tcW w:w="220" w:type="dxa"/>
            <w:vAlign w:val="bottom"/>
          </w:tcPr>
          <w:p>
            <w:pPr>
              <w:spacing w:after="0"/>
              <w:rPr>
                <w:sz w:val="20"/>
                <w:szCs w:val="20"/>
                <w:color w:val="auto"/>
              </w:rPr>
            </w:pPr>
          </w:p>
        </w:tc>
        <w:tc>
          <w:tcPr>
            <w:tcW w:w="154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572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investments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415,856</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494,012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 xml:space="preserve">Working capital </w:t>
            </w:r>
            <w:r>
              <w:rPr>
                <w:rFonts w:ascii="Arial" w:cs="Arial" w:eastAsia="Arial" w:hAnsi="Arial"/>
                <w:sz w:val="8"/>
                <w:szCs w:val="8"/>
                <w:color w:val="auto"/>
              </w:rPr>
              <w:t>(1)</w:t>
            </w:r>
          </w:p>
        </w:tc>
        <w:tc>
          <w:tcPr>
            <w:tcW w:w="280" w:type="dxa"/>
            <w:vAlign w:val="bottom"/>
          </w:tcPr>
          <w:p>
            <w:pPr>
              <w:spacing w:after="0"/>
              <w:rPr>
                <w:sz w:val="20"/>
                <w:szCs w:val="20"/>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361,753</w:t>
            </w:r>
          </w:p>
        </w:tc>
        <w:tc>
          <w:tcPr>
            <w:tcW w:w="2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439,464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544,663</w:t>
            </w:r>
          </w:p>
        </w:tc>
        <w:tc>
          <w:tcPr>
            <w:tcW w:w="2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540,124</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20"/>
                <w:szCs w:val="20"/>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45,436</w:t>
            </w:r>
          </w:p>
        </w:tc>
        <w:tc>
          <w:tcPr>
            <w:tcW w:w="2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46,167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200,450</w:t>
            </w:r>
          </w:p>
        </w:tc>
        <w:tc>
          <w:tcPr>
            <w:tcW w:w="2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121,115</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80" w:type="dxa"/>
            <w:vAlign w:val="bottom"/>
          </w:tcPr>
          <w:p>
            <w:pPr>
              <w:spacing w:after="0"/>
              <w:rPr>
                <w:sz w:val="20"/>
                <w:szCs w:val="20"/>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344,213</w:t>
            </w:r>
          </w:p>
        </w:tc>
        <w:tc>
          <w:tcPr>
            <w:tcW w:w="2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419,009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285" w:hanging="285"/>
        <w:spacing w:after="0"/>
        <w:tabs>
          <w:tab w:leader="none" w:pos="285" w:val="left"/>
        </w:tabs>
        <w:numPr>
          <w:ilvl w:val="0"/>
          <w:numId w:val="10"/>
        </w:numPr>
        <w:rPr>
          <w:rFonts w:ascii="Arial" w:cs="Arial" w:eastAsia="Arial" w:hAnsi="Arial"/>
          <w:sz w:val="9"/>
          <w:szCs w:val="9"/>
          <w:color w:val="auto"/>
        </w:rPr>
      </w:pPr>
      <w:r>
        <w:rPr>
          <w:rFonts w:ascii="Arial" w:cs="Arial" w:eastAsia="Arial" w:hAnsi="Arial"/>
          <w:sz w:val="18"/>
          <w:szCs w:val="18"/>
          <w:color w:val="auto"/>
        </w:rPr>
        <w:t>Blueprint Medicines defines working capital as current assets less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
        <w:spacing w:after="0"/>
        <w:rPr>
          <w:sz w:val="20"/>
          <w:szCs w:val="20"/>
          <w:color w:val="auto"/>
        </w:rPr>
      </w:pPr>
      <w:r>
        <w:rPr>
          <w:rFonts w:ascii="Arial" w:cs="Arial" w:eastAsia="Arial" w:hAnsi="Arial"/>
          <w:sz w:val="18"/>
          <w:szCs w:val="18"/>
          <w:b w:val="1"/>
          <w:bCs w:val="1"/>
          <w:color w:val="auto"/>
        </w:rPr>
        <w:t>Blueprint Medicines Corporation</w:t>
      </w:r>
    </w:p>
    <w:p>
      <w:pPr>
        <w:spacing w:after="0" w:line="27" w:lineRule="exact"/>
        <w:rPr>
          <w:sz w:val="20"/>
          <w:szCs w:val="20"/>
          <w:color w:val="auto"/>
        </w:rPr>
      </w:pPr>
    </w:p>
    <w:p>
      <w:pPr>
        <w:jc w:val="center"/>
        <w:ind w:right="-4"/>
        <w:spacing w:after="0"/>
        <w:rPr>
          <w:sz w:val="20"/>
          <w:szCs w:val="20"/>
          <w:color w:val="auto"/>
        </w:rPr>
      </w:pPr>
      <w:r>
        <w:rPr>
          <w:rFonts w:ascii="Arial" w:cs="Arial" w:eastAsia="Arial" w:hAnsi="Arial"/>
          <w:sz w:val="18"/>
          <w:szCs w:val="18"/>
          <w:b w:val="1"/>
          <w:bCs w:val="1"/>
          <w:color w:val="auto"/>
        </w:rPr>
        <w:t>Condensed Consolidated Statements of Operations Data</w:t>
      </w:r>
    </w:p>
    <w:p>
      <w:pPr>
        <w:spacing w:after="0" w:line="9" w:lineRule="exact"/>
        <w:rPr>
          <w:sz w:val="20"/>
          <w:szCs w:val="20"/>
          <w:color w:val="auto"/>
        </w:rPr>
      </w:pPr>
    </w:p>
    <w:p>
      <w:pPr>
        <w:jc w:val="center"/>
        <w:ind w:right="-4"/>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4"/>
        <w:spacing w:after="0"/>
        <w:rPr>
          <w:sz w:val="20"/>
          <w:szCs w:val="20"/>
          <w:color w:val="auto"/>
        </w:rPr>
      </w:pPr>
      <w:r>
        <w:rPr>
          <w:rFonts w:ascii="Arial" w:cs="Arial" w:eastAsia="Arial" w:hAnsi="Arial"/>
          <w:sz w:val="18"/>
          <w:szCs w:val="18"/>
          <w:b w:val="1"/>
          <w:bCs w:val="1"/>
          <w:i w:val="1"/>
          <w:iCs w:val="1"/>
          <w:color w:val="auto"/>
        </w:rPr>
        <w:t>(unaudited)</w:t>
      </w:r>
    </w:p>
    <w:p>
      <w:pPr>
        <w:spacing w:after="0" w:line="220" w:lineRule="exact"/>
        <w:rPr>
          <w:sz w:val="20"/>
          <w:szCs w:val="20"/>
          <w:color w:val="auto"/>
        </w:rPr>
      </w:pPr>
    </w:p>
    <w:tbl>
      <w:tblPr>
        <w:tblLayout w:type="fixed"/>
        <w:tblInd w:w="5" w:type="dxa"/>
        <w:tblCellMar>
          <w:top w:w="0" w:type="dxa"/>
          <w:left w:w="0" w:type="dxa"/>
          <w:bottom w:w="0" w:type="dxa"/>
          <w:right w:w="0" w:type="dxa"/>
        </w:tblCellMar>
      </w:tblPr>
      <w:tr>
        <w:trPr>
          <w:trHeight w:val="216"/>
        </w:trPr>
        <w:tc>
          <w:tcPr>
            <w:tcW w:w="6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6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40" w:type="dxa"/>
            <w:vAlign w:val="bottom"/>
            <w:tcBorders>
              <w:bottom w:val="single" w:sz="8" w:color="auto"/>
            </w:tcBorders>
          </w:tcPr>
          <w:p>
            <w:pPr>
              <w:spacing w:after="0"/>
              <w:rPr>
                <w:sz w:val="20"/>
                <w:szCs w:val="20"/>
                <w:color w:val="auto"/>
              </w:rPr>
            </w:pPr>
          </w:p>
        </w:tc>
      </w:tr>
      <w:tr>
        <w:trPr>
          <w:trHeight w:val="210"/>
        </w:trPr>
        <w:tc>
          <w:tcPr>
            <w:tcW w:w="67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2018</w:t>
            </w: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730</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74,250</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49,954</w:t>
            </w:r>
          </w:p>
        </w:tc>
      </w:tr>
      <w:tr>
        <w:trPr>
          <w:trHeight w:val="216"/>
        </w:trPr>
        <w:tc>
          <w:tcPr>
            <w:tcW w:w="672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16,553</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9,911</w:t>
            </w:r>
          </w:p>
        </w:tc>
      </w:tr>
      <w:tr>
        <w:trPr>
          <w:trHeight w:val="210"/>
        </w:trPr>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90,803</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59,865</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2,669</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w:t>
            </w:r>
          </w:p>
        </w:tc>
      </w:tr>
      <w:tr>
        <w:trPr>
          <w:trHeight w:val="216"/>
        </w:trPr>
        <w:tc>
          <w:tcPr>
            <w:tcW w:w="672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0"/>
        </w:trPr>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2,666</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2,362</w:t>
            </w:r>
          </w:p>
        </w:tc>
      </w:tr>
      <w:tr>
        <w:trPr>
          <w:trHeight w:val="217"/>
        </w:trPr>
        <w:tc>
          <w:tcPr>
            <w:tcW w:w="6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(87,407)</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(59,549)</w:t>
            </w:r>
          </w:p>
        </w:tc>
      </w:tr>
      <w:tr>
        <w:trPr>
          <w:trHeight w:val="236"/>
        </w:trPr>
        <w:tc>
          <w:tcPr>
            <w:tcW w:w="6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per share — basic and diluted</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10"/>
        </w:trPr>
        <w:tc>
          <w:tcPr>
            <w:tcW w:w="6720" w:type="dxa"/>
            <w:vAlign w:val="bottom"/>
          </w:tcPr>
          <w:p>
            <w:pPr>
              <w:spacing w:after="0" w:line="203" w:lineRule="exact"/>
              <w:rPr>
                <w:sz w:val="20"/>
                <w:szCs w:val="20"/>
                <w:color w:val="auto"/>
              </w:rPr>
            </w:pPr>
            <w:r>
              <w:rPr>
                <w:rFonts w:ascii="Arial" w:cs="Arial" w:eastAsia="Arial" w:hAnsi="Arial"/>
                <w:sz w:val="18"/>
                <w:szCs w:val="18"/>
                <w:color w:val="auto"/>
                <w:w w:val="90"/>
              </w:rPr>
              <w:t>Weighted-average number of common shares used in net loss per share — basic and diluted</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44,097</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43,700</w:t>
            </w:r>
          </w:p>
        </w:tc>
      </w:tr>
      <w:tr>
        <w:trPr>
          <w:trHeight w:val="1114"/>
        </w:trPr>
        <w:tc>
          <w:tcPr>
            <w:tcW w:w="6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9385"/>
          </w:cols>
          <w:pgMar w:left="1255" w:top="121" w:right="1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Kristin Hodous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Sr. Manager, Investor Relations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617-714-6674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ir@blueprintmedicines.com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Jim Baker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Corporate Affairs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617.844.8236</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media@blueprintmedicines.com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294640</wp:posOffset>
            </wp:positionV>
            <wp:extent cx="596011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sectPr>
      <w:pgSz w:w="11900" w:h="16838" w:orient="portrait"/>
      <w:cols w:equalWidth="0" w:num="1">
        <w:col w:w="9199"/>
      </w:cols>
      <w:pgMar w:left="126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2019-12-28T12:50:16Z</dcterms:created>
  <dcterms:modified xsi:type="dcterms:W3CDTF">2019-12-28T12:50:16Z</dcterms:modified>
</cp:coreProperties>
</file>