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194310</wp:posOffset>
            </wp:positionV>
            <wp:extent cx="1470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213360</wp:posOffset>
            </wp:positionV>
            <wp:extent cx="147066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720"/>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ind w:left="3280"/>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205740</wp:posOffset>
            </wp:positionV>
            <wp:extent cx="1470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194310</wp:posOffset>
            </wp:positionV>
            <wp:extent cx="1470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16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62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92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jc w:val="center"/>
        <w:ind w:right="88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8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jc w:val="center"/>
        <w:ind w:right="86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020" w:space="720"/>
            <w:col w:w="2720" w:space="720"/>
            <w:col w:w="2120"/>
          </w:cols>
          <w:pgMar w:left="1300" w:top="201" w:right="1299" w:bottom="144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38 Sidney Street, Suite 200</w:t>
      </w:r>
    </w:p>
    <w:p>
      <w:pPr>
        <w:spacing w:after="0" w:line="22"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0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190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5940" w:space="720"/>
            <w:col w:w="2640"/>
          </w:cols>
          <w:pgMar w:left="1300" w:top="201" w:right="1299" w:bottom="1440" w:gutter="0" w:footer="0" w:header="0"/>
          <w:type w:val="continuous"/>
        </w:sect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203200</wp:posOffset>
            </wp:positionV>
            <wp:extent cx="147066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firstLine="604"/>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1360" w:hanging="751"/>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9" w:lineRule="exact"/>
        <w:rPr>
          <w:rFonts w:ascii="MS PGothic" w:cs="MS PGothic" w:eastAsia="MS PGothic" w:hAnsi="MS PGothic"/>
          <w:sz w:val="17"/>
          <w:szCs w:val="17"/>
          <w:color w:val="auto"/>
        </w:rPr>
      </w:pPr>
    </w:p>
    <w:p>
      <w:pPr>
        <w:ind w:left="1360" w:hanging="751"/>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MS PGothic" w:cs="MS PGothic" w:eastAsia="MS PGothic" w:hAnsi="MS PGothic"/>
          <w:sz w:val="17"/>
          <w:szCs w:val="17"/>
          <w:color w:val="auto"/>
        </w:rPr>
      </w:pPr>
    </w:p>
    <w:p>
      <w:pPr>
        <w:ind w:left="1360" w:hanging="751"/>
        <w:spacing w:after="0"/>
        <w:tabs>
          <w:tab w:leader="none" w:pos="1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 w:lineRule="exact"/>
        <w:rPr>
          <w:rFonts w:ascii="MS PGothic" w:cs="MS PGothic" w:eastAsia="MS PGothic" w:hAnsi="MS PGothic"/>
          <w:sz w:val="16"/>
          <w:szCs w:val="16"/>
          <w:color w:val="auto"/>
        </w:rPr>
      </w:pPr>
    </w:p>
    <w:p>
      <w:pPr>
        <w:ind w:left="1360" w:hanging="751"/>
        <w:spacing w:after="0"/>
        <w:tabs>
          <w:tab w:leader="none" w:pos="1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409575</wp:posOffset>
            </wp:positionV>
            <wp:extent cx="58972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7245" cy="1587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Items.</w:t>
      </w:r>
    </w:p>
    <w:p>
      <w:pPr>
        <w:spacing w:after="0" w:line="211" w:lineRule="exact"/>
        <w:rPr>
          <w:sz w:val="20"/>
          <w:szCs w:val="20"/>
          <w:color w:val="auto"/>
        </w:rPr>
      </w:pPr>
    </w:p>
    <w:p>
      <w:pPr>
        <w:ind w:right="20" w:firstLine="604"/>
        <w:spacing w:after="0" w:line="251" w:lineRule="auto"/>
        <w:rPr>
          <w:sz w:val="20"/>
          <w:szCs w:val="20"/>
          <w:color w:val="auto"/>
        </w:rPr>
      </w:pPr>
      <w:r>
        <w:rPr>
          <w:rFonts w:ascii="Arial" w:cs="Arial" w:eastAsia="Arial" w:hAnsi="Arial"/>
          <w:sz w:val="17"/>
          <w:szCs w:val="17"/>
          <w:color w:val="auto"/>
        </w:rPr>
        <w:t>On December 1, 2016 in an oral presentation at the 28th EORTC-NCI-AACR Symposium on Molecular Targets and Cancer Therapeutics in Munich, Germany (the “EORTC-NCI-AACR Symposium”), Blueprint Medicines Corporation (the “Company”) presented initial data from the dose escalation stage of its ongoing Phase 1 clinical trial evaluating BLU-285 for the treatment of advanced gastrointestinal stromal tumors (“GIST”). BLU-285 is an orally available, potent and highly selective inhibitor that targets D842V mutant PDGFRα and Exon 17 mutant KIT. A copy of the slide presentation is filed as Exhibit 99.1 to this Current Report on Form 8-K and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Cautionary Note Regarding Forward-Looking Statements</w:t>
      </w:r>
    </w:p>
    <w:p>
      <w:pPr>
        <w:spacing w:after="0" w:line="207" w:lineRule="exact"/>
        <w:rPr>
          <w:sz w:val="20"/>
          <w:szCs w:val="20"/>
          <w:color w:val="auto"/>
        </w:rPr>
      </w:pPr>
    </w:p>
    <w:p>
      <w:pPr>
        <w:ind w:firstLine="604"/>
        <w:spacing w:after="0" w:line="283" w:lineRule="auto"/>
        <w:rPr>
          <w:sz w:val="20"/>
          <w:szCs w:val="20"/>
          <w:color w:val="auto"/>
        </w:rPr>
      </w:pPr>
      <w:r>
        <w:rPr>
          <w:rFonts w:ascii="Arial" w:cs="Arial" w:eastAsia="Arial" w:hAnsi="Arial"/>
          <w:sz w:val="15"/>
          <w:szCs w:val="15"/>
          <w:color w:val="auto"/>
        </w:rPr>
        <w:t>This Current Report on Form 8-K contains forward-looking statements within the meaning of the Private Securities Litigation Reform Act of 1995, as amended, including, without limitation, statements regarding plans and timelines for the clinical development of BLU-285; and the Company’s ability to implement its clinical development plans for BLU-285 for the treatment of advanced GIST.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Current Report on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delay of any current or planned clinical trials or the development of BLU-285; the Company’s advancement of multiple early-stage efforts; the Company’s ability to successfully demonstrate the efficacy and safety of its drug product candidates; the preclinical and clinical results for the Company’s drug product candidates, which may not support further development of such drug product candidates; and actions of regulatory agencies, which may affect the initiation, timing and progress of clinical trials; the Company’s ability to develop and commercialize companion diagnostics for its current and future drug candidates, including companion diagnostics for BLU-285 with QIAGEN Manchester Limited; and the success of the Company’s rare genetic disease collaboration with Alexion Pharma Holding and its cancer immunotherapy collaboration with F. Hoffmann-La Roche Ltd and Hoffmann-La Roche Inc. These and other risks and uncertainties are described in greater detail in the section entitled “Risk Factors” in the Company’s Quarterly Report on Form 10-Q for the quarter ended September 30, 2016, as filed with the Securities and Exchange Commission (“SEC”) on November 10, 2016, and other filings that Blueprint Medicines may make with the SEC in the future. Any forward-looking statements contained in this Current Report on Form 8-K represent the Company’s views only as of the date hereof and should not be relied upon as representing its views as of any subsequent date. The Company explicitly disclaims any obligation to update any forward-looking statements.</w:t>
      </w:r>
    </w:p>
    <w:p>
      <w:pPr>
        <w:spacing w:after="0" w:line="15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2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7680" w:type="dxa"/>
            <w:vAlign w:val="bottom"/>
          </w:tcPr>
          <w:p>
            <w:pPr>
              <w:spacing w:after="0"/>
              <w:rPr>
                <w:sz w:val="18"/>
                <w:szCs w:val="18"/>
                <w:color w:val="auto"/>
              </w:rPr>
            </w:pPr>
          </w:p>
        </w:tc>
      </w:tr>
      <w:tr>
        <w:trPr>
          <w:trHeight w:val="415"/>
        </w:trPr>
        <w:tc>
          <w:tcPr>
            <w:tcW w:w="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7"/>
                <w:szCs w:val="17"/>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82"/>
        </w:trPr>
        <w:tc>
          <w:tcPr>
            <w:tcW w:w="20" w:type="dxa"/>
            <w:vAlign w:val="bottom"/>
          </w:tcPr>
          <w:p>
            <w:pPr>
              <w:spacing w:after="0"/>
              <w:rPr>
                <w:sz w:val="15"/>
                <w:szCs w:val="15"/>
                <w:color w:val="auto"/>
              </w:rPr>
            </w:pPr>
          </w:p>
        </w:tc>
        <w:tc>
          <w:tcPr>
            <w:tcW w:w="13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5"/>
                <w:szCs w:val="15"/>
                <w:color w:val="auto"/>
              </w:rPr>
            </w:pPr>
          </w:p>
        </w:tc>
        <w:tc>
          <w:tcPr>
            <w:tcW w:w="76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7"/>
                <w:szCs w:val="17"/>
                <w:color w:val="auto"/>
                <w:w w:val="97"/>
              </w:rPr>
              <w:t>Slide presentation by Blueprint Medicines Corporation on December 1, 2016 at the EORTC-NCI-AACR</w:t>
            </w:r>
          </w:p>
        </w:tc>
      </w:tr>
      <w:tr>
        <w:trPr>
          <w:trHeight w:val="213"/>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Symposium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89724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7245" cy="24130"/>
                    </a:xfrm>
                    <a:prstGeom prst="rect">
                      <a:avLst/>
                    </a:prstGeom>
                    <a:noFill/>
                  </pic:spPr>
                </pic:pic>
              </a:graphicData>
            </a:graphic>
          </wp:anchor>
        </w:drawing>
      </w:r>
    </w:p>
    <w:p>
      <w:pPr>
        <w:sectPr>
          <w:pgSz w:w="11900" w:h="16838" w:orient="portrait"/>
          <w:cols w:equalWidth="0" w:num="1">
            <w:col w:w="9300"/>
          </w:cols>
          <w:pgMar w:left="1300" w:top="123" w:right="1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5700" w:type="dxa"/>
            <w:vAlign w:val="bottom"/>
            <w:gridSpan w:val="2"/>
          </w:tcPr>
          <w:p>
            <w:pPr>
              <w:ind w:left="1500"/>
              <w:spacing w:after="0"/>
              <w:rPr>
                <w:sz w:val="20"/>
                <w:szCs w:val="20"/>
                <w:color w:val="auto"/>
              </w:rPr>
            </w:pPr>
            <w:r>
              <w:rPr>
                <w:rFonts w:ascii="Arial" w:cs="Arial" w:eastAsia="Arial" w:hAnsi="Arial"/>
                <w:sz w:val="17"/>
                <w:szCs w:val="17"/>
                <w:b w:val="1"/>
                <w:bCs w:val="1"/>
                <w:color w:val="auto"/>
              </w:rPr>
              <w:t>BLUEPRINT MEDICINES CORPORATION</w:t>
            </w:r>
          </w:p>
        </w:tc>
      </w:tr>
      <w:tr>
        <w:trPr>
          <w:trHeight w:val="629"/>
        </w:trPr>
        <w:tc>
          <w:tcPr>
            <w:tcW w:w="3160" w:type="dxa"/>
            <w:vAlign w:val="bottom"/>
          </w:tcPr>
          <w:p>
            <w:pPr>
              <w:spacing w:after="0"/>
              <w:rPr>
                <w:sz w:val="20"/>
                <w:szCs w:val="20"/>
                <w:color w:val="auto"/>
              </w:rPr>
            </w:pPr>
            <w:r>
              <w:rPr>
                <w:rFonts w:ascii="Arial" w:cs="Arial" w:eastAsia="Arial" w:hAnsi="Arial"/>
                <w:sz w:val="17"/>
                <w:szCs w:val="17"/>
                <w:color w:val="auto"/>
              </w:rPr>
              <w:t>Date: December 1, 2016</w:t>
            </w:r>
          </w:p>
        </w:tc>
        <w:tc>
          <w:tcPr>
            <w:tcW w:w="5700" w:type="dxa"/>
            <w:vAlign w:val="bottom"/>
            <w:gridSpan w:val="2"/>
          </w:tcPr>
          <w:p>
            <w:pPr>
              <w:ind w:left="1500"/>
              <w:spacing w:after="0"/>
              <w:rPr>
                <w:sz w:val="20"/>
                <w:szCs w:val="20"/>
                <w:color w:val="auto"/>
              </w:rPr>
            </w:pPr>
            <w:r>
              <w:rPr>
                <w:rFonts w:ascii="Arial" w:cs="Arial" w:eastAsia="Arial" w:hAnsi="Arial"/>
                <w:sz w:val="17"/>
                <w:szCs w:val="17"/>
                <w:color w:val="auto"/>
              </w:rPr>
              <w:t>By:  /s/ Jeffrey W. Albers</w:t>
            </w:r>
          </w:p>
        </w:tc>
      </w:tr>
      <w:tr>
        <w:trPr>
          <w:trHeight w:val="182"/>
        </w:trPr>
        <w:tc>
          <w:tcPr>
            <w:tcW w:w="3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Jeffrey W. Albers</w:t>
            </w:r>
          </w:p>
        </w:tc>
      </w:tr>
      <w:tr>
        <w:trPr>
          <w:trHeight w:val="213"/>
        </w:trPr>
        <w:tc>
          <w:tcPr>
            <w:tcW w:w="3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89724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7245" cy="24130"/>
                    </a:xfrm>
                    <a:prstGeom prst="rect">
                      <a:avLst/>
                    </a:prstGeom>
                    <a:noFill/>
                  </pic:spPr>
                </pic:pic>
              </a:graphicData>
            </a:graphic>
          </wp:anchor>
        </w:drawing>
      </w:r>
    </w:p>
    <w:p>
      <w:pPr>
        <w:sectPr>
          <w:pgSz w:w="11900" w:h="16838" w:orient="portrait"/>
          <w:cols w:equalWidth="0" w:num="1">
            <w:col w:w="9260"/>
          </w:cols>
          <w:pgMar w:left="1300" w:top="123" w:right="1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center"/>
              <w:ind w:right="1536"/>
              <w:spacing w:after="0"/>
              <w:rPr>
                <w:sz w:val="20"/>
                <w:szCs w:val="20"/>
                <w:color w:val="auto"/>
              </w:rPr>
            </w:pPr>
            <w:r>
              <w:rPr>
                <w:rFonts w:ascii="Arial" w:cs="Arial" w:eastAsia="Arial" w:hAnsi="Arial"/>
                <w:sz w:val="17"/>
                <w:szCs w:val="17"/>
                <w:b w:val="1"/>
                <w:bCs w:val="1"/>
                <w:color w:val="auto"/>
              </w:rPr>
              <w:t>EXHIBIT INDEX</w:t>
            </w:r>
          </w:p>
        </w:tc>
      </w:tr>
      <w:tr>
        <w:trPr>
          <w:trHeight w:val="415"/>
        </w:trPr>
        <w:tc>
          <w:tcPr>
            <w:tcW w:w="1600" w:type="dxa"/>
            <w:vAlign w:val="bottom"/>
            <w:gridSpan w:val="2"/>
          </w:tcPr>
          <w:p>
            <w:pPr>
              <w:ind w:left="100"/>
              <w:spacing w:after="0"/>
              <w:rPr>
                <w:sz w:val="20"/>
                <w:szCs w:val="20"/>
                <w:color w:val="auto"/>
              </w:rPr>
            </w:pPr>
            <w:r>
              <w:rPr>
                <w:rFonts w:ascii="Arial" w:cs="Arial" w:eastAsia="Arial" w:hAnsi="Arial"/>
                <w:sz w:val="17"/>
                <w:szCs w:val="17"/>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82"/>
        </w:trPr>
        <w:tc>
          <w:tcPr>
            <w:tcW w:w="13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5"/>
                <w:szCs w:val="15"/>
                <w:color w:val="auto"/>
              </w:rPr>
            </w:pPr>
          </w:p>
        </w:tc>
        <w:tc>
          <w:tcPr>
            <w:tcW w:w="76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7"/>
                <w:szCs w:val="17"/>
                <w:color w:val="auto"/>
                <w:w w:val="97"/>
              </w:rPr>
              <w:t>Slide presentation by Blueprint Medicines Corporation on December 1, 2016 at the EORTC-NCI-AACR</w:t>
            </w:r>
          </w:p>
        </w:tc>
      </w:tr>
      <w:tr>
        <w:trPr>
          <w:trHeight w:val="213"/>
        </w:trPr>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Symposium</w:t>
            </w:r>
          </w:p>
        </w:tc>
      </w:tr>
      <w:tr>
        <w:trPr>
          <w:trHeight w:val="868"/>
        </w:trPr>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jc w:val="right"/>
              <w:ind w:right="4516"/>
              <w:spacing w:after="0"/>
              <w:rPr>
                <w:sz w:val="20"/>
                <w:szCs w:val="20"/>
                <w:color w:val="auto"/>
              </w:rPr>
            </w:pPr>
            <w:r>
              <w:rPr>
                <w:rFonts w:ascii="Arial" w:cs="Arial" w:eastAsia="Arial" w:hAnsi="Arial"/>
                <w:sz w:val="17"/>
                <w:szCs w:val="17"/>
                <w:color w:val="auto"/>
              </w:rPr>
              <w:t>4</w:t>
            </w:r>
          </w:p>
        </w:tc>
      </w:tr>
      <w:tr>
        <w:trPr>
          <w:trHeight w:val="119"/>
        </w:trPr>
        <w:tc>
          <w:tcPr>
            <w:tcW w:w="1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9280"/>
          </w:cols>
          <w:pgMar w:left="1320" w:top="123" w:right="1299" w:bottom="1440" w:gutter="0" w:footer="0" w:header="0"/>
        </w:sectPr>
      </w:pPr>
    </w:p>
    <w:bookmarkStart w:id="4" w:name="page5"/>
    <w:bookmarkEnd w:id="4"/>
    <w:p>
      <w:pPr>
        <w:ind w:left="88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4272280</wp:posOffset>
            </wp:positionV>
            <wp:extent cx="660082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156845</wp:posOffset>
            </wp:positionV>
            <wp:extent cx="6632575" cy="373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2019-12-09T00:33:27Z</dcterms:created>
  <dcterms:modified xsi:type="dcterms:W3CDTF">2019-12-09T00:33:27Z</dcterms:modified>
</cp:coreProperties>
</file>