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02529"/>
        </w:rPr>
        <w:t>Item 2.02 Results of Operations and Financial Condition.</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May 3, 2022, Blueprint Medicines Corporation announced its financial results for the quarter ended March 31, 2022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3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May 3, 2022</w:t>
            </w:r>
          </w:p>
        </w:tc>
      </w:tr>
      <w:tr>
        <w:trPr>
          <w:trHeight w:val="20"/>
        </w:trPr>
        <w:tc>
          <w:tcPr>
            <w:tcW w:w="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02"/>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Reports First Quarter 2022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Achieved $23.8 million in AYVAKIT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(avapritinib) net product revenues, and $62.7 million in total revenues --</w:t>
      </w:r>
    </w:p>
    <w:p>
      <w:pPr>
        <w:spacing w:after="0" w:line="225" w:lineRule="exact"/>
        <w:rPr>
          <w:sz w:val="20"/>
          <w:szCs w:val="20"/>
          <w:color w:val="auto"/>
        </w:rPr>
      </w:pPr>
    </w:p>
    <w:p>
      <w:pPr>
        <w:ind w:left="960" w:hanging="163"/>
        <w:spacing w:after="0"/>
        <w:tabs>
          <w:tab w:leader="none" w:pos="96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AYVAKYT® (avapritinib) launch in Germany underway following European Commission approval for advanced SM on March 25 –</w:t>
      </w:r>
    </w:p>
    <w:p>
      <w:pPr>
        <w:spacing w:after="0" w:line="225" w:lineRule="exact"/>
        <w:rPr>
          <w:rFonts w:ascii="Times New Roman" w:cs="Times New Roman" w:eastAsia="Times New Roman" w:hAnsi="Times New Roman"/>
          <w:sz w:val="18"/>
          <w:szCs w:val="18"/>
          <w:i w:val="1"/>
          <w:iCs w:val="1"/>
          <w:color w:val="auto"/>
        </w:rPr>
      </w:pPr>
    </w:p>
    <w:p>
      <w:pPr>
        <w:ind w:left="600" w:hanging="159"/>
        <w:spacing w:after="0"/>
        <w:tabs>
          <w:tab w:leader="none" w:pos="600" w:val="left"/>
        </w:tabs>
        <w:numPr>
          <w:ilvl w:val="0"/>
          <w:numId w:val="2"/>
        </w:numPr>
        <w:rPr>
          <w:rFonts w:ascii="Times New Roman" w:cs="Times New Roman" w:eastAsia="Times New Roman" w:hAnsi="Times New Roman"/>
          <w:sz w:val="18"/>
          <w:szCs w:val="18"/>
          <w:i w:val="1"/>
          <w:iCs w:val="1"/>
          <w:color w:val="242424"/>
        </w:rPr>
      </w:pPr>
      <w:r>
        <w:rPr>
          <w:rFonts w:ascii="Times New Roman" w:cs="Times New Roman" w:eastAsia="Times New Roman" w:hAnsi="Times New Roman"/>
          <w:sz w:val="18"/>
          <w:szCs w:val="18"/>
          <w:i w:val="1"/>
          <w:iCs w:val="1"/>
          <w:color w:val="242424"/>
        </w:rPr>
        <w:t>First patients dosed in BLU-701, BLU-451, and BLU-222 clinical trials; trial cohort initiated for BLU-945 in combination with osimertinib –</w:t>
      </w:r>
    </w:p>
    <w:p>
      <w:pPr>
        <w:spacing w:after="0" w:line="225" w:lineRule="exact"/>
        <w:rPr>
          <w:rFonts w:ascii="Times New Roman" w:cs="Times New Roman" w:eastAsia="Times New Roman" w:hAnsi="Times New Roman"/>
          <w:sz w:val="18"/>
          <w:szCs w:val="18"/>
          <w:i w:val="1"/>
          <w:iCs w:val="1"/>
          <w:color w:val="242424"/>
        </w:rPr>
      </w:pPr>
    </w:p>
    <w:p>
      <w:pPr>
        <w:ind w:left="1040" w:hanging="165"/>
        <w:spacing w:after="0"/>
        <w:tabs>
          <w:tab w:leader="none" w:pos="104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report topline data for registration-enabling PIONEER trial of AYVAKIT in non-advanced SM in late summer 2022 --</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CAMBRIDGE, Mass., May 3, 2022 – Blueprint Medicines Corporation (NASDAQ: BPMC) today reported financial results and provided a business update for the first quarter ended March 31, 2022.</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first quarter was marked by a number of important milestones across our business. We have strong momentum in our commercial execution, our pipeline is advancing rapidly, and we continue to build on our scientific leadership,” said Kate Haviland, Chief Executive Officer of Blueprint Medicines. “Our ongoing global launch of AYVAKIT®/AYVAKYT® (avapritinib) in the U.S. and now also in Europe is establishing a new standard of care for the treatment of advanced SM, targeting the underlying cause of the disease. We are on track to have topline data from our registration-enabling PIONEER trial in late summer, further expanding our leadership in SM as we potentially bring the first and only medicine to patients with the non-advanced form of the disease. In addition, we continue to progress our pipeline of innovative investigational medicines in difficult-to-treat and prevalent cancers such as non-small cell lung cancer and breast cancer. At the American Association for Cancer Research (AACR) Annual Meeting, we presented five abstracts highlighting data across four programs within our EGFR and CDK2 franchises, while earlier in the quarter we announced a targeted protein degradation discovery collaboration with Proteovant Therapeutics. The strength this past quarter demonstrates that we are well on our way of delivering on our 2022 goals while also building the foundation to drive further value for the years ahead.”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Highlights and Recent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AYVAKIT®/AYVAKYT® (avapritinib): advanced systemic mastocytosis (SM) and PDGFRA gastrointestinal stromal tumor (GIST)</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global net product revenues of $23.8 million for the first quarter of 2022.</w:t>
      </w:r>
    </w:p>
    <w:p>
      <w:pPr>
        <w:spacing w:after="0" w:line="27"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European Commission approval for AYVAKYT for the treatment of adult patients with advanced SM, including aggressive SM, SM with an associated hematological neoplasm, or mast cell leukemia, after at least one systemic therapy, and treated the first commercial patients in Germany. Read the press release here.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GAVRETO® (pralsetinib): RET-altered cancers</w:t>
      </w:r>
    </w:p>
    <w:p>
      <w:pPr>
        <w:spacing w:after="0" w:line="229" w:lineRule="exact"/>
        <w:rPr>
          <w:sz w:val="20"/>
          <w:szCs w:val="20"/>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recorded and reported by Roche, GAVRETO product sales for their region were 5 million CHF, which excludes sales in the Greater China territory driven by CStone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BLU-945, BLU-701 and BLU-451 (formerly LNG-451): EGFR-driven NSCLC</w:t>
      </w:r>
    </w:p>
    <w:p>
      <w:pPr>
        <w:spacing w:after="0" w:line="229" w:lineRule="exact"/>
        <w:rPr>
          <w:sz w:val="20"/>
          <w:szCs w:val="20"/>
          <w:color w:val="auto"/>
        </w:rPr>
      </w:pPr>
    </w:p>
    <w:p>
      <w:pPr>
        <w:ind w:left="660" w:right="2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proof-of-concept data at AACR from the Phase 1/2 SYMPHONY clinical trial of BLU-945, showing early evidence of safety and clinical activity, with dose-dependent decreases in circulating tumor DNA (EGFR variant allele fractions) and radiographic tumor reductions, including an unconfirmed partial response (PR) in a patient treated with 400 mg once daily (QD). BLU-945 was generally well-tolerated, with no significant adverse events (AEs) associated with wild-type EGFR inhibition. The maximum tolerated dose and recommended Phase 2 dose have not yet been identified, and dose escalation is continuing. These results support plans to expand the development of BLU-945 in combination with multiple agents, including osimertinib, with the goal of preventing or treating tumor resistance to prolong patient benefit. Read the press release here.</w:t>
      </w:r>
    </w:p>
    <w:p>
      <w:pPr>
        <w:spacing w:after="0" w:line="2"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clinical trial supply agreement with AstraZeneca (LSE/STO/Nasdaq:AZN), under which Blueprint Medicines will evaluate BLU-945 and BLU-701 in combination with osimertinib in the ongoing SYMPHONY and HARMONY trials, respectively.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at AACR, reported preclinical data supporting the development of BLU-451 in EGFR exon 20 insertion-positive NSCLC.</w:t>
      </w:r>
    </w:p>
    <w:p>
      <w:pPr>
        <w:spacing w:after="0" w:line="9"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patient dosing in the CONCERTO trial, a Phase 1/2 trial of BLU-451 in patients with EGFR-driven NSCLC harboring exon 20 insertion mutations.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BLU-222: breast, ovarian, and other CDK2-vulnerable cancers, including CCNE1-amplified tumors</w:t>
      </w:r>
    </w:p>
    <w:p>
      <w:pPr>
        <w:spacing w:after="0" w:line="229" w:lineRule="exact"/>
        <w:rPr>
          <w:sz w:val="20"/>
          <w:szCs w:val="20"/>
          <w:color w:val="auto"/>
        </w:rPr>
      </w:pPr>
    </w:p>
    <w:p>
      <w:pPr>
        <w:ind w:left="660" w:right="30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preclinical data in a CCNE1-amplified ovarian tumor model at AACR supporting the development of BLU-222 in CDK2-vulnerable cancers.</w:t>
      </w: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VELA trial, a Phase 1/2 trial of BLU-222 in CDK2-vulnerable cancers, including estrogen-receptor-positive breast cancer and a range of other CCNE1-amplified tumors, and dosed the first patient in Part 1 dose escalation.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ind w:left="660" w:hanging="328"/>
        <w:spacing w:after="0" w:line="257" w:lineRule="auto"/>
        <w:tabs>
          <w:tab w:leader="none" w:pos="6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collaboration with Proteovant Therapeutics to advance novel targeted protein degrader therapies to address important areas of medical need. Under the terms of the collaboration, the companies will jointly research important targets and advance up to four novel protein degrader therapies into development candidates. Read the press release here.</w:t>
      </w:r>
    </w:p>
    <w:p>
      <w:pPr>
        <w:spacing w:after="0" w:line="1" w:lineRule="exact"/>
        <w:rPr>
          <w:rFonts w:ascii="Times New Roman" w:cs="Times New Roman" w:eastAsia="Times New Roman" w:hAnsi="Times New Roman"/>
          <w:sz w:val="18"/>
          <w:szCs w:val="18"/>
          <w:color w:val="auto"/>
        </w:rPr>
      </w:pPr>
    </w:p>
    <w:p>
      <w:pPr>
        <w:ind w:left="660" w:right="74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 $30 million milestone payment from Clementia related to the initiation of a Phase 2 trial of BLU-782, which is now called IPN60130, our out-licensed ALK2 inhibitor in development for the rare bone disease fibrodysplasia ossificans progressiva.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achieve the following near-term milestones:</w:t>
      </w:r>
    </w:p>
    <w:p>
      <w:pPr>
        <w:spacing w:after="0" w:line="225" w:lineRule="exact"/>
        <w:rPr>
          <w:sz w:val="20"/>
          <w:szCs w:val="20"/>
          <w:color w:val="auto"/>
        </w:rPr>
      </w:pPr>
    </w:p>
    <w:p>
      <w:pPr>
        <w:ind w:left="660" w:hanging="328"/>
        <w:spacing w:after="0" w:line="276"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topline data from the registration-enabling Part 2 of the PIONEER trial of AYVAKIT in non-advanced SM in late summer 2022 and submit a supplemental new drug application to the U.S. Food and Drug Administration for AYVAKIT in non-advanced SM in the second half of 2022.</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data from the dose escalation cohort of the Phase 1/2 SYMPHONY trial evaluating BLU-945 in combination with osimertinib in the second half of 2022.</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clinical data from the Phase 1/2 HARMONY trial of BLU-701 in the second half of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data from Part 1 of the HARBOR trial of BLU-263 in non-advanced SM in the second half of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the company's research and portfolio vision, including scientific platform expansion plans, at an R&amp;D Day in the second half of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Results</w:t>
      </w:r>
    </w:p>
    <w:p>
      <w:pPr>
        <w:spacing w:after="0" w:line="225" w:lineRule="exact"/>
        <w:rPr>
          <w:sz w:val="20"/>
          <w:szCs w:val="20"/>
          <w:color w:val="auto"/>
        </w:rPr>
      </w:pPr>
    </w:p>
    <w:p>
      <w:pPr>
        <w:ind w:left="660" w:right="40" w:hanging="328"/>
        <w:spacing w:after="0" w:line="256"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 Revenues were $62.7 million for the first quarter of 2022, including $23.8 million of net product revenues from sales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AYVAKIT/AYVAKYT and $38.9 million in collaboration revenues. Blueprint Medicines recorded revenues of $21.6 million in the first quarter of 2021, including $7.1 million of net product revenues from sales of AYVAKIT/AYVAKIT, $1.8 million of net product revenues from sales of GAVRETO and $12.6 million in collaboration revenues.</w:t>
      </w:r>
    </w:p>
    <w:p>
      <w:pPr>
        <w:spacing w:after="0" w:line="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18"/>
          <w:szCs w:val="18"/>
          <w:color w:val="auto"/>
        </w:rPr>
        <w:t>: Cost of sales was $5.1 million for the first quarter of 2022, as compared to $0.1 million for the first quarter of 2021.</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$103.1 million for the first quarter of 2022, as compared to $79.7 million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This increase was primarily due to increased costs associated with the progression of our clinical trials, increased costs related to early discovery efforts, and a decrease in reimbursement from the global development cost sharing arrangement under our collaboration with Roche for GAVRETO. Research and development expenses included $10.0 million in stock-based compensation expenses for the first quarter of 2022.</w:t>
      </w:r>
    </w:p>
    <w:p>
      <w:pPr>
        <w:spacing w:after="0" w:line="1" w:lineRule="exact"/>
        <w:rPr>
          <w:rFonts w:ascii="Times New Roman" w:cs="Times New Roman" w:eastAsia="Times New Roman" w:hAnsi="Times New Roman"/>
          <w:sz w:val="18"/>
          <w:szCs w:val="18"/>
          <w:b w:val="1"/>
          <w:bCs w:val="1"/>
          <w:color w:val="auto"/>
        </w:rPr>
      </w:pPr>
    </w:p>
    <w:p>
      <w:pPr>
        <w:ind w:left="660" w:right="80" w:hanging="328"/>
        <w:spacing w:after="0" w:line="250"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$57.1 million for the first quarter of 2022, as compared to $42.0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2021. This increase was primarily due to increased costs associated with expanding our commercial infrastructure for commercialization of AYVAKIT/AYVAKYT. General and administrative expenses included $13.4 million in stock-based compensation expenses for the first quarter of 2022.</w:t>
      </w:r>
    </w:p>
    <w:p>
      <w:pPr>
        <w:spacing w:after="0" w:line="1" w:lineRule="exact"/>
        <w:rPr>
          <w:rFonts w:ascii="Times New Roman" w:cs="Times New Roman" w:eastAsia="Times New Roman" w:hAnsi="Times New Roman"/>
          <w:sz w:val="18"/>
          <w:szCs w:val="18"/>
          <w:b w:val="1"/>
          <w:bCs w:val="1"/>
          <w:color w:val="auto"/>
        </w:rPr>
      </w:pPr>
    </w:p>
    <w:p>
      <w:pPr>
        <w:ind w:left="660" w:right="1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$106.0 million for the first quarter of 2022, or a net loss per share of $1.79, as compared to a net loss of $99.7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2021, or a net loss per share of $1.72.</w:t>
      </w:r>
    </w:p>
    <w:p>
      <w:pPr>
        <w:ind w:left="660" w:right="84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March 31, 2022, cash, cash equivalents and investments were $893.4 million, as compared to $1,034.6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Blueprint Medicines continues to anticipate approximately $180 to $200 million in total net revenues in 2022, including approximately $115 to $130 million in AYVAKIT net product revenues. The company continues to expect that its existing cash, cash equivalents and investments, together with anticipated future product revenues, will provide sufficient capital to enable the company to achieve a self-sustainable financial profile.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Blueprint Medicines will host a live conference call and webcast at 8:30 a.m. ET today to discuss first quarter 2022 financial results and recent business activities. The conference call may be accessed by dialing 844-200-6205 (domestic) or 929-526-1599 (international), and referring to conference ID 694684. A webcast of the call will also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Investor Conferences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Blueprint Medicines will participate in three upcoming investor conferences: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Healthcare Conference on Tuesday, June 9, 2022 in New York, 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42424"/>
        </w:rPr>
        <w:t>JMP Securities 2022 Life Sciences Conference on Thursday, June 16, 2022 in New York, NY.</w:t>
      </w:r>
    </w:p>
    <w:p>
      <w:pPr>
        <w:spacing w:after="0" w:line="9"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Goldman Sachs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Annual Global Healthcare Conference on Thursday, June 16, 2022 in Rancho Palos Verdes, CA.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A live webcast of each presentation will be available by visiting the Investors &amp; Media section of Blueprint Medicines'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 xml:space="preserve">at </w:t>
      </w:r>
      <w:r>
        <w:rPr>
          <w:rFonts w:ascii="Times New Roman" w:cs="Times New Roman" w:eastAsia="Times New Roman" w:hAnsi="Times New Roman"/>
          <w:sz w:val="18"/>
          <w:szCs w:val="18"/>
          <w:u w:val="single" w:color="auto"/>
          <w:color w:val="000000"/>
        </w:rPr>
        <w:t>http://ir.blueprintmedicines.com</w:t>
      </w:r>
      <w:r>
        <w:rPr>
          <w:rFonts w:ascii="Times New Roman" w:cs="Times New Roman" w:eastAsia="Times New Roman" w:hAnsi="Times New Roman"/>
          <w:sz w:val="18"/>
          <w:szCs w:val="18"/>
          <w:color w:val="242424"/>
        </w:rPr>
        <w:t>. A replay of the webcasts will be archived on Blueprint Medicines' website for 30 days following each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and trial cohorts, or the results of ongoing and planned clinical trials; expectations regarding the standard of care for the treatment of advanced SM; Blueprint Medicines’ plans, strategies and timelines to nominate development candidates; the anticipated benefits of the preclinical profiles of Blueprint Medicines’ drug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1,034,643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550,219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404,260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1,143,307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1,252,225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36,576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261,641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281,490</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881,666</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970,735</w:t>
            </w:r>
          </w:p>
        </w:tc>
      </w:tr>
    </w:tbl>
    <w:p>
      <w:pPr>
        <w:spacing w:after="0" w:line="179"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Medicines defines working capital as current assets less current liabilities.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6"/>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revenue,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23,841</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38,890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5,079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3,265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103,133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79,710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57,058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42,002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vMerge w:val="continue"/>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7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used in net loss per share applicable to</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59,312</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58,023</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617-714-6684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media@blueprintmedicines.com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 Hodous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617-714-6674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2022-05-03T06:47:40Z</dcterms:created>
  <dcterms:modified xsi:type="dcterms:W3CDTF">2022-05-03T06:47:40Z</dcterms:modified>
</cp:coreProperties>
</file>