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tm2316983d1_8k.htm"/>
      <w:bookmarkStart w:id="1" w:name="kstm2316983d1_8k"/>
      <w:bookmarkEnd w:id="0"/>
      <w:bookmarkEnd w:id="1"/>
      <w:r>
        <w:rPr/>
        <w:t> </w:t>
      </w:r>
    </w:p>
    <w:p>
      <w:pPr>
        <w:pStyle w:val="TextBody"/>
        <w:rPr>
          <w:bdr w:val="single" w:sz="16" w:space="1" w:color="000000"/>
        </w:rPr>
      </w:pPr>
      <w:r>
        <w:rPr>
          <w:bdr w:val="single" w:sz="16" w:space="1" w:color="000000"/>
        </w:rPr>
        <w:t> </w:t>
      </w:r>
    </w:p>
    <w:p>
      <w:pPr>
        <w:pStyle w:val="TextBody"/>
        <w:jc w:val="center"/>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30522__20"/>
      <w:bookmarkEnd w:id="2"/>
      <w:r>
        <w:rPr>
          <w:rFonts w:ascii="Times New Roman;Times;Serif" w:hAnsi="Times New Roman;Times;Serif"/>
          <w:b/>
          <w:i w:val="false"/>
          <w:caps w:val="false"/>
          <w:smallCaps w:val="false"/>
          <w:sz w:val="36"/>
        </w:rPr>
        <w:t>8-K</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22, 2023</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3"/>
      <w:bookmarkEnd w:id="4"/>
      <w:r>
        <w:rPr>
          <w:rFonts w:ascii="Times New Roman;Times;Serif" w:hAnsi="Times New Roman;Times;Serif"/>
          <w:b/>
          <w:i w:val="false"/>
          <w:caps w:val="false"/>
          <w:smallCaps w:val="false"/>
          <w:sz w:val="36"/>
        </w:rPr>
        <w:t>Blueprint Medicines 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tbl>
      <w:tblPr>
        <w:tblW w:w="6030" w:type="dxa"/>
        <w:jc w:val="left"/>
        <w:tblInd w:w="0" w:type="dxa"/>
        <w:tblCellMar>
          <w:top w:w="0" w:type="dxa"/>
          <w:left w:w="0" w:type="dxa"/>
          <w:bottom w:w="0" w:type="dxa"/>
          <w:right w:w="0" w:type="dxa"/>
        </w:tblCellMar>
      </w:tblPr>
      <w:tblGrid>
        <w:gridCol w:w="2165"/>
        <w:gridCol w:w="60"/>
        <w:gridCol w:w="2210"/>
        <w:gridCol w:w="60"/>
        <w:gridCol w:w="1535"/>
      </w:tblGrid>
      <w:tr>
        <w:trPr/>
        <w:tc>
          <w:tcPr>
            <w:tcW w:w="216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7_edei--EntityFileNumber_c20230522"/>
            <w:bookmarkEnd w:id="6"/>
            <w:r>
              <w:rPr>
                <w:rFonts w:ascii="Times New Roman;Times;Serif" w:hAnsi="Times New Roman;Times;Serif"/>
                <w:b/>
                <w:i w:val="false"/>
                <w:caps w:val="false"/>
                <w:smallCaps w:val="false"/>
                <w:sz w:val="20"/>
              </w:rPr>
              <w:t>001-37359</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26-3632015</w:t>
            </w:r>
          </w:p>
        </w:tc>
      </w:tr>
      <w:tr>
        <w:trPr/>
        <w:tc>
          <w:tcPr>
            <w:tcW w:w="216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45 Sidney Street</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Cambridge, </w:t>
            </w:r>
            <w:bookmarkStart w:id="10" w:name="xdx_90E_edei--EntityAddressStateOrProvin"/>
            <w:bookmarkEnd w:id="10"/>
            <w:r>
              <w:rPr>
                <w:rFonts w:ascii="Times New Roman;Times;Serif" w:hAnsi="Times New Roman;Times;Serif"/>
                <w:b/>
                <w:i w:val="false"/>
                <w:caps w:val="false"/>
                <w:smallCaps w:val="false"/>
                <w:sz w:val="20"/>
              </w:rPr>
              <w:t>Massachusetts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1" w:name="xdx_907_edei--EntityAddressPostalZipCode"/>
            <w:bookmarkEnd w:id="11"/>
            <w:r>
              <w:rPr>
                <w:rFonts w:ascii="Times New Roman;Times;Serif" w:hAnsi="Times New Roman;Times;Serif"/>
                <w:b/>
                <w:i w:val="false"/>
                <w:caps w:val="false"/>
                <w:smallCaps w:val="false"/>
                <w:sz w:val="20"/>
              </w:rPr>
              <w:t>02139</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8_edei--CityAreaCode_c20230522__20"/>
      <w:bookmarkEnd w:id="12"/>
      <w:r>
        <w:rPr>
          <w:rFonts w:ascii="Times New Roman;Times;Serif" w:hAnsi="Times New Roman;Times;Serif"/>
          <w:b/>
          <w:i w:val="false"/>
          <w:caps w:val="false"/>
          <w:smallCaps w:val="false"/>
          <w:sz w:val="20"/>
        </w:rPr>
        <w:t xml:space="preserve">617) </w:t>
      </w:r>
      <w:bookmarkStart w:id="13" w:name="xdx_90C_edei--LocalPhoneNumber_c20230522"/>
      <w:bookmarkEnd w:id="13"/>
      <w:r>
        <w:rPr>
          <w:rFonts w:ascii="Times New Roman;Times;Serif" w:hAnsi="Times New Roman;Times;Serif"/>
          <w:b/>
          <w:i w:val="false"/>
          <w:caps w:val="false"/>
          <w:smallCaps w:val="false"/>
          <w:sz w:val="20"/>
        </w:rPr>
        <w:t>374-7580</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60" w:after="60"/>
        <w:ind w:left="60" w:right="60" w:hanging="0"/>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75"/>
        <w:gridCol w:w="230"/>
        <w:gridCol w:w="10234"/>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caps w:val="false"/>
                <w:smallCaps w:val="false"/>
              </w:rPr>
            </w:pPr>
            <w:bookmarkStart w:id="14" w:name="xdx_901_edei--WrittenCommunications_c202"/>
            <w:bookmarkEnd w:id="14"/>
            <w:r>
              <w:rPr>
                <w:caps w:val="false"/>
                <w:smallCaps w:val="false"/>
              </w:rPr>
              <w:t>☐</w:t>
            </w:r>
          </w:p>
        </w:tc>
        <w:tc>
          <w:tcPr>
            <w:tcW w:w="10234" w:type="dxa"/>
            <w:tcBorders/>
            <w:shd w:fill="auto" w:val="clear"/>
            <w:vAlign w:val="center"/>
          </w:tcPr>
          <w:p>
            <w:pPr>
              <w:pStyle w:val="TableContents"/>
              <w:spacing w:before="0" w:after="283"/>
              <w:jc w:val="both"/>
              <w:rPr/>
            </w:pPr>
            <w:r>
              <w:rPr/>
              <w:t>Written communications pursuant to Rule 425 under the Securities Act (17 CFR 230.425)</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5" w:name="xdx_90D_edei--SolicitingMaterial_c202305"/>
            <w:bookmarkEnd w:id="15"/>
            <w:r>
              <w:rPr/>
              <w:t>☐</w:t>
            </w:r>
          </w:p>
        </w:tc>
        <w:tc>
          <w:tcPr>
            <w:tcW w:w="10234" w:type="dxa"/>
            <w:tcBorders/>
            <w:shd w:fill="auto" w:val="clear"/>
            <w:vAlign w:val="center"/>
          </w:tcPr>
          <w:p>
            <w:pPr>
              <w:pStyle w:val="TableContents"/>
              <w:spacing w:before="0" w:after="283"/>
              <w:jc w:val="both"/>
              <w:rPr/>
            </w:pPr>
            <w:r>
              <w:rPr/>
              <w:t>Soliciting material pursuant to Rule 14a-12 under the Exchange Act (17 CFR 240.14a-12)</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6" w:name="xdx_904_edei--PreCommencementTenderOffer"/>
            <w:bookmarkEnd w:id="16"/>
            <w:r>
              <w:rPr/>
              <w:t>☐</w:t>
            </w:r>
          </w:p>
        </w:tc>
        <w:tc>
          <w:tcPr>
            <w:tcW w:w="10234" w:type="dxa"/>
            <w:tcBorders/>
            <w:shd w:fill="auto" w:val="clear"/>
            <w:vAlign w:val="center"/>
          </w:tcPr>
          <w:p>
            <w:pPr>
              <w:pStyle w:val="TableContents"/>
              <w:spacing w:before="0" w:after="283"/>
              <w:jc w:val="both"/>
              <w:rPr/>
            </w:pPr>
            <w:r>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7" w:name="xdx_907_edei--PreCommencementIssuerTende"/>
            <w:bookmarkEnd w:id="17"/>
            <w:r>
              <w:rPr/>
              <w:t>☐</w:t>
            </w:r>
          </w:p>
        </w:tc>
        <w:tc>
          <w:tcPr>
            <w:tcW w:w="10234"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3_edei--EntityEmergingGrowthCompan"/>
      <w:bookmarkEnd w:id="18"/>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spacing w:before="0" w:after="0"/>
        <w:ind w:left="0" w:right="0" w:hanging="0"/>
        <w:rPr>
          <w:caps w:val="false"/>
          <w:smallCaps w:val="false"/>
        </w:rPr>
      </w:pPr>
      <w:r>
        <w:rPr>
          <w:caps w:val="false"/>
          <w:smallCaps w:val="false"/>
        </w:rPr>
        <w:t> </w:t>
      </w:r>
    </w:p>
    <w:tbl>
      <w:tblPr>
        <w:tblW w:w="7740" w:type="dxa"/>
        <w:jc w:val="left"/>
        <w:tblInd w:w="0" w:type="dxa"/>
        <w:tblCellMar>
          <w:top w:w="28" w:type="dxa"/>
          <w:left w:w="108" w:type="dxa"/>
          <w:bottom w:w="28" w:type="dxa"/>
          <w:right w:w="108" w:type="dxa"/>
        </w:tblCellMar>
      </w:tblPr>
      <w:tblGrid>
        <w:gridCol w:w="3485"/>
        <w:gridCol w:w="1505"/>
        <w:gridCol w:w="2750"/>
      </w:tblGrid>
      <w:tr>
        <w:trPr/>
        <w:tc>
          <w:tcPr>
            <w:tcW w:w="348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0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348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C_edei--Security12bTitle_c20230522"/>
            <w:bookmarkEnd w:id="19"/>
            <w:r>
              <w:rPr>
                <w:rFonts w:ascii="Times New Roman;Times;Serif" w:hAnsi="Times New Roman;Times;Serif"/>
                <w:b w:val="false"/>
                <w:i w:val="false"/>
                <w:caps w:val="false"/>
                <w:smallCaps w:val="false"/>
                <w:sz w:val="20"/>
              </w:rPr>
              <w:t>Common stock, par value $0.001 per share</w:t>
            </w:r>
          </w:p>
        </w:tc>
        <w:tc>
          <w:tcPr>
            <w:tcW w:w="15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E_edei--TradingSymbol_c20230522__2"/>
            <w:bookmarkEnd w:id="20"/>
            <w:r>
              <w:rPr>
                <w:rFonts w:ascii="Times New Roman;Times;Serif" w:hAnsi="Times New Roman;Times;Serif"/>
                <w:b w:val="false"/>
                <w:i w:val="false"/>
                <w:caps w:val="false"/>
                <w:smallCaps w:val="false"/>
                <w:sz w:val="20"/>
              </w:rPr>
              <w:t>BPMC</w:t>
            </w:r>
          </w:p>
        </w:tc>
        <w:tc>
          <w:tcPr>
            <w:tcW w:w="275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1" w:name="xdx_90D_edei--SecurityExchangeName_c2023"/>
            <w:bookmarkEnd w:id="21"/>
            <w:r>
              <w:rPr>
                <w:rFonts w:ascii="Times New Roman;Times;Serif" w:hAnsi="Times New Roman;Times;Serif"/>
                <w:b w:val="false"/>
                <w:i w:val="false"/>
                <w:caps w:val="false"/>
                <w:smallCaps w:val="false"/>
                <w:sz w:val="20"/>
              </w:rPr>
              <w:t>Nasdaq Global Select Market</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675" w:type="dxa"/>
        <w:jc w:val="left"/>
        <w:tblInd w:w="0" w:type="dxa"/>
        <w:shd w:fill="FFFFFF" w:val="clear"/>
        <w:tblCellMar>
          <w:top w:w="0" w:type="dxa"/>
          <w:left w:w="0" w:type="dxa"/>
          <w:bottom w:w="0" w:type="dxa"/>
          <w:right w:w="0" w:type="dxa"/>
        </w:tblCellMar>
      </w:tblPr>
      <w:tblGrid>
        <w:gridCol w:w="980"/>
        <w:gridCol w:w="3695"/>
      </w:tblGrid>
      <w:tr>
        <w:trPr/>
        <w:tc>
          <w:tcPr>
            <w:tcW w:w="980" w:type="dxa"/>
            <w:tcBorders/>
            <w:shd w:fill="FFFFFF" w:val="clear"/>
            <w:vAlign w:val="center"/>
          </w:tcPr>
          <w:p>
            <w:pPr>
              <w:pStyle w:val="TableContents"/>
              <w:spacing w:before="0" w:after="283"/>
              <w:rPr>
                <w:b/>
              </w:rPr>
            </w:pPr>
            <w:r>
              <w:rPr>
                <w:b/>
              </w:rPr>
              <w:t>Item 1.01</w:t>
            </w:r>
          </w:p>
        </w:tc>
        <w:tc>
          <w:tcPr>
            <w:tcW w:w="3695" w:type="dxa"/>
            <w:tcBorders/>
            <w:shd w:fill="FFFFFF" w:val="clear"/>
            <w:vAlign w:val="center"/>
          </w:tcPr>
          <w:p>
            <w:pPr>
              <w:pStyle w:val="TableContents"/>
              <w:spacing w:before="0" w:after="0"/>
              <w:ind w:left="0" w:right="0" w:hanging="0"/>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Entry into a Material Definitive Agreement</w:t>
            </w:r>
          </w:p>
        </w:tc>
      </w:tr>
    </w:tbl>
    <w:p>
      <w:pPr>
        <w:pStyle w:val="TextBody"/>
        <w:shd w:fill="FFFFFF" w:val="clear"/>
        <w:spacing w:before="0" w:after="0"/>
        <w:ind w:left="0" w:right="0" w:hanging="0"/>
        <w:rPr>
          <w:caps w:val="false"/>
          <w:smallCaps w:val="false"/>
          <w:color w:val="202529"/>
        </w:rPr>
      </w:pPr>
      <w:r>
        <w:rPr>
          <w:caps w:val="false"/>
          <w:smallCaps w:val="false"/>
          <w:color w:val="202529"/>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 xml:space="preserve">On May 22, 2023, Blueprint Medicines Corporation (the “Company”), certain lender parties, and TAO Talents LLC, as Administrative Agent for the lenders (the “Administrative Agent”), entered into a first amendment to the Financing Agreement dated as of June 30, 2022 by and among the Company, </w:t>
      </w:r>
      <w:r>
        <w:rPr>
          <w:rFonts w:ascii="Times New Roman;Times;Serif" w:hAnsi="Times New Roman;Times;Serif"/>
          <w:b w:val="false"/>
          <w:i w:val="false"/>
          <w:caps w:val="false"/>
          <w:smallCaps w:val="false"/>
          <w:sz w:val="20"/>
        </w:rPr>
        <w:t xml:space="preserve">certain subsidiaries of the Company, the lenders from time to time party thereto, and the Administrative Agent </w:t>
      </w:r>
      <w:r>
        <w:rPr>
          <w:rFonts w:ascii="Times New Roman;Times;Serif" w:hAnsi="Times New Roman;Times;Serif"/>
          <w:b w:val="false"/>
          <w:i w:val="false"/>
          <w:caps w:val="false"/>
          <w:smallCaps w:val="false"/>
          <w:color w:val="212529"/>
          <w:sz w:val="20"/>
        </w:rPr>
        <w:t>(the “Financing Agreement”) to extend the delayed Draw A Commitment Termination Date and make corresponding updates to the terms and conditions set forth in the Delayed Draw A Funding Milestone.</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 of the </w:t>
      </w:r>
      <w:r>
        <w:rPr>
          <w:rFonts w:ascii="Times New Roman;Times;Serif" w:hAnsi="Times New Roman;Times;Serif"/>
          <w:b w:val="false"/>
          <w:i w:val="false"/>
          <w:caps w:val="false"/>
          <w:smallCaps w:val="false"/>
          <w:color w:val="212529"/>
          <w:sz w:val="20"/>
        </w:rPr>
        <w:t>first amendment to the Financing Agreement</w:t>
      </w:r>
      <w:r>
        <w:rPr>
          <w:rFonts w:ascii="Times New Roman;Times;Serif" w:hAnsi="Times New Roman;Times;Serif"/>
          <w:b w:val="false"/>
          <w:i w:val="false"/>
          <w:caps w:val="false"/>
          <w:smallCaps w:val="false"/>
          <w:sz w:val="20"/>
        </w:rPr>
        <w:t xml:space="preserve"> is qualified in its entirety by reference to the complete text of the first amendment, a copy of which is attached as an exhibit this Current Report on Form 8-K.</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i w:val="false"/>
          <w:caps w:val="false"/>
          <w:smallCaps w:val="false"/>
          <w:color w:val="212529"/>
          <w:sz w:val="20"/>
        </w:rPr>
        <w:t>Item 9.01  Financial Statements and Exhibits.</w:t>
      </w:r>
      <w:r>
        <w:rPr>
          <w:rFonts w:ascii="Times New Roman;Times;Serif" w:hAnsi="Times New Roman;Times;Serif"/>
          <w:b w:val="false"/>
          <w:i w:val="false"/>
          <w:caps w:val="false"/>
          <w:smallCaps w:val="false"/>
          <w:color w:val="212529"/>
          <w:sz w:val="20"/>
        </w:rPr>
        <w:t> </w:t>
      </w:r>
    </w:p>
    <w:p>
      <w:pPr>
        <w:pStyle w:val="TextBody"/>
        <w:shd w:fill="FFFFFF" w:val="clear"/>
        <w:spacing w:before="0" w:after="0"/>
        <w:ind w:left="0" w:right="0" w:firstLine="720"/>
        <w:rPr>
          <w:caps w:val="false"/>
          <w:smallCaps w:val="false"/>
          <w:color w:val="212529"/>
        </w:rPr>
      </w:pPr>
      <w:r>
        <w:rPr>
          <w:caps w:val="false"/>
          <w:smallCaps w:val="false"/>
          <w:color w:val="212529"/>
        </w:rPr>
        <w:t> </w:t>
      </w:r>
    </w:p>
    <w:p>
      <w:pPr>
        <w:pStyle w:val="TextBody"/>
        <w:shd w:fill="FFFFFF" w:val="clear"/>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 Exhibits. </w:t>
      </w:r>
    </w:p>
    <w:p>
      <w:pPr>
        <w:pStyle w:val="TextBody"/>
        <w:shd w:fill="FFFFFF" w:val="clear"/>
        <w:spacing w:before="0" w:after="0"/>
        <w:ind w:left="0" w:right="0" w:hanging="0"/>
        <w:rPr>
          <w:caps w:val="false"/>
          <w:smallCaps w:val="false"/>
          <w:color w:val="212529"/>
        </w:rPr>
      </w:pPr>
      <w:r>
        <w:rPr>
          <w:caps w:val="false"/>
          <w:smallCaps w:val="false"/>
          <w:color w:val="212529"/>
        </w:rPr>
        <w:t> </w:t>
      </w:r>
    </w:p>
    <w:tbl>
      <w:tblPr>
        <w:tblW w:w="10539" w:type="dxa"/>
        <w:jc w:val="left"/>
        <w:tblInd w:w="0" w:type="dxa"/>
        <w:shd w:fill="FFFFFF" w:val="clear"/>
        <w:tblCellMar>
          <w:top w:w="0" w:type="dxa"/>
          <w:left w:w="0" w:type="dxa"/>
          <w:bottom w:w="28" w:type="dxa"/>
          <w:right w:w="0" w:type="dxa"/>
        </w:tblCellMar>
      </w:tblPr>
      <w:tblGrid>
        <w:gridCol w:w="875"/>
        <w:gridCol w:w="60"/>
        <w:gridCol w:w="9604"/>
      </w:tblGrid>
      <w:tr>
        <w:trPr/>
        <w:tc>
          <w:tcPr>
            <w:tcW w:w="875" w:type="dxa"/>
            <w:tcBorders>
              <w:bottom w:val="single" w:sz="8" w:space="0" w:color="000000"/>
            </w:tcBorders>
            <w:shd w:fill="FFFFFF" w:val="clear"/>
            <w:vAlign w:val="center"/>
          </w:tcPr>
          <w:p>
            <w:pPr>
              <w:pStyle w:val="TableContents"/>
              <w:spacing w:before="0" w:after="283"/>
              <w:rPr/>
            </w:pPr>
            <w:r>
              <w:rPr>
                <w:rFonts w:ascii="Times New Roman;Times;Serif" w:hAnsi="Times New Roman;Times;Serif"/>
                <w:b/>
                <w:sz w:val="20"/>
              </w:rPr>
              <w:t>Exhibit No.</w:t>
            </w:r>
            <w:r>
              <w:rPr/>
              <w:t> </w:t>
            </w:r>
          </w:p>
        </w:tc>
        <w:tc>
          <w:tcPr>
            <w:tcW w:w="60" w:type="dxa"/>
            <w:tcBorders/>
            <w:shd w:fill="FFFFFF" w:val="clear"/>
            <w:tcMar>
              <w:bottom w:w="0" w:type="dxa"/>
            </w:tcMar>
            <w:vAlign w:val="center"/>
          </w:tcPr>
          <w:p>
            <w:pPr>
              <w:pStyle w:val="TableContents"/>
              <w:spacing w:before="0" w:after="283"/>
              <w:rPr/>
            </w:pPr>
            <w:r>
              <w:rPr/>
              <w:t> </w:t>
            </w:r>
          </w:p>
        </w:tc>
        <w:tc>
          <w:tcPr>
            <w:tcW w:w="9604" w:type="dxa"/>
            <w:tcBorders>
              <w:bottom w:val="single" w:sz="8" w:space="0" w:color="000000"/>
            </w:tcBorders>
            <w:shd w:fill="FFFFFF" w:val="clear"/>
            <w:vAlign w:val="center"/>
          </w:tcPr>
          <w:p>
            <w:pPr>
              <w:pStyle w:val="TableContents"/>
              <w:spacing w:before="0" w:after="283"/>
              <w:rPr/>
            </w:pPr>
            <w:r>
              <w:rPr>
                <w:rFonts w:ascii="Times New Roman;Times;Serif" w:hAnsi="Times New Roman;Times;Serif"/>
                <w:b/>
                <w:sz w:val="20"/>
              </w:rPr>
              <w:t>Description</w:t>
            </w:r>
            <w:r>
              <w:rPr/>
              <w:t> </w:t>
            </w:r>
          </w:p>
        </w:tc>
      </w:tr>
      <w:tr>
        <w:trPr/>
        <w:tc>
          <w:tcPr>
            <w:tcW w:w="875" w:type="dxa"/>
            <w:tcBorders/>
            <w:shd w:fill="FFFFFF" w:val="clear"/>
            <w:tcMar>
              <w:bottom w:w="0" w:type="dxa"/>
            </w:tcMar>
            <w:vAlign w:val="center"/>
          </w:tcPr>
          <w:p>
            <w:pPr>
              <w:pStyle w:val="TableContents"/>
              <w:spacing w:before="0" w:after="283"/>
              <w:rPr/>
            </w:pPr>
            <w:hyperlink w:anchor="tm2316983d1_ex10-1.htm">
              <w:r>
                <w:rPr>
                  <w:rStyle w:val="InternetLink"/>
                  <w:rFonts w:ascii="Times New Roman;Times;Serif" w:hAnsi="Times New Roman;Times;Serif"/>
                  <w:sz w:val="20"/>
                </w:rPr>
                <w:t>10.1</w:t>
              </w:r>
            </w:hyperlink>
            <w:hyperlink w:anchor="tm2316983d1_ex10-1.htm">
              <w:r>
                <w:rPr>
                  <w:rStyle w:val="InternetLink"/>
                </w:rPr>
                <w:t>†</w:t>
              </w:r>
            </w:hyperlink>
          </w:p>
        </w:tc>
        <w:tc>
          <w:tcPr>
            <w:tcW w:w="60" w:type="dxa"/>
            <w:tcBorders/>
            <w:shd w:fill="FFFFFF" w:val="clear"/>
            <w:tcMar>
              <w:bottom w:w="0" w:type="dxa"/>
            </w:tcMar>
            <w:vAlign w:val="center"/>
          </w:tcPr>
          <w:p>
            <w:pPr>
              <w:pStyle w:val="TableContents"/>
              <w:spacing w:before="0" w:after="283"/>
              <w:rPr/>
            </w:pPr>
            <w:r>
              <w:rPr/>
              <w:t> </w:t>
            </w:r>
          </w:p>
        </w:tc>
        <w:tc>
          <w:tcPr>
            <w:tcW w:w="9604" w:type="dxa"/>
            <w:tcBorders/>
            <w:shd w:fill="FFFFFF" w:val="clear"/>
            <w:tcMar>
              <w:bottom w:w="0" w:type="dxa"/>
            </w:tcMar>
            <w:vAlign w:val="center"/>
          </w:tcPr>
          <w:p>
            <w:pPr>
              <w:pStyle w:val="TableContents"/>
              <w:spacing w:before="0" w:after="283"/>
              <w:rPr/>
            </w:pPr>
            <w:hyperlink w:anchor="tm2316983d1_ex10-1.htm">
              <w:r>
                <w:rPr>
                  <w:rStyle w:val="InternetLink"/>
                  <w:rFonts w:ascii="Times New Roman;Times;Serif" w:hAnsi="Times New Roman;Times;Serif"/>
                  <w:sz w:val="20"/>
                </w:rPr>
                <w:t>First Amendment to Financing Agreement dated as of May 22, 2023 by and among Blueprint Medicines Corporation, the lenders party thereto, and TAO Talents LLC, as Administrative Agent for the lenders</w:t>
              </w:r>
            </w:hyperlink>
          </w:p>
        </w:tc>
      </w:tr>
      <w:tr>
        <w:trPr/>
        <w:tc>
          <w:tcPr>
            <w:tcW w:w="87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104 </w:t>
            </w:r>
          </w:p>
        </w:tc>
        <w:tc>
          <w:tcPr>
            <w:tcW w:w="60" w:type="dxa"/>
            <w:tcBorders/>
            <w:shd w:fill="FFFFFF" w:val="clear"/>
            <w:tcMar>
              <w:bottom w:w="0" w:type="dxa"/>
            </w:tcMar>
            <w:vAlign w:val="center"/>
          </w:tcPr>
          <w:p>
            <w:pPr>
              <w:pStyle w:val="TableContents"/>
              <w:spacing w:before="0" w:after="283"/>
              <w:rPr/>
            </w:pPr>
            <w:r>
              <w:rPr/>
              <w:t> </w:t>
            </w:r>
          </w:p>
        </w:tc>
        <w:tc>
          <w:tcPr>
            <w:tcW w:w="9604"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Cover Page Interactive Data File (embedded within the Inline XBRL document and incorporated as Exhibit 101) </w:t>
            </w:r>
          </w:p>
        </w:tc>
      </w:tr>
    </w:tbl>
    <w:p>
      <w:pPr>
        <w:pStyle w:val="TextBody"/>
        <w:shd w:fill="FFFFFF" w:val="clear"/>
        <w:spacing w:before="0" w:after="0"/>
        <w:ind w:left="0" w:right="0" w:firstLine="720"/>
        <w:rPr>
          <w:caps w:val="false"/>
          <w:smallCaps w:val="false"/>
          <w:color w:val="212529"/>
        </w:rPr>
      </w:pPr>
      <w:r>
        <w:rPr>
          <w:caps w:val="false"/>
          <w:smallCaps w:val="false"/>
          <w:color w:val="212529"/>
        </w:rPr>
        <w:t> </w:t>
      </w:r>
    </w:p>
    <w:p>
      <w:pPr>
        <w:pStyle w:val="TextBody"/>
        <w:shd w:fill="FFFFFF" w:val="clear"/>
        <w:spacing w:before="0" w:after="0"/>
        <w:ind w:left="720" w:right="0" w:hanging="0"/>
        <w:rPr>
          <w:caps w:val="false"/>
          <w:smallCaps w:val="false"/>
          <w:color w:val="212529"/>
        </w:rPr>
      </w:pPr>
      <w:r>
        <w:rPr>
          <w:caps w:val="false"/>
          <w:smallCaps w:val="false"/>
          <w:color w:val="212529"/>
        </w:rPr>
        <w:t xml:space="preserve">† </w:t>
      </w:r>
      <w:r>
        <w:rPr>
          <w:rFonts w:ascii="Times New Roman;Times;Serif" w:hAnsi="Times New Roman;Times;Serif"/>
          <w:b w:val="false"/>
          <w:i w:val="false"/>
          <w:caps w:val="false"/>
          <w:smallCaps w:val="false"/>
          <w:color w:val="212529"/>
          <w:sz w:val="20"/>
        </w:rPr>
        <w:t>Certain portions of the exhibit have been omitted pursuant to Regulation S-K Item 601(b) because it is both (i) not material to investors and (ii) likely to cause competitive harm to the Company if publicly disclosed. </w:t>
      </w:r>
    </w:p>
    <w:p>
      <w:pPr>
        <w:pStyle w:val="TextBody"/>
        <w:shd w:fill="FFFFFF" w:val="clear"/>
        <w:spacing w:before="0" w:after="0"/>
        <w:ind w:left="0" w:right="0" w:firstLine="720"/>
        <w:rPr>
          <w:caps w:val="false"/>
          <w:smallCaps w:val="false"/>
          <w:color w:val="212529"/>
        </w:rPr>
      </w:pPr>
      <w:r>
        <w:rPr>
          <w:caps w:val="false"/>
          <w:smallCaps w:val="false"/>
          <w:color w:val="212529"/>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5484" w:type="dxa"/>
        <w:jc w:val="left"/>
        <w:tblInd w:w="0" w:type="dxa"/>
        <w:tblCellMar>
          <w:top w:w="0" w:type="dxa"/>
          <w:left w:w="0" w:type="dxa"/>
          <w:bottom w:w="0" w:type="dxa"/>
          <w:right w:w="0" w:type="dxa"/>
        </w:tblCellMar>
      </w:tblPr>
      <w:tblGrid>
        <w:gridCol w:w="1655"/>
        <w:gridCol w:w="538"/>
        <w:gridCol w:w="3291"/>
      </w:tblGrid>
      <w:tr>
        <w:trPr/>
        <w:tc>
          <w:tcPr>
            <w:tcW w:w="165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b/>
                <w:sz w:val="20"/>
              </w:rPr>
            </w:pPr>
            <w:r>
              <w:rPr>
                <w:b/>
                <w:sz w:val="20"/>
              </w:rPr>
              <w:t>BLUEPRINT MEDICINES CORPORATION</w:t>
            </w:r>
          </w:p>
        </w:tc>
      </w:tr>
      <w:tr>
        <w:trPr/>
        <w:tc>
          <w:tcPr>
            <w:tcW w:w="165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20"/>
              </w:rPr>
            </w:pPr>
            <w:r>
              <w:rPr>
                <w:sz w:val="20"/>
              </w:rPr>
              <w:t>Date: May 25, 2023</w:t>
            </w:r>
          </w:p>
        </w:tc>
        <w:tc>
          <w:tcPr>
            <w:tcW w:w="538" w:type="dxa"/>
            <w:tcBorders/>
            <w:shd w:fill="auto" w:val="clear"/>
            <w:vAlign w:val="center"/>
          </w:tcPr>
          <w:p>
            <w:pPr>
              <w:pStyle w:val="TableContents"/>
              <w:spacing w:before="0" w:after="283"/>
              <w:rPr>
                <w:sz w:val="20"/>
              </w:rPr>
            </w:pPr>
            <w:r>
              <w:rPr>
                <w:sz w:val="20"/>
              </w:rPr>
              <w:t>By:</w:t>
            </w:r>
          </w:p>
        </w:tc>
        <w:tc>
          <w:tcPr>
            <w:tcW w:w="329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Kathryn Haviland</w:t>
            </w:r>
          </w:p>
        </w:tc>
      </w:tr>
      <w:tr>
        <w:trPr/>
        <w:tc>
          <w:tcPr>
            <w:tcW w:w="1655"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pPr>
            <w:r>
              <w:rPr/>
              <w:t> </w:t>
            </w:r>
          </w:p>
        </w:tc>
        <w:tc>
          <w:tcPr>
            <w:tcW w:w="3291" w:type="dxa"/>
            <w:tcBorders/>
            <w:shd w:fill="auto" w:val="clear"/>
            <w:vAlign w:val="center"/>
          </w:tcPr>
          <w:p>
            <w:pPr>
              <w:pStyle w:val="TableContents"/>
              <w:spacing w:before="0" w:after="283"/>
              <w:rPr>
                <w:sz w:val="20"/>
              </w:rPr>
            </w:pPr>
            <w:r>
              <w:rPr>
                <w:sz w:val="20"/>
              </w:rPr>
              <w:t>Kathryn Haviland</w:t>
            </w:r>
          </w:p>
        </w:tc>
      </w:tr>
      <w:tr>
        <w:trPr/>
        <w:tc>
          <w:tcPr>
            <w:tcW w:w="1655"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pPr>
            <w:r>
              <w:rPr/>
              <w:t> </w:t>
            </w:r>
          </w:p>
        </w:tc>
        <w:tc>
          <w:tcPr>
            <w:tcW w:w="3291" w:type="dxa"/>
            <w:tcBorders/>
            <w:shd w:fill="auto" w:val="clear"/>
            <w:vAlign w:val="center"/>
          </w:tcPr>
          <w:p>
            <w:pPr>
              <w:pStyle w:val="TableContents"/>
              <w:spacing w:before="0" w:after="283"/>
              <w:rPr>
                <w:sz w:val="20"/>
              </w:rPr>
            </w:pPr>
            <w:r>
              <w:rPr>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22" w:name="tm2316983d1_ex10-1.htm"/>
      <w:bookmarkStart w:id="23" w:name="kstm2316983d1_ex101"/>
      <w:bookmarkEnd w:id="22"/>
      <w:bookmarkEnd w:id="23"/>
      <w:r>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information in this document has been omitted from this exhibit because it is both (i)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FIRST AMENDMENT TO FINANCING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FINANCING AGREEMENT (“</w:t>
      </w:r>
      <w:r>
        <w:rPr>
          <w:rFonts w:ascii="Times New Roman;Times;Serif" w:hAnsi="Times New Roman;Times;Serif"/>
          <w:b w:val="false"/>
          <w:i w:val="false"/>
          <w:caps w:val="false"/>
          <w:smallCaps w:val="false"/>
          <w:sz w:val="20"/>
          <w:u w:val="single"/>
        </w:rPr>
        <w:t>First Amendment</w:t>
      </w:r>
      <w:r>
        <w:rPr>
          <w:rFonts w:ascii="Times New Roman;Times;Serif" w:hAnsi="Times New Roman;Times;Serif"/>
          <w:b w:val="false"/>
          <w:i w:val="false"/>
          <w:caps w:val="false"/>
          <w:smallCaps w:val="false"/>
          <w:sz w:val="20"/>
        </w:rPr>
        <w:t xml:space="preserve">”), dated as of May 22, 2023, is entered into by and among </w:t>
      </w:r>
      <w:r>
        <w:rPr>
          <w:rFonts w:ascii="Times New Roman;Times;Serif" w:hAnsi="Times New Roman;Times;Serif"/>
          <w:b w:val="false"/>
          <w:i w:val="false"/>
          <w:caps/>
          <w:sz w:val="20"/>
        </w:rPr>
        <w:t>BLUEPRINT MEDICINES CORPORATION</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hereto, and TAO TALENTS, LLC (“</w:t>
      </w:r>
      <w:r>
        <w:rPr>
          <w:rFonts w:ascii="Times New Roman;Times;Serif" w:hAnsi="Times New Roman;Times;Serif"/>
          <w:b w:val="false"/>
          <w:i w:val="false"/>
          <w:caps w:val="false"/>
          <w:smallCaps w:val="false"/>
          <w:sz w:val="20"/>
          <w:u w:val="single"/>
        </w:rPr>
        <w:t>TAO Talents</w:t>
      </w:r>
      <w:r>
        <w:rPr>
          <w:rFonts w:ascii="Times New Roman;Times;Serif" w:hAnsi="Times New Roman;Times;Serif"/>
          <w:b w:val="false"/>
          <w:i w:val="false"/>
          <w:caps w:val="false"/>
          <w:smallCaps w:val="false"/>
          <w:sz w:val="20"/>
        </w:rPr>
        <w:t>”), as administrative agent for the Lenders (in such capacity,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Capitalized terms used and not defined in this First Amendment shall have the respective meanings set forth in the Agreement (as defined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have entered into that certain Financing Agreement, dated as of June 30, 2022, with certain Subsidiaries of Borrower from time to time party thereto, the lenders from time to time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the Administrative Agent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pursuant to which Lenders have agreed to extend certain senior secured credit facilities to Company, in an aggregate principal amount not to exceed $660,000,000, consisting of (a) an initial term loan in an aggregate principal amount not exceeding $150,000,000, (b) delayed draw term loans in an aggregate principal amount not exceeding $250,000,000 and (c) an uncommitted incremental facility in an aggregate principal amount not to exceed $260,000,000, in each case on the terms and conditions set forth therein;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amend certain terms under the Agreement as set forth below;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agreements contained herein and other good and valuable consideration, the sufficiency and receipt of which are hereby acknowledged, the parties hereto hereby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Amendments to Agreement</w:t>
      </w:r>
      <w:r>
        <w:rPr>
          <w:rFonts w:ascii="Times New Roman;Times;Serif" w:hAnsi="Times New Roman;Times;Serif"/>
          <w:b w:val="false"/>
          <w:i w:val="false"/>
          <w:caps w:val="false"/>
          <w:smallCaps w:val="false"/>
          <w:sz w:val="20"/>
        </w:rPr>
        <w:t>. Subject to the satisfaction (or waiver by the Lenders) of the conditions set forth in Section 2 hereof, the Agreement is hereby amended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 of “Delayed Draw A Commitment Termination Date” under Section 1 of the Agreement is hereby deleted in its entirety and replaced with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Delayed Draw A Commitment Termination Date</w:t>
      </w:r>
      <w:r>
        <w:rPr>
          <w:rFonts w:ascii="Times New Roman;Times;Serif" w:hAnsi="Times New Roman;Times;Serif"/>
          <w:b w:val="false"/>
          <w:i w:val="false"/>
          <w:caps w:val="false"/>
          <w:smallCaps w:val="false"/>
          <w:sz w:val="20"/>
        </w:rPr>
        <w:t xml:space="preserve">” means the earliest to occur of (a) the date the Term Loan Commitments are permanently reduced to zero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2.9(b)</w:t>
      </w:r>
      <w:r>
        <w:rPr>
          <w:rFonts w:ascii="Times New Roman;Times;Serif" w:hAnsi="Times New Roman;Times;Serif"/>
          <w:b w:val="false"/>
          <w:i w:val="false"/>
          <w:caps w:val="false"/>
          <w:smallCaps w:val="false"/>
          <w:sz w:val="20"/>
        </w:rPr>
        <w:t xml:space="preserve">, (b) the date of the termination of the Delayed Draw Term Loan Commitments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and (c)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definition of “Delayed Draw A Funding Milestone” under Section 1 of the Agreement is hereby deleted in its entirety and replaced with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Delayed Draw A Funding Milestone</w:t>
      </w:r>
      <w:r>
        <w:rPr>
          <w:rFonts w:ascii="Times New Roman;Times;Serif" w:hAnsi="Times New Roman;Times;Serif"/>
          <w:b w:val="false"/>
          <w:i w:val="false"/>
          <w:caps w:val="false"/>
          <w:smallCaps w:val="false"/>
          <w:sz w:val="20"/>
        </w:rPr>
        <w:t>” means the Loan Parties achieve, for any trailing four fiscal quarter period ending on or before [***], Product Revenue from sales of AYVAKIT and/or BLU-263 outside of the CStone Territories of at least [***], measured as of the last day of the four fiscal quarter period ending immediately prior to any proposed Delayed Draw A Term Loan Credit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The effectiveness of this First Amendment is subject to the satisfaction (or waiver by the Lenders) of the following conditions precedent (the date on which such conditions have been satisfied (or waived by the Lenders), the “</w:t>
      </w:r>
      <w:r>
        <w:rPr>
          <w:rFonts w:ascii="Times New Roman;Times;Serif" w:hAnsi="Times New Roman;Times;Serif"/>
          <w:b w:val="false"/>
          <w:i w:val="false"/>
          <w:caps w:val="false"/>
          <w:smallCaps w:val="false"/>
          <w:sz w:val="20"/>
          <w:u w:val="single"/>
        </w:rPr>
        <w:t>First Amendment Effective Date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executed counterparts of (1) this First Amendment from the Borrower and the Lenders constituting the Required Lenders and (2) the Amended and Restated Fee Letter from the Borrower and TAO Talents,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have paid to the Administrative Agent all fees, costs and expenses then payable by the Borrower pursuant to the Loan Documents for which invoices have been presented prior to the First Amendment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set forth in Section 3 hereof shall be true and accurate.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Loan Party represents and warrants as follows: (i) the representations and warranties contained in Article IV of the Agreement and in each other Loan Document, certificate or other writing delivered to the Administrative Agent or any Lender pursuant hereto or thereto on or prior to the First Amendment Effective Date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the First Amendment Effective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 (ii) no Default or Event of Default (x) shall have occurred and be continuing on the First Amendment Effective Date or (y) would result from this First Amendment becoming effective in accordance with its terms or from the consummation of the transactions contemplated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Reaffirmation and Confirmation</w:t>
      </w:r>
      <w:r>
        <w:rPr>
          <w:rFonts w:ascii="Times New Roman;Times;Serif" w:hAnsi="Times New Roman;Times;Serif"/>
          <w:b w:val="false"/>
          <w:i w:val="false"/>
          <w:caps w:val="false"/>
          <w:smallCaps w:val="false"/>
          <w:sz w:val="20"/>
        </w:rPr>
        <w:t>. Each Loan Party hereby (a) acknowledges and reaffirms its obligations as set forth in each Loan Document, as modified hereby, (b) agrees to continue to comply with, and be subject to, all of the terms, provisions, conditions, covenants, agreements and obligations applicable to it (including each guarantee and indemnity) set forth in each Loan Document, as modified hereby, which remain in full force and effect, and (c) confirms, ratifies and reaffirms that the security interest granted to the Administrative Agent, for the benefit of the Secured Parties, pursuant to the Loan Documents, as modified hereby, in all of its right, title, and interest in all then existing and thereafter acquired or arising Collateral in order to secure prompt payment and performance of the Obligations, is continuing and the Lien created under such Loan Documents is and shall remain unimpaired and continue to constitute a First Priority Lien on, and security interest in, all such right, title and interests (subject to Permitted Liens) in favor of the Administrative Agent, for the benefit of the Secured Parties, with the same force, effect and priority in effect both immediately prior to and after entering into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Effect of Amendment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First Amendment shall be effective as of the First Amendment Effective Date. On and after the First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First Amendment. Except as specifically amended above, the Agreement shall remain in full force and effect in accordance with its terms and is hereby ratified and confirmed. This First Amendment is a Loan Document.</w:t>
      </w:r>
    </w:p>
    <w:p>
      <w:pPr>
        <w:pStyle w:val="TextBody"/>
        <w:spacing w:before="0" w:after="0"/>
        <w:ind w:left="0" w:right="0" w:hanging="0"/>
        <w:rPr>
          <w:caps w:val="false"/>
          <w:smallCaps w:val="false"/>
        </w:rPr>
      </w:pPr>
      <w:r>
        <w:rPr>
          <w:caps w:val="false"/>
          <w:smallCaps w:val="false"/>
        </w:rPr>
        <w:t> </w:t>
      </w:r>
    </w:p>
    <w:tbl>
      <w:tblPr>
        <w:tblW w:w="560" w:type="dxa"/>
        <w:jc w:val="left"/>
        <w:tblInd w:w="0" w:type="dxa"/>
        <w:tblCellMar>
          <w:top w:w="0" w:type="dxa"/>
          <w:left w:w="0" w:type="dxa"/>
          <w:bottom w:w="0" w:type="dxa"/>
          <w:right w:w="0" w:type="dxa"/>
        </w:tblCellMar>
      </w:tblPr>
      <w:tblGrid>
        <w:gridCol w:w="75"/>
        <w:gridCol w:w="410"/>
        <w:gridCol w:w="75"/>
      </w:tblGrid>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center"/>
              <w:rPr/>
            </w:pPr>
            <w:r>
              <w:rPr/>
              <w:t>- 2 -</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expressly amended hereby, all of the terms and provisions of the Agreement and all other Loan Documents are and shall remain in full force and effect and are hereby ratified and confirmed. In furtherance of the foregoing, the Borrower hereby irrevocably and unconditionally ratifies its grant of security interest and pledge under the Security Agreement and each Loan Document and confirms that the liens, security interests and pledges granted thereunder continue to secure the Obligations, including, without limitation, any additional Obligations resulting from or incurred pursuant to this First Amendment.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performance of this First Amendment shall not constitute a waiver of any provision of, or operate as a waiver of any right, power or remedy of the Administrative Agent or any Lender under, the Agreement or any of the other Loan Documents. This First Amendment shall be deemed to be a Loan Document (as defined in the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Governing Law, Jurisdiction and Waiver of Right to Trial by Jury</w:t>
      </w:r>
      <w:r>
        <w:rPr>
          <w:rFonts w:ascii="Times New Roman;Times;Serif" w:hAnsi="Times New Roman;Times;Serif"/>
          <w:b w:val="false"/>
          <w:i w:val="false"/>
          <w:caps w:val="false"/>
          <w:smallCaps w:val="false"/>
          <w:sz w:val="20"/>
        </w:rPr>
        <w:t xml:space="preserve">. THIS FIRST AMENDMENT AND THE RIGHTS AND OBLIGATIONS OF THE PARTIES HEREUNDER SHALL BE GOVERNED BY, AND SHALL BE CONSTRUED AND ENFORCED IN ACCORDANCE WITH, THE LAWS OF THE STATE OF NEW YORK APPLICABLE TO CONTRACTS MADE AND TO BE PERFORMED IN THE STATE OF NEW YORK. The consent to jurisdiction and waiver of jury trial provisions in Sections 10.17 and 10.18 of the Agreement are incorporated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Amendments; Counterparts</w:t>
      </w:r>
      <w:r>
        <w:rPr>
          <w:rFonts w:ascii="Times New Roman;Times;Serif" w:hAnsi="Times New Roman;Times;Serif"/>
          <w:b w:val="false"/>
          <w:i w:val="false"/>
          <w:caps w:val="false"/>
          <w:smallCaps w:val="false"/>
          <w:sz w:val="20"/>
        </w:rPr>
        <w:t>. This First Amendment may be executed in any number of counterparts, each of which when so executed and delivered shall be deemed an original, but all such counterparts together shall constitute but one and the same instrument. This First Amendment shall become effective upon the execution of a counterpart hereof by each of the parties hereto. Delivery of an executed counterpart of a signature page of this First Amendment by facsimile or other electronic imaging means shall be effective as delivery of a manually executed counterpart of this First Amendment. The words “execution,” “execute”, “signed,” “signature,” and words of like import in or related to any document to be signed in connection with this First Amendment and the transactions contemplated hereby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This First Amendment shall become effective upon the execution of a counterpart hereof by each of the parties hereto and receipt by Company and Administrative Agent of written notification of such execution and authorization of delivery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First Amendment are for purposes of reference only and shall not limit or otherwise affect the meaning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in or obligation of this First Amendment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spacing w:before="0" w:after="0"/>
        <w:ind w:left="0" w:right="0" w:hanging="0"/>
        <w:rPr>
          <w:caps w:val="false"/>
          <w:smallCaps w:val="false"/>
        </w:rPr>
      </w:pPr>
      <w:r>
        <w:rPr>
          <w:caps w:val="false"/>
          <w:smallCaps w:val="false"/>
        </w:rPr>
        <w:t> </w:t>
      </w:r>
    </w:p>
    <w:tbl>
      <w:tblPr>
        <w:tblW w:w="560" w:type="dxa"/>
        <w:jc w:val="left"/>
        <w:tblInd w:w="0" w:type="dxa"/>
        <w:tblCellMar>
          <w:top w:w="0" w:type="dxa"/>
          <w:left w:w="0" w:type="dxa"/>
          <w:bottom w:w="0" w:type="dxa"/>
          <w:right w:w="0" w:type="dxa"/>
        </w:tblCellMar>
      </w:tblPr>
      <w:tblGrid>
        <w:gridCol w:w="75"/>
        <w:gridCol w:w="410"/>
        <w:gridCol w:w="75"/>
      </w:tblGrid>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center"/>
              <w:rPr/>
            </w:pPr>
            <w:r>
              <w:rPr/>
              <w:t>- 3 -</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First Amendment to be duly executed and delivered by their respective officers thereunto duly authorized as of the date first written above.</w:t>
      </w:r>
    </w:p>
    <w:p>
      <w:pPr>
        <w:pStyle w:val="TextBody"/>
        <w:spacing w:before="0" w:after="0"/>
        <w:ind w:left="0" w:right="0" w:hanging="0"/>
        <w:rPr>
          <w:caps w:val="false"/>
          <w:smallCaps w:val="false"/>
        </w:rPr>
      </w:pPr>
      <w:r>
        <w:rPr>
          <w:caps w:val="false"/>
          <w:smallCaps w:val="false"/>
        </w:rPr>
        <w:t> </w:t>
      </w:r>
    </w:p>
    <w:tbl>
      <w:tblPr>
        <w:tblW w:w="4924" w:type="dxa"/>
        <w:jc w:val="left"/>
        <w:tblInd w:w="0" w:type="dxa"/>
        <w:tblCellMar>
          <w:top w:w="0" w:type="dxa"/>
          <w:left w:w="0" w:type="dxa"/>
          <w:bottom w:w="0" w:type="dxa"/>
          <w:right w:w="0" w:type="dxa"/>
        </w:tblCellMar>
      </w:tblPr>
      <w:tblGrid>
        <w:gridCol w:w="75"/>
        <w:gridCol w:w="863"/>
        <w:gridCol w:w="3986"/>
      </w:tblGrid>
      <w:tr>
        <w:trPr/>
        <w:tc>
          <w:tcPr>
            <w:tcW w:w="75" w:type="dxa"/>
            <w:tcBorders/>
            <w:shd w:fill="auto" w:val="clear"/>
            <w:vAlign w:val="center"/>
          </w:tcPr>
          <w:p>
            <w:pPr>
              <w:pStyle w:val="TableContents"/>
              <w:spacing w:before="0" w:after="283"/>
              <w:jc w:val="both"/>
              <w:rPr/>
            </w:pPr>
            <w:r>
              <w:rPr/>
              <w:t> </w:t>
            </w:r>
          </w:p>
        </w:tc>
        <w:tc>
          <w:tcPr>
            <w:tcW w:w="4849" w:type="dxa"/>
            <w:gridSpan w:val="2"/>
            <w:tcBorders/>
            <w:shd w:fill="auto" w:val="clear"/>
            <w:vAlign w:val="center"/>
          </w:tcPr>
          <w:p>
            <w:pPr>
              <w:pStyle w:val="TableContents"/>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w:t>
            </w:r>
          </w:p>
        </w:tc>
      </w:tr>
      <w:tr>
        <w:trPr/>
        <w:tc>
          <w:tcPr>
            <w:tcW w:w="75" w:type="dxa"/>
            <w:tcBorders/>
            <w:shd w:fill="auto" w:val="clear"/>
            <w:vAlign w:val="center"/>
          </w:tcPr>
          <w:p>
            <w:pPr>
              <w:pStyle w:val="TableContents"/>
              <w:spacing w:before="0" w:after="283"/>
              <w:jc w:val="both"/>
              <w:rPr/>
            </w:pPr>
            <w:r>
              <w:rPr/>
              <w:t> </w:t>
            </w:r>
          </w:p>
        </w:tc>
        <w:tc>
          <w:tcPr>
            <w:tcW w:w="48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jc w:val="both"/>
              <w:rPr/>
            </w:pPr>
            <w:r>
              <w:rPr/>
              <w:t> </w:t>
            </w:r>
          </w:p>
        </w:tc>
        <w:tc>
          <w:tcPr>
            <w:tcW w:w="4849" w:type="dxa"/>
            <w:gridSpan w:val="2"/>
            <w:tcBorders/>
            <w:shd w:fill="auto" w:val="clear"/>
            <w:vAlign w:val="center"/>
          </w:tcPr>
          <w:p>
            <w:pPr>
              <w:pStyle w:val="TableContents"/>
              <w:spacing w:before="0" w:after="283"/>
              <w:jc w:val="both"/>
              <w:rPr>
                <w:b/>
              </w:rPr>
            </w:pPr>
            <w:r>
              <w:rPr>
                <w:b/>
              </w:rPr>
              <w:t>BLUEPRINT MEDICINES CORPORATION</w:t>
            </w:r>
          </w:p>
        </w:tc>
      </w:tr>
      <w:tr>
        <w:trPr/>
        <w:tc>
          <w:tcPr>
            <w:tcW w:w="75" w:type="dxa"/>
            <w:tcBorders/>
            <w:shd w:fill="auto" w:val="clear"/>
            <w:vAlign w:val="center"/>
          </w:tcPr>
          <w:p>
            <w:pPr>
              <w:pStyle w:val="TableContents"/>
              <w:spacing w:before="0" w:after="283"/>
              <w:jc w:val="both"/>
              <w:rPr/>
            </w:pPr>
            <w:r>
              <w:rPr/>
              <w:t> </w:t>
            </w:r>
          </w:p>
        </w:tc>
        <w:tc>
          <w:tcPr>
            <w:tcW w:w="484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863" w:type="dxa"/>
            <w:tcBorders/>
            <w:shd w:fill="auto" w:val="clear"/>
            <w:vAlign w:val="center"/>
          </w:tcPr>
          <w:p>
            <w:pPr>
              <w:pStyle w:val="TableContents"/>
              <w:spacing w:before="0" w:after="283"/>
              <w:jc w:val="both"/>
              <w:rPr/>
            </w:pPr>
            <w:r>
              <w:rPr/>
              <w:t>By:</w:t>
            </w:r>
          </w:p>
        </w:tc>
        <w:tc>
          <w:tcPr>
            <w:tcW w:w="3986" w:type="dxa"/>
            <w:tcBorders>
              <w:bottom w:val="single" w:sz="8" w:space="0" w:color="000000"/>
            </w:tcBorders>
            <w:shd w:fill="auto" w:val="clear"/>
            <w:tcMar>
              <w:bottom w:w="28" w:type="dxa"/>
            </w:tcMar>
            <w:vAlign w:val="center"/>
          </w:tcPr>
          <w:p>
            <w:pPr>
              <w:pStyle w:val="TableContents"/>
              <w:spacing w:before="0" w:after="283"/>
              <w:jc w:val="both"/>
              <w:rPr/>
            </w:pPr>
            <w:r>
              <w:rPr/>
              <w:t>/s/ Kate Haviland</w:t>
            </w:r>
          </w:p>
        </w:tc>
      </w:tr>
      <w:tr>
        <w:trPr/>
        <w:tc>
          <w:tcPr>
            <w:tcW w:w="75" w:type="dxa"/>
            <w:tcBorders/>
            <w:shd w:fill="auto" w:val="clear"/>
            <w:vAlign w:val="center"/>
          </w:tcPr>
          <w:p>
            <w:pPr>
              <w:pStyle w:val="TableContents"/>
              <w:spacing w:before="0" w:after="283"/>
              <w:jc w:val="both"/>
              <w:rPr/>
            </w:pPr>
            <w:r>
              <w:rPr/>
              <w:t> </w:t>
            </w:r>
          </w:p>
        </w:tc>
        <w:tc>
          <w:tcPr>
            <w:tcW w:w="4849" w:type="dxa"/>
            <w:gridSpan w:val="2"/>
            <w:tcBorders/>
            <w:shd w:fill="auto" w:val="clear"/>
            <w:vAlign w:val="center"/>
          </w:tcPr>
          <w:p>
            <w:pPr>
              <w:pStyle w:val="TableContents"/>
              <w:spacing w:before="0" w:after="283"/>
              <w:jc w:val="both"/>
              <w:rPr/>
            </w:pPr>
            <w:r>
              <w:rPr/>
              <w:t>Name:  Kate Haviland</w:t>
            </w:r>
          </w:p>
        </w:tc>
      </w:tr>
      <w:tr>
        <w:trPr/>
        <w:tc>
          <w:tcPr>
            <w:tcW w:w="75" w:type="dxa"/>
            <w:tcBorders/>
            <w:shd w:fill="auto" w:val="clear"/>
            <w:vAlign w:val="center"/>
          </w:tcPr>
          <w:p>
            <w:pPr>
              <w:pStyle w:val="TableContents"/>
              <w:spacing w:before="0" w:after="283"/>
              <w:jc w:val="both"/>
              <w:rPr/>
            </w:pPr>
            <w:r>
              <w:rPr/>
              <w:t> </w:t>
            </w:r>
          </w:p>
        </w:tc>
        <w:tc>
          <w:tcPr>
            <w:tcW w:w="4849" w:type="dxa"/>
            <w:gridSpan w:val="2"/>
            <w:tcBorders/>
            <w:shd w:fill="auto" w:val="clear"/>
            <w:vAlign w:val="center"/>
          </w:tcPr>
          <w:p>
            <w:pPr>
              <w:pStyle w:val="TableContents"/>
              <w:spacing w:before="0" w:after="283"/>
              <w:jc w:val="both"/>
              <w:rPr/>
            </w:pPr>
            <w:r>
              <w:rPr/>
              <w:t>Title:    President &amp; Chief Executive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tbl>
      <w:tblPr>
        <w:tblW w:w="2440" w:type="dxa"/>
        <w:jc w:val="left"/>
        <w:tblInd w:w="0" w:type="dxa"/>
        <w:tblCellMar>
          <w:top w:w="0" w:type="dxa"/>
          <w:left w:w="0" w:type="dxa"/>
          <w:bottom w:w="0" w:type="dxa"/>
          <w:right w:w="0" w:type="dxa"/>
        </w:tblCellMar>
      </w:tblPr>
      <w:tblGrid>
        <w:gridCol w:w="75"/>
        <w:gridCol w:w="365"/>
        <w:gridCol w:w="2000"/>
      </w:tblGrid>
      <w:tr>
        <w:trPr/>
        <w:tc>
          <w:tcPr>
            <w:tcW w:w="75" w:type="dxa"/>
            <w:tcBorders/>
            <w:shd w:fill="auto" w:val="clear"/>
            <w:vAlign w:val="center"/>
          </w:tcPr>
          <w:p>
            <w:pPr>
              <w:pStyle w:val="TableContents"/>
              <w:spacing w:before="0" w:after="283"/>
              <w:jc w:val="both"/>
              <w:rPr/>
            </w:pPr>
            <w:r>
              <w:rPr/>
              <w:t> </w:t>
            </w:r>
          </w:p>
        </w:tc>
        <w:tc>
          <w:tcPr>
            <w:tcW w:w="2365" w:type="dxa"/>
            <w:gridSpan w:val="2"/>
            <w:tcBorders/>
            <w:shd w:fill="auto" w:val="clear"/>
            <w:vAlign w:val="center"/>
          </w:tcPr>
          <w:p>
            <w:pPr>
              <w:pStyle w:val="TableContents"/>
              <w:spacing w:before="0" w:after="283"/>
              <w:jc w:val="both"/>
              <w:rPr/>
            </w:pPr>
            <w:r>
              <w:rPr>
                <w:b/>
              </w:rPr>
              <w:t>TAO Talents, LLC</w:t>
            </w:r>
            <w:r>
              <w:rPr/>
              <w:t>,</w:t>
            </w:r>
          </w:p>
        </w:tc>
      </w:tr>
      <w:tr>
        <w:trPr/>
        <w:tc>
          <w:tcPr>
            <w:tcW w:w="75" w:type="dxa"/>
            <w:tcBorders/>
            <w:shd w:fill="auto" w:val="clear"/>
            <w:vAlign w:val="center"/>
          </w:tcPr>
          <w:p>
            <w:pPr>
              <w:pStyle w:val="TableContents"/>
              <w:spacing w:before="0" w:after="283"/>
              <w:jc w:val="both"/>
              <w:rPr/>
            </w:pPr>
            <w:r>
              <w:rPr/>
              <w:t> </w:t>
            </w:r>
          </w:p>
        </w:tc>
        <w:tc>
          <w:tcPr>
            <w:tcW w:w="2365" w:type="dxa"/>
            <w:gridSpan w:val="2"/>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tc>
      </w:tr>
      <w:tr>
        <w:trPr/>
        <w:tc>
          <w:tcPr>
            <w:tcW w:w="75" w:type="dxa"/>
            <w:tcBorders/>
            <w:shd w:fill="auto" w:val="clear"/>
            <w:vAlign w:val="center"/>
          </w:tcPr>
          <w:p>
            <w:pPr>
              <w:pStyle w:val="TableContents"/>
              <w:spacing w:before="0" w:after="283"/>
              <w:jc w:val="both"/>
              <w:rPr/>
            </w:pPr>
            <w:r>
              <w:rPr/>
              <w:t> </w:t>
            </w:r>
          </w:p>
        </w:tc>
        <w:tc>
          <w:tcPr>
            <w:tcW w:w="2365"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jc w:val="both"/>
              <w:rPr/>
            </w:pPr>
            <w:r>
              <w:rPr/>
              <w:t>By:</w:t>
            </w:r>
          </w:p>
        </w:tc>
        <w:tc>
          <w:tcPr>
            <w:tcW w:w="2000" w:type="dxa"/>
            <w:tcBorders>
              <w:bottom w:val="single" w:sz="8" w:space="0" w:color="000000"/>
            </w:tcBorders>
            <w:shd w:fill="auto" w:val="clear"/>
            <w:tcMar>
              <w:bottom w:w="28" w:type="dxa"/>
            </w:tcMar>
            <w:vAlign w:val="center"/>
          </w:tcPr>
          <w:p>
            <w:pPr>
              <w:pStyle w:val="TableContents"/>
              <w:spacing w:before="0" w:after="283"/>
              <w:jc w:val="both"/>
              <w:rPr/>
            </w:pPr>
            <w:r>
              <w:rPr/>
              <w:t>/s/ Joshua Peck</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000" w:type="dxa"/>
            <w:tcBorders/>
            <w:shd w:fill="auto" w:val="clear"/>
            <w:vAlign w:val="center"/>
          </w:tcPr>
          <w:p>
            <w:pPr>
              <w:pStyle w:val="TableContents"/>
              <w:spacing w:before="0" w:after="283"/>
              <w:jc w:val="both"/>
              <w:rPr/>
            </w:pPr>
            <w:r>
              <w:rPr/>
              <w:t>Name: Joshua Peck</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000" w:type="dxa"/>
            <w:tcBorders/>
            <w:shd w:fill="auto" w:val="clear"/>
            <w:vAlign w:val="center"/>
          </w:tcPr>
          <w:p>
            <w:pPr>
              <w:pStyle w:val="TableContents"/>
              <w:spacing w:before="0" w:after="283"/>
              <w:jc w:val="both"/>
              <w:rPr/>
            </w:pPr>
            <w:r>
              <w:rPr/>
              <w:t>Title:  Vice President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410" w:type="dxa"/>
        <w:jc w:val="left"/>
        <w:tblInd w:w="0" w:type="dxa"/>
        <w:tblCellMar>
          <w:top w:w="0" w:type="dxa"/>
          <w:left w:w="0" w:type="dxa"/>
          <w:bottom w:w="0" w:type="dxa"/>
          <w:right w:w="0" w:type="dxa"/>
        </w:tblCellMar>
      </w:tblPr>
      <w:tblGrid>
        <w:gridCol w:w="75"/>
        <w:gridCol w:w="365"/>
        <w:gridCol w:w="1970"/>
      </w:tblGrid>
      <w:tr>
        <w:trPr/>
        <w:tc>
          <w:tcPr>
            <w:tcW w:w="75" w:type="dxa"/>
            <w:tcBorders/>
            <w:shd w:fill="auto" w:val="clear"/>
            <w:vAlign w:val="center"/>
          </w:tcPr>
          <w:p>
            <w:pPr>
              <w:pStyle w:val="TableContents"/>
              <w:spacing w:before="0" w:after="283"/>
              <w:jc w:val="both"/>
              <w:rPr/>
            </w:pPr>
            <w:r>
              <w:rPr/>
              <w:t> </w:t>
            </w:r>
          </w:p>
        </w:tc>
        <w:tc>
          <w:tcPr>
            <w:tcW w:w="2335" w:type="dxa"/>
            <w:gridSpan w:val="2"/>
            <w:tcBorders/>
            <w:shd w:fill="auto" w:val="clear"/>
            <w:vAlign w:val="center"/>
          </w:tcPr>
          <w:p>
            <w:pPr>
              <w:pStyle w:val="TableContents"/>
              <w:spacing w:before="0" w:after="283"/>
              <w:jc w:val="both"/>
              <w:rPr/>
            </w:pPr>
            <w:r>
              <w:rPr>
                <w:b/>
              </w:rPr>
              <w:t>TAO Talents, LLC</w:t>
            </w:r>
            <w:r>
              <w:rPr/>
              <w:t>,</w:t>
            </w:r>
          </w:p>
        </w:tc>
      </w:tr>
      <w:tr>
        <w:trPr/>
        <w:tc>
          <w:tcPr>
            <w:tcW w:w="75" w:type="dxa"/>
            <w:tcBorders/>
            <w:shd w:fill="auto" w:val="clear"/>
            <w:vAlign w:val="center"/>
          </w:tcPr>
          <w:p>
            <w:pPr>
              <w:pStyle w:val="TableContents"/>
              <w:spacing w:before="0" w:after="283"/>
              <w:jc w:val="both"/>
              <w:rPr/>
            </w:pPr>
            <w:r>
              <w:rPr/>
              <w:t> </w:t>
            </w:r>
          </w:p>
        </w:tc>
        <w:tc>
          <w:tcPr>
            <w:tcW w:w="2335" w:type="dxa"/>
            <w:gridSpan w:val="2"/>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Lender</w:t>
            </w:r>
          </w:p>
        </w:tc>
      </w:tr>
      <w:tr>
        <w:trPr/>
        <w:tc>
          <w:tcPr>
            <w:tcW w:w="75" w:type="dxa"/>
            <w:tcBorders/>
            <w:shd w:fill="auto" w:val="clear"/>
            <w:vAlign w:val="center"/>
          </w:tcPr>
          <w:p>
            <w:pPr>
              <w:pStyle w:val="TableContents"/>
              <w:spacing w:before="0" w:after="283"/>
              <w:jc w:val="both"/>
              <w:rPr/>
            </w:pPr>
            <w:r>
              <w:rPr/>
              <w:t> </w:t>
            </w:r>
          </w:p>
        </w:tc>
        <w:tc>
          <w:tcPr>
            <w:tcW w:w="2335"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jc w:val="both"/>
              <w:rPr/>
            </w:pPr>
            <w:r>
              <w:rPr/>
              <w:t>By:</w:t>
            </w:r>
          </w:p>
        </w:tc>
        <w:tc>
          <w:tcPr>
            <w:tcW w:w="1970" w:type="dxa"/>
            <w:tcBorders>
              <w:bottom w:val="single" w:sz="8" w:space="0" w:color="000000"/>
            </w:tcBorders>
            <w:shd w:fill="auto" w:val="clear"/>
            <w:tcMar>
              <w:bottom w:w="28" w:type="dxa"/>
            </w:tcMar>
            <w:vAlign w:val="center"/>
          </w:tcPr>
          <w:p>
            <w:pPr>
              <w:pStyle w:val="TableContents"/>
              <w:spacing w:before="0" w:after="283"/>
              <w:jc w:val="both"/>
              <w:rPr/>
            </w:pPr>
            <w:r>
              <w:rPr/>
              <w:t>/s/ Joshua Peck</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1970" w:type="dxa"/>
            <w:tcBorders/>
            <w:shd w:fill="auto" w:val="clear"/>
            <w:vAlign w:val="center"/>
          </w:tcPr>
          <w:p>
            <w:pPr>
              <w:pStyle w:val="TableContents"/>
              <w:spacing w:before="0" w:after="283"/>
              <w:jc w:val="both"/>
              <w:rPr/>
            </w:pPr>
            <w:r>
              <w:rPr/>
              <w:t>Name: Joshua Peck</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1970" w:type="dxa"/>
            <w:tcBorders/>
            <w:shd w:fill="auto" w:val="clear"/>
            <w:vAlign w:val="center"/>
          </w:tcPr>
          <w:p>
            <w:pPr>
              <w:pStyle w:val="TableContents"/>
              <w:spacing w:before="0" w:after="283"/>
              <w:jc w:val="both"/>
              <w:rPr/>
            </w:pPr>
            <w:r>
              <w:rPr/>
              <w:t>Title: Vice President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2475</Words>
  <CharactersWithSpaces>15966</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