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June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8" w:lineRule="exact"/>
        <w:rPr>
          <w:sz w:val="24"/>
          <w:szCs w:val="24"/>
          <w:color w:val="auto"/>
        </w:rPr>
      </w:pPr>
    </w:p>
    <w:tbl>
      <w:tblPr>
        <w:tblLayout w:type="fixed"/>
        <w:tblInd w:w="0" w:type="dxa"/>
        <w:tblCellMar>
          <w:top w:w="0" w:type="dxa"/>
          <w:left w:w="0" w:type="dxa"/>
          <w:bottom w:w="0" w:type="dxa"/>
          <w:right w:w="0" w:type="dxa"/>
        </w:tblCellMar>
      </w:tblPr>
      <w:tr>
        <w:trPr>
          <w:trHeight w:val="148"/>
        </w:trPr>
        <w:tc>
          <w:tcPr>
            <w:tcW w:w="3860" w:type="dxa"/>
            <w:vAlign w:val="bottom"/>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920" w:type="dxa"/>
            <w:vAlign w:val="bottom"/>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001-37359</w:t>
            </w:r>
          </w:p>
        </w:tc>
        <w:tc>
          <w:tcPr>
            <w:tcW w:w="35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26-3632015</w:t>
            </w:r>
          </w:p>
        </w:tc>
      </w:tr>
      <w:tr>
        <w:trPr>
          <w:trHeight w:val="144"/>
        </w:trPr>
        <w:tc>
          <w:tcPr>
            <w:tcW w:w="38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rPr>
              <w:t>(State or other jurisdiction</w:t>
            </w:r>
          </w:p>
        </w:tc>
        <w:tc>
          <w:tcPr>
            <w:tcW w:w="392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5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55"/>
        </w:trPr>
        <w:tc>
          <w:tcPr>
            <w:tcW w:w="38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7"/>
              </w:rPr>
              <w:t>of incorporation)</w:t>
            </w:r>
          </w:p>
        </w:tc>
        <w:tc>
          <w:tcPr>
            <w:tcW w:w="3920" w:type="dxa"/>
            <w:vAlign w:val="bottom"/>
          </w:tcPr>
          <w:p>
            <w:pPr>
              <w:spacing w:after="0"/>
              <w:rPr>
                <w:sz w:val="13"/>
                <w:szCs w:val="13"/>
                <w:color w:val="auto"/>
              </w:rPr>
            </w:pPr>
          </w:p>
        </w:tc>
        <w:tc>
          <w:tcPr>
            <w:tcW w:w="35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73"/>
        </w:trPr>
        <w:tc>
          <w:tcPr>
            <w:tcW w:w="3860" w:type="dxa"/>
            <w:vAlign w:val="bottom"/>
          </w:tcPr>
          <w:p>
            <w:pPr>
              <w:jc w:val="center"/>
              <w:ind w:left="1600"/>
              <w:spacing w:after="0"/>
              <w:rPr>
                <w:sz w:val="20"/>
                <w:szCs w:val="20"/>
                <w:color w:val="auto"/>
              </w:rPr>
            </w:pPr>
            <w:r>
              <w:rPr>
                <w:rFonts w:ascii="Times New Roman" w:cs="Times New Roman" w:eastAsia="Times New Roman" w:hAnsi="Times New Roman"/>
                <w:sz w:val="12"/>
                <w:szCs w:val="12"/>
                <w:b w:val="1"/>
                <w:bCs w:val="1"/>
                <w:color w:val="auto"/>
              </w:rPr>
              <w:t>45 Sidney Street</w:t>
            </w:r>
          </w:p>
        </w:tc>
        <w:tc>
          <w:tcPr>
            <w:tcW w:w="3920" w:type="dxa"/>
            <w:vAlign w:val="bottom"/>
          </w:tcPr>
          <w:p>
            <w:pPr>
              <w:spacing w:after="0"/>
              <w:rPr>
                <w:sz w:val="23"/>
                <w:szCs w:val="23"/>
                <w:color w:val="auto"/>
              </w:rPr>
            </w:pPr>
          </w:p>
        </w:tc>
        <w:tc>
          <w:tcPr>
            <w:tcW w:w="3520" w:type="dxa"/>
            <w:vAlign w:val="bottom"/>
          </w:tcPr>
          <w:p>
            <w:pPr>
              <w:spacing w:after="0"/>
              <w:rPr>
                <w:sz w:val="23"/>
                <w:szCs w:val="23"/>
                <w:color w:val="auto"/>
              </w:rPr>
            </w:pPr>
          </w:p>
        </w:tc>
      </w:tr>
      <w:tr>
        <w:trPr>
          <w:trHeight w:val="148"/>
        </w:trPr>
        <w:tc>
          <w:tcPr>
            <w:tcW w:w="3860" w:type="dxa"/>
            <w:vAlign w:val="bottom"/>
          </w:tcPr>
          <w:p>
            <w:pPr>
              <w:jc w:val="center"/>
              <w:ind w:left="1620"/>
              <w:spacing w:after="0"/>
              <w:rPr>
                <w:sz w:val="20"/>
                <w:szCs w:val="20"/>
                <w:color w:val="auto"/>
              </w:rPr>
            </w:pPr>
            <w:r>
              <w:rPr>
                <w:rFonts w:ascii="Times New Roman" w:cs="Times New Roman" w:eastAsia="Times New Roman" w:hAnsi="Times New Roman"/>
                <w:sz w:val="12"/>
                <w:szCs w:val="12"/>
                <w:b w:val="1"/>
                <w:bCs w:val="1"/>
                <w:color w:val="auto"/>
                <w:w w:val="99"/>
              </w:rPr>
              <w:t>Cambridge, Massachusetts</w:t>
            </w:r>
          </w:p>
        </w:tc>
        <w:tc>
          <w:tcPr>
            <w:tcW w:w="3920" w:type="dxa"/>
            <w:vAlign w:val="bottom"/>
          </w:tcPr>
          <w:p>
            <w:pPr>
              <w:spacing w:after="0"/>
              <w:rPr>
                <w:sz w:val="12"/>
                <w:szCs w:val="12"/>
                <w:color w:val="auto"/>
              </w:rPr>
            </w:pPr>
          </w:p>
        </w:tc>
        <w:tc>
          <w:tcPr>
            <w:tcW w:w="3520" w:type="dxa"/>
            <w:vAlign w:val="bottom"/>
          </w:tcPr>
          <w:p>
            <w:pPr>
              <w:jc w:val="right"/>
              <w:ind w:right="2560"/>
              <w:spacing w:after="0"/>
              <w:rPr>
                <w:sz w:val="20"/>
                <w:szCs w:val="20"/>
                <w:color w:val="auto"/>
              </w:rPr>
            </w:pPr>
            <w:r>
              <w:rPr>
                <w:rFonts w:ascii="Times New Roman" w:cs="Times New Roman" w:eastAsia="Times New Roman" w:hAnsi="Times New Roman"/>
                <w:sz w:val="12"/>
                <w:szCs w:val="12"/>
                <w:b w:val="1"/>
                <w:bCs w:val="1"/>
                <w:color w:val="auto"/>
              </w:rPr>
              <w:t>02139</w:t>
            </w:r>
          </w:p>
        </w:tc>
      </w:tr>
      <w:tr>
        <w:trPr>
          <w:trHeight w:val="155"/>
        </w:trPr>
        <w:tc>
          <w:tcPr>
            <w:tcW w:w="3860" w:type="dxa"/>
            <w:vAlign w:val="bottom"/>
          </w:tcPr>
          <w:p>
            <w:pPr>
              <w:jc w:val="center"/>
              <w:ind w:left="162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3920" w:type="dxa"/>
            <w:vAlign w:val="bottom"/>
          </w:tcPr>
          <w:p>
            <w:pPr>
              <w:spacing w:after="0"/>
              <w:rPr>
                <w:sz w:val="13"/>
                <w:szCs w:val="13"/>
                <w:color w:val="auto"/>
              </w:rPr>
            </w:pPr>
          </w:p>
        </w:tc>
        <w:tc>
          <w:tcPr>
            <w:tcW w:w="3520" w:type="dxa"/>
            <w:vAlign w:val="bottom"/>
          </w:tcPr>
          <w:p>
            <w:pPr>
              <w:jc w:val="center"/>
              <w:ind w:right="1960"/>
              <w:spacing w:after="0"/>
              <w:rPr>
                <w:sz w:val="20"/>
                <w:szCs w:val="20"/>
                <w:color w:val="auto"/>
              </w:rPr>
            </w:pPr>
            <w:r>
              <w:rPr>
                <w:rFonts w:ascii="Times New Roman" w:cs="Times New Roman" w:eastAsia="Times New Roman" w:hAnsi="Times New Roman"/>
                <w:sz w:val="12"/>
                <w:szCs w:val="12"/>
                <w:color w:val="auto"/>
              </w:rPr>
              <w:t>(Zip Code)</w:t>
            </w:r>
          </w:p>
        </w:tc>
      </w:tr>
      <w:tr>
        <w:trPr>
          <w:trHeight w:val="288"/>
        </w:trPr>
        <w:tc>
          <w:tcPr>
            <w:tcW w:w="3860" w:type="dxa"/>
            <w:vAlign w:val="bottom"/>
          </w:tcPr>
          <w:p>
            <w:pPr>
              <w:spacing w:after="0"/>
              <w:rPr>
                <w:sz w:val="24"/>
                <w:szCs w:val="24"/>
                <w:color w:val="auto"/>
              </w:rPr>
            </w:pPr>
          </w:p>
        </w:tc>
        <w:tc>
          <w:tcPr>
            <w:tcW w:w="3920" w:type="dxa"/>
            <w:vAlign w:val="bottom"/>
          </w:tcPr>
          <w:p>
            <w:pPr>
              <w:jc w:val="center"/>
              <w:ind w:right="300"/>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(617) 374-7580</w:t>
            </w:r>
          </w:p>
        </w:tc>
        <w:tc>
          <w:tcPr>
            <w:tcW w:w="3520" w:type="dxa"/>
            <w:vAlign w:val="bottom"/>
          </w:tcPr>
          <w:p>
            <w:pPr>
              <w:spacing w:after="0"/>
              <w:rPr>
                <w:sz w:val="24"/>
                <w:szCs w:val="24"/>
                <w:color w:val="auto"/>
              </w:rPr>
            </w:pPr>
          </w:p>
        </w:tc>
      </w:tr>
      <w:tr>
        <w:trPr>
          <w:trHeight w:val="293"/>
        </w:trPr>
        <w:tc>
          <w:tcPr>
            <w:tcW w:w="38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jc w:val="center"/>
              <w:ind w:right="30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3520" w:type="dxa"/>
            <w:vAlign w:val="bottom"/>
            <w:tcBorders>
              <w:bottom w:val="single" w:sz="8" w:color="auto"/>
            </w:tcBorders>
          </w:tcPr>
          <w:p>
            <w:pPr>
              <w:spacing w:after="0"/>
              <w:rPr>
                <w:sz w:val="24"/>
                <w:szCs w:val="24"/>
                <w:color w:val="auto"/>
              </w:rPr>
            </w:pPr>
          </w:p>
        </w:tc>
      </w:tr>
    </w:tbl>
    <w:p>
      <w:pPr>
        <w:spacing w:after="0" w:line="133"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4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0" w:lineRule="exact"/>
        <w:rPr>
          <w:sz w:val="24"/>
          <w:szCs w:val="24"/>
          <w:color w:val="auto"/>
        </w:rPr>
      </w:pPr>
    </w:p>
    <w:p>
      <w:pPr>
        <w:ind w:right="480" w:firstLine="432"/>
        <w:spacing w:after="0" w:line="279" w:lineRule="auto"/>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Securities registered pursuant to Section 12(b) of the Exchange Act:</w:t>
      </w:r>
    </w:p>
    <w:p>
      <w:pPr>
        <w:spacing w:after="0" w:line="141" w:lineRule="exact"/>
        <w:rPr>
          <w:sz w:val="24"/>
          <w:szCs w:val="24"/>
          <w:color w:val="auto"/>
        </w:rPr>
      </w:pPr>
    </w:p>
    <w:tbl>
      <w:tblPr>
        <w:tblLayout w:type="fixed"/>
        <w:tblInd w:w="10" w:type="dxa"/>
        <w:tblCellMar>
          <w:top w:w="0" w:type="dxa"/>
          <w:left w:w="0" w:type="dxa"/>
          <w:bottom w:w="0" w:type="dxa"/>
          <w:right w:w="0" w:type="dxa"/>
        </w:tblCellMar>
      </w:tblPr>
      <w:tr>
        <w:trPr>
          <w:trHeight w:val="142"/>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w:t>
            </w:r>
          </w:p>
        </w:tc>
      </w:tr>
      <w:tr>
        <w:trPr>
          <w:trHeight w:val="155"/>
        </w:trPr>
        <w:tc>
          <w:tcPr>
            <w:tcW w:w="4520" w:type="dxa"/>
            <w:vAlign w:val="bottom"/>
            <w:tcBorders>
              <w:left w:val="single" w:sz="8" w:color="auto"/>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registered</w:t>
            </w:r>
          </w:p>
        </w:tc>
      </w:tr>
      <w:tr>
        <w:trPr>
          <w:trHeight w:val="133"/>
        </w:trPr>
        <w:tc>
          <w:tcPr>
            <w:tcW w:w="452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2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BPMC</w:t>
            </w:r>
          </w:p>
        </w:tc>
        <w:tc>
          <w:tcPr>
            <w:tcW w:w="45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Nasdaq Global Select Market</w:t>
            </w:r>
          </w:p>
        </w:tc>
      </w:tr>
      <w:tr>
        <w:trPr>
          <w:trHeight w:val="133"/>
        </w:trPr>
        <w:tc>
          <w:tcPr>
            <w:tcW w:w="45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4520" w:type="dxa"/>
            <w:vAlign w:val="bottom"/>
            <w:tcBorders>
              <w:bottom w:val="single" w:sz="8" w:color="auto"/>
            </w:tcBorders>
          </w:tcPr>
          <w:p>
            <w:pPr>
              <w:spacing w:after="0"/>
              <w:rPr>
                <w:sz w:val="11"/>
                <w:szCs w:val="11"/>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435"/>
        </w:trPr>
        <w:tc>
          <w:tcPr>
            <w:tcW w:w="4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49"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1.01. Entry into a Material Definitive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Royalty Purchase</w:t>
      </w:r>
    </w:p>
    <w:p>
      <w:pPr>
        <w:spacing w:after="0" w:line="15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On June 30, 2022, Blueprint Medicines Corporation (the “Company”) entered into a purchase and sale agreement (the “Purchase Agreement”) with Royalty Pharma Investments 2019 ICAV, an Irish collective asset-management vehicle (“Royalty Pharma”), pursuant to which the Company sold to Royalty Pharma all of the royalties payable to the Company with respect to net sales by F. Hoffmann-La Roche Ltd and Genentech, Inc. (collectively, “Roche”), in all countries besides China, Hong Kong, Macau and Taiwan (collectively, “Greater China”) and the United States, of GAVRETO (pralsetinib) (the “Purchased Royalty Interest”) under the Collaboration Agreement, dated July 13, 2020, by and between the Company and Roche, as amended (the “Collaboration Agreement”). In consideration for the sale of the Purchased Royalty Interest, Royalty Pharma paid to the Company $175.0 million and has agreed to pay the Company certain milestone payments totaling up to $165.0 million, subject to the achievement of specified net sales milestones by Roche.</w:t>
      </w:r>
    </w:p>
    <w:p>
      <w:pPr>
        <w:spacing w:after="0" w:line="12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Under the Purchase Agreement, and in connection with its sale of the Purchased Royalty Interest, the Company has agreed to certain covenants with respect to the exercise of its rights under the Collaboration Agreement, including with respect to the Company’s right to amend, assign and terminate the Collaboration Agreement. The Purchase Agreement contains other customary terms and conditions, including representations and warranties, covenants and indemnification obligations in favor of each party.</w:t>
      </w:r>
    </w:p>
    <w:p>
      <w:pPr>
        <w:spacing w:after="0" w:line="119"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The foregoing summary of the Purchase Agreement is not complete and is qualified in its entirety by reference to the complete text of the Purchase Agreement, which the Company intends to file as an exhibit to its Quarterly Report on Form 10-Q for the quarter ending June 30,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Synthetic Royalty Facility</w:t>
      </w:r>
    </w:p>
    <w:p>
      <w:pPr>
        <w:spacing w:after="0" w:line="152"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On June 30, 2022, the Company entered into a purchase and sale agreement (the “Synthetic Purchase Agreement”), with Garnich Adjacent Investments S.a.r.l. (the “Purchaser”), any other purchasers from time to time party thereto (collectively, the “Purchasers”), and Garnich Adjacent Investments S.a.r.l., as representative for the purchasers (the “Purchaser Representative”).</w:t>
      </w:r>
    </w:p>
    <w:p>
      <w:pPr>
        <w:spacing w:after="0" w:line="111"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1"/>
          <w:szCs w:val="11"/>
          <w:color w:val="auto"/>
        </w:rPr>
        <w:t>Under the Synthetic Purchase Agreement, the Purchasers are entitled to receive tiered, future royalty payments at a rate of 9.75% on up to $900 million each year of (i) aggregate worldwide annual net product sales of AYVAKIT (avapritinib), excluding in Greater China, and (ii) aggregate worldwide annual net product sales of BLU-263 (together with AYVAKIT, collectively, the “Products”),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spacing w:after="0" w:line="102"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The transactions contemplated by the Synthetic Purchase Agreement are expected to close on July 22, 2022, subject to customary closing conditions. At the closing, in consideration for the sale of the Purchased Royalty Interest, the Purchaser will pay to the Company $250.0 million.</w:t>
      </w:r>
    </w:p>
    <w:p>
      <w:pPr>
        <w:spacing w:after="0" w:line="11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2"/>
          <w:szCs w:val="12"/>
          <w:color w:val="auto"/>
        </w:rPr>
        <w:t>The Synthetic Purchase Agreement is subject to customary closing conditions and contains customary representations and warranties of the Company and the Purchasers, including with respect to organization, authorization and tax matters, indemnification obligations, and certain covenants with respect to payment, reports, intellectual property, in-licenses, out-licenses, and certain other actions with respect to the Products. Pursuant to the Synthetic Purchase Agreement, and an additional security agreement, the Purchaser Representative, for the benefit of the purchasers was granted a first priority security interest in and to all right, title and interest in, to and under the Products and certain regulatory approvals, intellectual property, material agreements, proceeds, tangible assets, and intangible assets related to the Products.</w:t>
      </w:r>
    </w:p>
    <w:p>
      <w:pPr>
        <w:spacing w:after="0" w:line="12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Synthetic Purchase Agreement is not complete and is qualified in its entirety by reference to the complete text of the Synthetic Purchase Agreement, which the Company intends to file as an exhibit to its Quarterly Report on Form 10-Q for the quarter ending June 30,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Debt Facility</w:t>
      </w:r>
    </w:p>
    <w:p>
      <w:pPr>
        <w:spacing w:after="0" w:line="15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2"/>
          <w:szCs w:val="12"/>
          <w:color w:val="auto"/>
        </w:rPr>
        <w:t>On June 30, 2022, the Company entered into a financing agreement (the “Financing Agreement”) for up to $660.0 million among the Company, certain subsidiaries of the Company (together with the Company, the “Loan Parties”), the other lenders from time to time party thereto (the “Lenders” and each a “Lender”) and Tao Talents, LLC, as the administrative agent for the lenders (“Administrative Agent”). The Financing Agreement provides for (i) a senior secured term loan facility of up to $150.0 million (the “Term Loans” and (ii) a senior secured delayed draw term loan facility of up to $250.0 million to be funded in two tranches: (i) a Tranche A Delayed Draw Loan in an aggregate principal amount of $100.0 million (the “Tranche A Delayed Draw Term Loan”) and (ii) a Tranche B Delayed Draw Term Loan in an aggregate principal amount of up to $150.0 million (the “Tranche B Delayed Draw Term Loan, and together with the Tranche A Loan, the “Delayed Draw Term Loans”, and together with the Term Loans, the “Loans”). The Company may at any time request an incremental term loan in an amount not to exceed $260.0 million on terms to be agreed and subject to the consent of the Lenders providing such incremental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65" w:right="319" w:bottom="1440" w:gutter="0" w:footer="0" w:header="0"/>
        </w:sectPr>
      </w:pPr>
    </w:p>
    <w:bookmarkStart w:id="2" w:name="page3"/>
    <w:bookmarkEnd w:id="2"/>
    <w:p>
      <w:pPr>
        <w:ind w:right="120"/>
        <w:spacing w:after="0" w:line="260" w:lineRule="auto"/>
        <w:rPr>
          <w:sz w:val="20"/>
          <w:szCs w:val="20"/>
          <w:color w:val="auto"/>
        </w:rPr>
      </w:pPr>
      <w:r>
        <w:rPr>
          <w:rFonts w:ascii="Times New Roman" w:cs="Times New Roman" w:eastAsia="Times New Roman" w:hAnsi="Times New Roman"/>
          <w:sz w:val="12"/>
          <w:szCs w:val="12"/>
          <w:color w:val="auto"/>
        </w:rPr>
        <w:t>The Term Loans are expected to be funded on July 22, 2022. The Tranche A Delayed Draw Term Loan will be requested no later than May 22, 2023, the Tranche B Delayed Draw Term Loan may be requested no later than May 22, 2024, in each case, subject to customary terms and conditions, including, (i) in the case of the Tranche A Delayed Draw Term Loan, revenue from sales of AYVAKIT and BLU-263 outside of the CStone Territories of at least $115.0 million, measured as of the last day of the most recently ended four fiscal quarter period and (ii) in the case of the Tranche B Delayed Draw Term Loan, revenue from sales of AYVAKIT and BLU-263 outside of the CStone Territories of at least $200.0 million, measured as of the last day of the most recently ended four fiscal quarter period.</w:t>
      </w:r>
    </w:p>
    <w:p>
      <w:pPr>
        <w:spacing w:after="0" w:line="12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Loans will mature on June 30, 2028 (the “Maturity Date”). Borrowings under the Financing Agreement bear interest at a variable rate equal to either the SOFR plus six and one half percent (6.50%) or the base rate plus five and one half percent (5.50%), subject to a floor of one percent (1%) and two percent (2%) with respect to the SOFR and base rate, respectively.</w:t>
      </w:r>
    </w:p>
    <w:p>
      <w:pPr>
        <w:spacing w:after="0" w:line="111"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In the event a Loan is prepaid in whole or in part prior to the Maturity Date, the amount so prepaid or terminated will be subject to the following prepayment fees (the “Prepayment Premium”) from the date the applicable Loan is funded (such date, the “Funding Date”).</w:t>
      </w:r>
    </w:p>
    <w:p>
      <w:pPr>
        <w:spacing w:after="0" w:line="264" w:lineRule="exact"/>
        <w:rPr>
          <w:sz w:val="20"/>
          <w:szCs w:val="20"/>
          <w:color w:val="auto"/>
        </w:rPr>
      </w:pPr>
    </w:p>
    <w:tbl>
      <w:tblPr>
        <w:tblLayout w:type="fixed"/>
        <w:tblInd w:w="1680" w:type="dxa"/>
        <w:tblCellMar>
          <w:top w:w="0" w:type="dxa"/>
          <w:left w:w="0" w:type="dxa"/>
          <w:bottom w:w="0" w:type="dxa"/>
          <w:right w:w="0" w:type="dxa"/>
        </w:tblCellMar>
      </w:tblPr>
      <w:tr>
        <w:trPr>
          <w:trHeight w:val="155"/>
        </w:trPr>
        <w:tc>
          <w:tcPr>
            <w:tcW w:w="70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Prepayment Date</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Premium</w:t>
            </w:r>
          </w:p>
        </w:tc>
      </w:tr>
      <w:tr>
        <w:trPr>
          <w:trHeight w:val="133"/>
        </w:trPr>
        <w:tc>
          <w:tcPr>
            <w:tcW w:w="20" w:type="dxa"/>
            <w:vAlign w:val="bottom"/>
          </w:tcPr>
          <w:p>
            <w:pPr>
              <w:spacing w:after="0"/>
              <w:rPr>
                <w:sz w:val="11"/>
                <w:szCs w:val="11"/>
                <w:color w:val="auto"/>
              </w:rPr>
            </w:pPr>
          </w:p>
        </w:tc>
        <w:tc>
          <w:tcPr>
            <w:tcW w:w="68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Prior to and on the date that is 36 months from the Funding Date</w:t>
            </w: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5%</w:t>
            </w:r>
          </w:p>
        </w:tc>
        <w:tc>
          <w:tcPr>
            <w:tcW w:w="60" w:type="dxa"/>
            <w:vAlign w:val="bottom"/>
            <w:tcBorders>
              <w:top w:val="single" w:sz="8" w:color="CCEEFF"/>
            </w:tcBorders>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On and after the date that is 37 months from the Funding Date, but less than 49 months from the Funding Date</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On and after the date that is 49 months from the Funding Date, but less than 61 months from the Funding Date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60" w:type="dxa"/>
            <w:vAlign w:val="bottom"/>
            <w:shd w:val="clear" w:color="auto" w:fill="CCEEFF"/>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On and after the date that is 61 months from the Funding Date</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Par</w:t>
            </w:r>
          </w:p>
        </w:tc>
      </w:tr>
    </w:tbl>
    <w:p>
      <w:pPr>
        <w:spacing w:after="0" w:line="122"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Additionally, if a Loan is prepaid in whole or in part prior to the Maturity Date, on or prior to the date that is 24 months after the applicable Funding Date, the amount so prepaid or terminated will be subject to an additional premium equal to the present value of the amount of interest that would have been required to be paid through the date that is 24 months after the applicable Funding Date.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All obligations under the Financing Agreement will be secured, subject to certain exceptions, by security interests in the substantially all assets of the Company and certain of its subsidiaries (collectively, the “Collateral”).</w:t>
      </w:r>
    </w:p>
    <w:p>
      <w:pPr>
        <w:spacing w:after="0" w:line="15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Financing Agreement contains negative covenants that, among other things and subject to certain exceptions, could restrict the Company’s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w:t>
      </w:r>
    </w:p>
    <w:p>
      <w:pPr>
        <w:spacing w:after="0" w:line="11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2"/>
          <w:szCs w:val="12"/>
          <w:color w:val="auto"/>
        </w:rPr>
        <w:t>The Financing Agreement also requires the Company to have consolidated liquidity of at least (i) $50.0 million during the period commencing from the date on which the Term Loans are funded to the date which is the day before the first Delayed Draw Term Loans are funded and (ii) $80.0 million for each day thereafter. Additionally, the Financing Agreement contains certain customary representations and warranties, affirmative covenants and provisions relating to events of default, including nonpayment of principal, interest and other amounts; failure to comply with covenants; the rendering of judgments or orders or default by the Company in respect of other material indebtedness; and certain insolvency, ERISA events and regulatory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 w:name="page4"/>
    <w:bookmarkEnd w:id="3"/>
    <w:p>
      <w:pPr>
        <w:spacing w:after="0" w:line="279" w:lineRule="auto"/>
        <w:rPr>
          <w:sz w:val="20"/>
          <w:szCs w:val="20"/>
          <w:color w:val="auto"/>
        </w:rPr>
      </w:pPr>
      <w:r>
        <w:rPr>
          <w:rFonts w:ascii="Times New Roman" w:cs="Times New Roman" w:eastAsia="Times New Roman" w:hAnsi="Times New Roman"/>
          <w:sz w:val="12"/>
          <w:szCs w:val="12"/>
          <w:color w:val="auto"/>
        </w:rPr>
        <w:t>The foregoing summary of the Financing Agreement is not complete and is qualified in its entirety by reference to the complete text of the Financing Agreement, a copy of which the Company intends to file as an exhibit to its Quarterly Report on Form 10-Q for the quarter ending June 30,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2.03. Creation of a Direct Financial Obligation or an Obligation under an Off-Balance Sheet Arrangement of a Registrant.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information set forth under the headings “</w:t>
      </w:r>
      <w:r>
        <w:rPr>
          <w:rFonts w:ascii="Times New Roman" w:cs="Times New Roman" w:eastAsia="Times New Roman" w:hAnsi="Times New Roman"/>
          <w:sz w:val="12"/>
          <w:szCs w:val="12"/>
          <w:i w:val="1"/>
          <w:iCs w:val="1"/>
          <w:color w:val="auto"/>
        </w:rPr>
        <w:t>Synthetic Royalty Facility</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i w:val="1"/>
          <w:iCs w:val="1"/>
          <w:color w:val="auto"/>
        </w:rPr>
        <w:t>Debt Facility</w:t>
      </w:r>
      <w:r>
        <w:rPr>
          <w:rFonts w:ascii="Times New Roman" w:cs="Times New Roman" w:eastAsia="Times New Roman" w:hAnsi="Times New Roman"/>
          <w:sz w:val="12"/>
          <w:szCs w:val="12"/>
          <w:color w:val="auto"/>
        </w:rPr>
        <w:t>” in Item 1.01 is incorporated herein by reference.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June 30, 2022, the Company issued a press release announcing the Royalty Purchase, the Synthetic Royalty Facility and the Debt Facility, a copy of which is being furnished as Exhibit 99.1 to this Current Report on Form 8-K.</w:t>
      </w:r>
    </w:p>
    <w:p>
      <w:pPr>
        <w:spacing w:after="0" w:line="150"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Additionally, the Company presented a slide presentation to investors to provide an update and summary of the Royalty Purchase, the Synthetic Royalty Facility and the Debt Facility investments. A copy of the presentation is furnished as Exhibit 99.2 to this Current Report on Form 8-K.</w:t>
      </w:r>
    </w:p>
    <w:p>
      <w:pPr>
        <w:spacing w:after="0" w:line="111" w:lineRule="exact"/>
        <w:rPr>
          <w:sz w:val="20"/>
          <w:szCs w:val="20"/>
          <w:color w:val="auto"/>
        </w:rPr>
      </w:pPr>
    </w:p>
    <w:p>
      <w:pPr>
        <w:ind w:right="180"/>
        <w:spacing w:after="0" w:line="327" w:lineRule="auto"/>
        <w:rPr>
          <w:sz w:val="20"/>
          <w:szCs w:val="20"/>
          <w:color w:val="auto"/>
        </w:rPr>
      </w:pPr>
      <w:r>
        <w:rPr>
          <w:rFonts w:ascii="Times New Roman" w:cs="Times New Roman" w:eastAsia="Times New Roman" w:hAnsi="Times New Roman"/>
          <w:sz w:val="11"/>
          <w:szCs w:val="11"/>
          <w:color w:val="auto"/>
        </w:rPr>
        <w:t>The information in this Item 7.01 and Exhibits 99.1 and 99.2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720" w:type="dxa"/>
            <w:vAlign w:val="bottom"/>
          </w:tcPr>
          <w:p>
            <w:pPr>
              <w:spacing w:after="0"/>
              <w:rPr>
                <w:sz w:val="13"/>
                <w:szCs w:val="13"/>
                <w:color w:val="auto"/>
              </w:rPr>
            </w:pPr>
          </w:p>
        </w:tc>
      </w:tr>
      <w:tr>
        <w:trPr>
          <w:trHeight w:val="277"/>
        </w:trPr>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9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28"/>
        </w:trPr>
        <w:tc>
          <w:tcPr>
            <w:tcW w:w="200" w:type="dxa"/>
            <w:vAlign w:val="bottom"/>
            <w:tcBorders>
              <w:bottom w:val="single" w:sz="8" w:color="0000EE"/>
            </w:tcBorders>
          </w:tcPr>
          <w:p>
            <w:pPr>
              <w:spacing w:after="0" w:line="128"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1160" w:type="dxa"/>
            <w:vAlign w:val="bottom"/>
          </w:tcPr>
          <w:p>
            <w:pPr>
              <w:spacing w:after="0"/>
              <w:rPr>
                <w:sz w:val="11"/>
                <w:szCs w:val="11"/>
                <w:color w:val="auto"/>
              </w:rPr>
            </w:pPr>
          </w:p>
        </w:tc>
        <w:tc>
          <w:tcPr>
            <w:tcW w:w="3220" w:type="dxa"/>
            <w:vAlign w:val="bottom"/>
            <w:tcBorders>
              <w:bottom w:val="single" w:sz="8" w:color="0000EE"/>
            </w:tcBorders>
            <w:gridSpan w:val="2"/>
          </w:tcPr>
          <w:p>
            <w:pPr>
              <w:spacing w:after="0" w:line="128" w:lineRule="exact"/>
              <w:rPr>
                <w:sz w:val="20"/>
                <w:szCs w:val="20"/>
                <w:color w:val="auto"/>
              </w:rPr>
            </w:pPr>
            <w:r>
              <w:rPr>
                <w:rFonts w:ascii="Times New Roman" w:cs="Times New Roman" w:eastAsia="Times New Roman" w:hAnsi="Times New Roman"/>
                <w:sz w:val="12"/>
                <w:szCs w:val="12"/>
                <w:color w:val="0000EE"/>
                <w:w w:val="99"/>
              </w:rPr>
              <w:t>Blueprint Medicines Corporation press release dated June 30, 2022</w:t>
            </w:r>
          </w:p>
        </w:tc>
        <w:tc>
          <w:tcPr>
            <w:tcW w:w="6720" w:type="dxa"/>
            <w:vAlign w:val="bottom"/>
          </w:tcPr>
          <w:p>
            <w:pPr>
              <w:spacing w:after="0"/>
              <w:rPr>
                <w:sz w:val="11"/>
                <w:szCs w:val="11"/>
                <w:color w:val="auto"/>
              </w:rPr>
            </w:pPr>
          </w:p>
        </w:tc>
      </w:tr>
      <w:tr>
        <w:trPr>
          <w:trHeight w:val="124"/>
        </w:trPr>
        <w:tc>
          <w:tcPr>
            <w:tcW w:w="2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1160" w:type="dxa"/>
            <w:vAlign w:val="bottom"/>
          </w:tcPr>
          <w:p>
            <w:pPr>
              <w:spacing w:after="0"/>
              <w:rPr>
                <w:sz w:val="10"/>
                <w:szCs w:val="10"/>
                <w:color w:val="auto"/>
              </w:rPr>
            </w:pPr>
          </w:p>
        </w:tc>
        <w:tc>
          <w:tcPr>
            <w:tcW w:w="262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8"/>
              </w:rPr>
              <w:t>Blueprint Medicines Corporation investor presentation</w:t>
            </w:r>
          </w:p>
        </w:tc>
        <w:tc>
          <w:tcPr>
            <w:tcW w:w="7320" w:type="dxa"/>
            <w:vAlign w:val="bottom"/>
            <w:gridSpan w:val="2"/>
          </w:tcPr>
          <w:p>
            <w:pPr>
              <w:spacing w:after="0"/>
              <w:rPr>
                <w:sz w:val="10"/>
                <w:szCs w:val="10"/>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1160" w:type="dxa"/>
            <w:vAlign w:val="bottom"/>
          </w:tcPr>
          <w:p>
            <w:pPr>
              <w:spacing w:after="0"/>
              <w:rPr>
                <w:sz w:val="13"/>
                <w:szCs w:val="13"/>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 and incorporated as Exhibit 101)</w:t>
            </w:r>
          </w:p>
        </w:tc>
      </w:tr>
      <w:tr>
        <w:trPr>
          <w:trHeight w:val="450"/>
        </w:trPr>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00" w:type="dxa"/>
            <w:vAlign w:val="bottom"/>
          </w:tcPr>
          <w:p>
            <w:pPr>
              <w:spacing w:after="0"/>
              <w:rPr>
                <w:sz w:val="13"/>
                <w:szCs w:val="13"/>
                <w:color w:val="auto"/>
              </w:rPr>
            </w:pPr>
          </w:p>
        </w:tc>
        <w:tc>
          <w:tcPr>
            <w:tcW w:w="8000" w:type="dxa"/>
            <w:vAlign w:val="bottom"/>
            <w:gridSpan w:val="2"/>
          </w:tcPr>
          <w:p>
            <w:pPr>
              <w:ind w:left="2360"/>
              <w:spacing w:after="0"/>
              <w:rPr>
                <w:sz w:val="20"/>
                <w:szCs w:val="20"/>
                <w:color w:val="auto"/>
              </w:rPr>
            </w:pPr>
            <w:r>
              <w:rPr>
                <w:rFonts w:ascii="Times New Roman" w:cs="Times New Roman" w:eastAsia="Times New Roman" w:hAnsi="Times New Roman"/>
                <w:sz w:val="12"/>
                <w:szCs w:val="12"/>
                <w:b w:val="1"/>
                <w:bCs w:val="1"/>
                <w:color w:val="auto"/>
              </w:rPr>
              <w:t>BLUEPRINT MEDICINES CORPORATION</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Date: June 30, 2022</w:t>
            </w:r>
          </w:p>
        </w:tc>
        <w:tc>
          <w:tcPr>
            <w:tcW w:w="8000" w:type="dxa"/>
            <w:vAlign w:val="bottom"/>
            <w:gridSpan w:val="2"/>
          </w:tcPr>
          <w:p>
            <w:pPr>
              <w:ind w:left="2360"/>
              <w:spacing w:after="0"/>
              <w:rPr>
                <w:sz w:val="20"/>
                <w:szCs w:val="20"/>
                <w:color w:val="auto"/>
              </w:rPr>
            </w:pPr>
            <w:r>
              <w:rPr>
                <w:rFonts w:ascii="Times New Roman" w:cs="Times New Roman" w:eastAsia="Times New Roman" w:hAnsi="Times New Roman"/>
                <w:sz w:val="12"/>
                <w:szCs w:val="12"/>
                <w:color w:val="auto"/>
              </w:rPr>
              <w:t>By:   /s/ Kathryn Haviland</w:t>
            </w:r>
          </w:p>
        </w:tc>
      </w:tr>
      <w:tr>
        <w:trPr>
          <w:trHeight w:val="122"/>
        </w:trPr>
        <w:tc>
          <w:tcPr>
            <w:tcW w:w="33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53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Kathryn Haviland</w:t>
            </w:r>
          </w:p>
        </w:tc>
      </w:tr>
      <w:tr>
        <w:trPr>
          <w:trHeight w:val="155"/>
        </w:trPr>
        <w:tc>
          <w:tcPr>
            <w:tcW w:w="33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450"/>
        </w:trPr>
        <w:tc>
          <w:tcPr>
            <w:tcW w:w="33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097280" cy="371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371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Blueprint Medicines Announces Transformative $1.25 Billion Strategic Financing Collaborations with Sixth Street and Royalty Pharma</w:t>
      </w:r>
    </w:p>
    <w:p>
      <w:pPr>
        <w:spacing w:after="0" w:line="152"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Strengthens balance sheet with significant non-dilutive, low-cost capital</w:t>
      </w:r>
    </w:p>
    <w:p>
      <w:pPr>
        <w:spacing w:after="0" w:line="1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Expands ability to bring the promise of precision therapy to broad patient populations through internal R&amp;D and strategic business development</w:t>
      </w:r>
    </w:p>
    <w:p>
      <w:pPr>
        <w:spacing w:after="0" w:line="6" w:lineRule="exact"/>
        <w:rPr>
          <w:rFonts w:ascii="Times New Roman" w:cs="Times New Roman" w:eastAsia="Times New Roman" w:hAnsi="Times New Roman"/>
          <w:sz w:val="12"/>
          <w:szCs w:val="12"/>
          <w:color w:val="auto"/>
        </w:rPr>
      </w:pPr>
    </w:p>
    <w:p>
      <w:pPr>
        <w:ind w:left="420" w:hanging="212"/>
        <w:spacing w:after="0" w:line="199" w:lineRule="auto"/>
        <w:tabs>
          <w:tab w:leader="none" w:pos="420" w:val="left"/>
        </w:tabs>
        <w:numPr>
          <w:ilvl w:val="0"/>
          <w:numId w:val="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0"/>
          <w:szCs w:val="10"/>
          <w:i w:val="1"/>
          <w:iCs w:val="1"/>
          <w:color w:val="auto"/>
        </w:rPr>
        <w:t>Propelled by global launches of AYVAKIT</w:t>
      </w:r>
      <w:r>
        <w:rPr>
          <w:rFonts w:ascii="Times New Roman" w:cs="Times New Roman" w:eastAsia="Times New Roman" w:hAnsi="Times New Roman"/>
          <w:sz w:val="15"/>
          <w:szCs w:val="15"/>
          <w:i w:val="1"/>
          <w:iCs w:val="1"/>
          <w:color w:val="auto"/>
          <w:vertAlign w:val="superscript"/>
        </w:rPr>
        <w:t>®</w:t>
      </w:r>
      <w:r>
        <w:rPr>
          <w:rFonts w:ascii="Times New Roman" w:cs="Times New Roman" w:eastAsia="Times New Roman" w:hAnsi="Times New Roman"/>
          <w:sz w:val="10"/>
          <w:szCs w:val="10"/>
          <w:i w:val="1"/>
          <w:iCs w:val="1"/>
          <w:color w:val="auto"/>
        </w:rPr>
        <w:t>/AYVAKYT</w:t>
      </w:r>
      <w:r>
        <w:rPr>
          <w:rFonts w:ascii="Times New Roman" w:cs="Times New Roman" w:eastAsia="Times New Roman" w:hAnsi="Times New Roman"/>
          <w:sz w:val="15"/>
          <w:szCs w:val="15"/>
          <w:i w:val="1"/>
          <w:iCs w:val="1"/>
          <w:color w:val="auto"/>
          <w:vertAlign w:val="superscript"/>
        </w:rPr>
        <w:t>®</w:t>
      </w:r>
      <w:r>
        <w:rPr>
          <w:rFonts w:ascii="Times New Roman" w:cs="Times New Roman" w:eastAsia="Times New Roman" w:hAnsi="Times New Roman"/>
          <w:sz w:val="10"/>
          <w:szCs w:val="10"/>
          <w:i w:val="1"/>
          <w:iCs w:val="1"/>
          <w:color w:val="auto"/>
        </w:rPr>
        <w:t xml:space="preserve"> (avapritinib) and GAVRETO</w:t>
      </w:r>
      <w:r>
        <w:rPr>
          <w:rFonts w:ascii="Times New Roman" w:cs="Times New Roman" w:eastAsia="Times New Roman" w:hAnsi="Times New Roman"/>
          <w:sz w:val="15"/>
          <w:szCs w:val="15"/>
          <w:i w:val="1"/>
          <w:iCs w:val="1"/>
          <w:color w:val="auto"/>
          <w:vertAlign w:val="superscript"/>
        </w:rPr>
        <w:t>®</w:t>
      </w:r>
      <w:r>
        <w:rPr>
          <w:rFonts w:ascii="Times New Roman" w:cs="Times New Roman" w:eastAsia="Times New Roman" w:hAnsi="Times New Roman"/>
          <w:sz w:val="10"/>
          <w:szCs w:val="10"/>
          <w:i w:val="1"/>
          <w:iCs w:val="1"/>
          <w:color w:val="auto"/>
        </w:rPr>
        <w:t xml:space="preserve"> (pralsetinib), and shared confidence in the important growth opportunity in systemic mastocytosis</w:t>
      </w: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Blueprint Medicines will receive $575 million in total cash funded at close</w:t>
      </w:r>
    </w:p>
    <w:p>
      <w:pPr>
        <w:spacing w:after="0" w:line="138"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CAMBRIDGE, Mass., June 30, 2022 /PRNewswire/ -- Blueprint Medicines Corporation (NASDAQ: BPMC) today announced strategic financing collaborations with Sixth Street and Royalty Pharma (NASDAQ: RPRX) for up to $1.25 billion, bringing significant non-dilutive, low-cost capital to drive innovation and growth.</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tailored investments by two highly respected life sciences-focused investors capitalize on Blueprint Medicines’ significant accomplishments to date and add strategic financial partners who are aligned with the company’s growth</w:t>
      </w:r>
    </w:p>
    <w:p>
      <w:pPr>
        <w:spacing w:after="0" w:line="17" w:lineRule="exact"/>
        <w:rPr>
          <w:sz w:val="20"/>
          <w:szCs w:val="20"/>
          <w:color w:val="auto"/>
        </w:rPr>
      </w:pPr>
    </w:p>
    <w:p>
      <w:pPr>
        <w:ind w:right="480"/>
        <w:spacing w:after="0" w:line="212" w:lineRule="auto"/>
        <w:rPr>
          <w:sz w:val="20"/>
          <w:szCs w:val="20"/>
          <w:color w:val="auto"/>
        </w:rPr>
      </w:pPr>
      <w:r>
        <w:rPr>
          <w:rFonts w:ascii="Times New Roman" w:cs="Times New Roman" w:eastAsia="Times New Roman" w:hAnsi="Times New Roman"/>
          <w:sz w:val="12"/>
          <w:szCs w:val="12"/>
          <w:color w:val="auto"/>
        </w:rPr>
        <w:t>ambitions and confidence in the anticipated commercial opportunity and launch performance of AYVAKIT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/AYVAKYT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 (avapritinib) and GAVRETO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 (pralsetinib). The financings provide capital to expand and advance the company’s robust and diverse pipeline towards commercialization and to continue pursuing strategic and synergistic business development opportunities.</w:t>
      </w:r>
    </w:p>
    <w:p>
      <w:pPr>
        <w:spacing w:after="0" w:line="13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“This attractive deal puts Blueprint Medicines in a very strong financial position to drive rapid growth while maintaining our path to profitability in the coming years. The combination of our strong cash position, multiple drivers of top-line revenue, and diversity of important pipeline programs uniquely positions us to continue building a leading precision therapy company and bring transformative medicines to patients worldwide,” said Kate Haviland, Chief Executive Officer of Blueprint Medicines. "Executing this deal with such favorable terms in the current market environment speaks to the quality of the assets, the aligned confidence in the commercial opportunities, and the investment opportunity that Blueprint Medicines represents overall for firms like Sixth Street and Royalty Pharma, with whom we are building long-term strategic relationships.”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multi-component deal is comprised of the following elements:</w:t>
      </w:r>
    </w:p>
    <w:p>
      <w:pPr>
        <w:spacing w:after="0" w:line="150"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agreement with Sixth Street has three parts:</w:t>
      </w:r>
    </w:p>
    <w:p>
      <w:pPr>
        <w:spacing w:after="0" w:line="17" w:lineRule="exact"/>
        <w:rPr>
          <w:sz w:val="20"/>
          <w:szCs w:val="20"/>
          <w:color w:val="auto"/>
        </w:rPr>
      </w:pPr>
    </w:p>
    <w:p>
      <w:pPr>
        <w:ind w:left="860" w:hanging="220"/>
        <w:spacing w:after="0" w:line="250" w:lineRule="auto"/>
        <w:tabs>
          <w:tab w:leader="none" w:pos="86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$250 million cash upfront in exchange for future AYVAKIT/AYVAKYT and BLU-263 royalties at a rate of 9.75 percent subject to an annual cap of $900 million in net sales and a cumulative cap of 1.45 times invested capital;</w:t>
      </w:r>
    </w:p>
    <w:p>
      <w:pPr>
        <w:ind w:left="860" w:right="60" w:hanging="220"/>
        <w:spacing w:after="0" w:line="260" w:lineRule="auto"/>
        <w:tabs>
          <w:tab w:leader="none" w:pos="86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$400 million in a senior secured credit facility, of which Blueprint Medicines will draw $150 million initially with an additional $250 million available in delayed draw tranches at Blueprint Medicines’ election;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6" w:name="page7"/>
    <w:bookmarkEnd w:id="6"/>
    <w:p>
      <w:pPr>
        <w:ind w:left="860" w:hanging="220"/>
        <w:spacing w:after="0"/>
        <w:tabs>
          <w:tab w:leader="none" w:pos="86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$260 million in a potential credit facility to support buy-side business development opportunities, subject to mutual agreement between Sixth Street and Blueprint Medicines.</w:t>
      </w:r>
    </w:p>
    <w:p>
      <w:pPr>
        <w:spacing w:after="0" w:line="15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agreement with Royalty Pharma monetizes royalties receivable from GAVRETO net sales by Roche outside of the U.S., not including Greater China, with $175 million cash paid to Blueprint Medicines upfront and up to $165 million in potential milestone payments based on future sales.</w:t>
      </w:r>
    </w:p>
    <w:p>
      <w:pPr>
        <w:spacing w:after="0" w:line="11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“Blueprint Medicines is an impressive and differentiated biopharmaceutical company, with a proven track record of success in developing and commercializing precision therapies. We are particularly excited about the opportunity for AYVAKIT to meet the substantial need in patients with non-advanced systemic mastocytosis,” said Vijay Mohan and Jeff Pootoolal, Partners at Sixth Street. “We believe that investing now, when the company is already in a strong financial position, is the first step toward a long-term relationship that will open the door to further potential opportunities for growth and partnership.”</w:t>
      </w:r>
    </w:p>
    <w:p>
      <w:pPr>
        <w:spacing w:after="0" w:line="119"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2"/>
          <w:szCs w:val="12"/>
          <w:color w:val="auto"/>
        </w:rPr>
        <w:t>“GAVRETO is an important precision therapy that has been incredibly meaningful for patients with metastatic, RET fusion-positive non-small cell lung cancer who may have otherwise had limited options,” said Pablo Legorreta, Royalty Pharma’s founder and Chief Executive Officer. “We are pleased to establish a partnership with the experienced team at Blueprint Medicines to help fuel their execution on the significant commercial and development opportunities they have ahead.”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Cowen and Company served as financial advisor and Goodwin Procter LLP served as legal advisor to Blueprint Medicines. Cooley LLP acted as legal advisors to Sixth Street. Gibson Dunn acted as legal advisors to Royalty Pharma.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Conference Call Information</w:t>
      </w:r>
    </w:p>
    <w:p>
      <w:pPr>
        <w:spacing w:after="0" w:line="15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 xml:space="preserve">Blueprint Medicines will host a live conference call and webcast at 8:30 a.m. ET today to discuss the collaborations. The conference call may be accessed by dialing 844-200-6205 (domestic) or 929-526-1599 (international), and referring to conference ID 658541. A webcast of the call will also be available under "Events and Presentations" in the Investors &amp; Media section of the Blueprint Medicines website at </w:t>
      </w:r>
      <w:r>
        <w:rPr>
          <w:rFonts w:ascii="Times New Roman" w:cs="Times New Roman" w:eastAsia="Times New Roman" w:hAnsi="Times New Roman"/>
          <w:sz w:val="12"/>
          <w:szCs w:val="12"/>
          <w:u w:val="single" w:color="auto"/>
          <w:color w:val="auto"/>
        </w:rPr>
        <w:t>http://ir.blueprintmedicines.com/</w:t>
      </w:r>
      <w:r>
        <w:rPr>
          <w:rFonts w:ascii="Times New Roman" w:cs="Times New Roman" w:eastAsia="Times New Roman" w:hAnsi="Times New Roman"/>
          <w:sz w:val="12"/>
          <w:szCs w:val="12"/>
          <w:color w:val="auto"/>
        </w:rPr>
        <w:t>. The archived webcast will be available on Blueprint Medicines' website approximately two hours after the conference call and will be available for 30 days following the call.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AYVAKIT (avapritinib)</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AYVAKIT (avapritinib) is a kinase inhibitor approved by the FDA for the treatment of adults with Advanced SM, including aggressive SM (ASM), SM with an associated hematological neoplasm (SM-AHN) and mast cell leukemia (MCL), and adults with unresectable or metastatic gastrointestinal stromal tumor (GIST) harboring a PDGFRA exon 18 mutation, including PDGFRA D842V mutations. For more information, visit AYVAKIT.com. Under the brand name AYVAKYT (avapritinib), this medicine is approved by the European Commission for the treatment of adults with ASM, SM-AHN or MCL, after at least one systemic therapy, and adults with unresectable or metastatic GIST harboring the PDGFRA D842V mutation.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AYVAKIT/AYVAKYT is not approved for the treatment of any other indication in the U.S. or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80"/>
          </w:cols>
          <w:pgMar w:left="300" w:top="651" w:right="419" w:bottom="1440" w:gutter="0" w:footer="0" w:header="0"/>
        </w:sectPr>
      </w:pPr>
    </w:p>
    <w:bookmarkStart w:id="7" w:name="page8"/>
    <w:bookmarkEnd w:id="7"/>
    <w:p>
      <w:pPr>
        <w:ind w:right="100"/>
        <w:spacing w:after="0" w:line="279" w:lineRule="auto"/>
        <w:rPr>
          <w:sz w:val="20"/>
          <w:szCs w:val="20"/>
          <w:color w:val="auto"/>
        </w:rPr>
      </w:pPr>
      <w:r>
        <w:rPr>
          <w:rFonts w:ascii="Times New Roman" w:cs="Times New Roman" w:eastAsia="Times New Roman" w:hAnsi="Times New Roman"/>
          <w:sz w:val="12"/>
          <w:szCs w:val="12"/>
          <w:color w:val="auto"/>
        </w:rPr>
        <w:t>Blueprint Medicines is developing AYVAKIT globally for the treatment of advanced and non-advanced SM. The FDA granted breakthrough therapy designation to AYVAKIT for the treatment of moderate to severe indolent SM. The European Commission granted orphan medicinal product designation for AYVAKYT for the treatment of GIST and mastocytosis.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Please </w:t>
      </w:r>
      <w:r>
        <w:rPr>
          <w:rFonts w:ascii="Times New Roman" w:cs="Times New Roman" w:eastAsia="Times New Roman" w:hAnsi="Times New Roman"/>
          <w:sz w:val="12"/>
          <w:szCs w:val="12"/>
          <w:u w:val="single" w:color="auto"/>
          <w:color w:val="auto"/>
        </w:rPr>
        <w:t>click here</w:t>
      </w:r>
      <w:r>
        <w:rPr>
          <w:rFonts w:ascii="Times New Roman" w:cs="Times New Roman" w:eastAsia="Times New Roman" w:hAnsi="Times New Roman"/>
          <w:sz w:val="12"/>
          <w:szCs w:val="12"/>
          <w:color w:val="auto"/>
        </w:rPr>
        <w:t xml:space="preserve"> to see the full U.S. Prescribing Information for AYVAKIT, and </w:t>
      </w:r>
      <w:r>
        <w:rPr>
          <w:rFonts w:ascii="Times New Roman" w:cs="Times New Roman" w:eastAsia="Times New Roman" w:hAnsi="Times New Roman"/>
          <w:sz w:val="12"/>
          <w:szCs w:val="12"/>
          <w:u w:val="single" w:color="auto"/>
          <w:color w:val="auto"/>
        </w:rPr>
        <w:t>click here</w:t>
      </w:r>
      <w:r>
        <w:rPr>
          <w:rFonts w:ascii="Times New Roman" w:cs="Times New Roman" w:eastAsia="Times New Roman" w:hAnsi="Times New Roman"/>
          <w:sz w:val="12"/>
          <w:szCs w:val="12"/>
          <w:color w:val="auto"/>
        </w:rPr>
        <w:t xml:space="preserve"> to see the European Summary of Product Characteristics for AYVAKYT.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GAVRETO (pralsetinib)</w:t>
      </w:r>
    </w:p>
    <w:p>
      <w:pPr>
        <w:spacing w:after="0" w:line="15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GAVRETO (pralsetinib) is a once-daily oral targeted therapy approved by the U.S. Food and Drug Administration (FDA) for the treatment of three indications: adult patients with metastatic RET fusion-positive NSCLC as detected by an FDA approved test, adult and pediatric patients 12 years of age and older with advanced or metastatic RET-mutant medullary thyroid cancer (MTC) who require systemic therapy, and adults and pediatric patients 12 years of age and older with advanced or metastatic RET fusion-positive thyroid cancer who require systemic therapy and who are radioactive iodine-refractory (if radioactive iodine is appropriate). These indications are approved under accelerated approval based on overall response rate and duration of response. Continued approval for these indications may be contingent upon verification and description of clinical benefit in confirmatory trials. In addition, GAVRETO is approved by the National Medical Products Administration (NMPA) of China for the treatment of adult patients with locally advanced or metastatic RET fusion-positive NSCLC after platinum-based chemotherapy.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GAVRETO is not approved for the treatment of any other indication in the U.S. by the FDA or in China by the NMPA, or for any indication in any other jurisdiction by any other health authority.</w:t>
      </w:r>
    </w:p>
    <w:p>
      <w:pPr>
        <w:spacing w:after="0" w:line="150" w:lineRule="exact"/>
        <w:rPr>
          <w:sz w:val="20"/>
          <w:szCs w:val="20"/>
          <w:color w:val="auto"/>
        </w:rPr>
      </w:pPr>
    </w:p>
    <w:p>
      <w:pPr>
        <w:ind w:right="660"/>
        <w:spacing w:after="0" w:line="279" w:lineRule="auto"/>
        <w:rPr>
          <w:sz w:val="20"/>
          <w:szCs w:val="20"/>
          <w:color w:val="auto"/>
        </w:rPr>
      </w:pPr>
      <w:r>
        <w:rPr>
          <w:rFonts w:ascii="Times New Roman" w:cs="Times New Roman" w:eastAsia="Times New Roman" w:hAnsi="Times New Roman"/>
          <w:sz w:val="12"/>
          <w:szCs w:val="12"/>
          <w:color w:val="auto"/>
        </w:rPr>
        <w:t>GAVRETO is designed to selectively and potently target oncogenic RET alterations, including secondary RET mutations predicted to drive resistance to treatment. In preclinical studies, GAVRETO inhibited RET at lower concentrations than other pharmacologically relevant kinases, including VEGFR2, FGFR2 and JAK2. For more information, visit GAVRETO.com.</w:t>
      </w:r>
    </w:p>
    <w:p>
      <w:pPr>
        <w:spacing w:after="0" w:line="11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Blueprint Medicines and Roche are co-developing GAVRETO globally (excluding Greater China) for the treatment of patients with RET-altered NSCLC, various types of thyroid cancer and other solid tumors. The European Medicines Agency validated a marketing authorization application for GAVRETO for the treatment of RET fusion-positive NSCLC. The FDA granted breakthrough therapy designation to GAVRETO for the treatment of RET fusion-positive NSCLC that has progressed following platinum-based chemotherapy and for RET mutation-positive MTC that requires systemic treatment and for which there are no acceptable alternative treatments.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Please </w:t>
      </w:r>
      <w:r>
        <w:rPr>
          <w:rFonts w:ascii="Times New Roman" w:cs="Times New Roman" w:eastAsia="Times New Roman" w:hAnsi="Times New Roman"/>
          <w:sz w:val="12"/>
          <w:szCs w:val="12"/>
          <w:u w:val="single" w:color="auto"/>
          <w:color w:val="auto"/>
        </w:rPr>
        <w:t>click here</w:t>
      </w:r>
      <w:r>
        <w:rPr>
          <w:rFonts w:ascii="Times New Roman" w:cs="Times New Roman" w:eastAsia="Times New Roman" w:hAnsi="Times New Roman"/>
          <w:sz w:val="12"/>
          <w:szCs w:val="12"/>
          <w:color w:val="auto"/>
        </w:rPr>
        <w:t xml:space="preserve"> to see the full U.S. Prescribing Information for GAVRETO.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color w:val="auto"/>
        </w:rPr>
        <w:t>About Blueprint Medicines</w:t>
      </w:r>
    </w:p>
    <w:p>
      <w:pPr>
        <w:spacing w:after="0" w:line="1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approved medicines directly to patients in the United States and Europe, and we are globally advancing multiple programs for systemic mastocytosis, lung cancer and other genomically defined cancers, and cancer immunotherapy. For more information, visit www.BlueprintMedicines.com and follow us on Twitter (@BlueprintMeds) and LinkedIn.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Sixth Street</w:t>
      </w:r>
    </w:p>
    <w:p>
      <w:pPr>
        <w:spacing w:after="0" w:line="154"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2"/>
          <w:szCs w:val="12"/>
          <w:color w:val="auto"/>
        </w:rPr>
        <w:t>Sixth Street is a global investment firm with over $60 billion in assets under management and committed capital. The firm uses its long-term, flexible capital, data-enabled capabilities, and One Team culture to develop themes and offers solutions to companies across all stages of growth. Sixth Street’s healthcare and life sciences team provides strategic capital and forms long-term partnerships with companies creating new technologies to address pressing healthcare challenges and improve patient care. Select Sixth Street investments include Biohaven, Caris Life Sciences, ConcertAI, Datavant, DrFirst, Mammoth Biosciences, MDLIVE, and Visiquate. For more information, visit www.sixthstreet.com and follow Sixth Street on LinkedIn, Twitter, or Instagram.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Royalty Pharma</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Founded in 1996, Royalty Pharma is the largest buyer of biopharmaceutical royalties and a leading funder of innovation across the biopharmaceutical industry, collaborating with innovators from academic institutions, research hospitals and non-for-profits through small and mid-cap biotechnology companies to leading global pharmaceutical companies. Royalty Pharma has assembled a portfolio of royalties which entitles it to payments based directly on the top-line sales of many of the industry’s leading therapies. Royalty Pharma funds innovation in the biopharmaceutical industry both directly and indirectly - directly when it partners with companies to co-fund late-stage clinical trials and new product launches in exchange for future royalties, and indirectly when it acquires existing royalties from the original innovators. Royalty Pharma’s current portfolio includes royalties on around 35 commercial products, including AbbVie and Johnson &amp; Johnson’s Imbruvica, Johnson &amp; Johnson’s Tremfya, Astellas’ and Pfizer’s Xtandi, Biogen’s Tysabri, Gilead’s Trodelvy, Novartis’ Promacta, Vertex’s Kalydeco, Orkambi, Symdeko and Trikafta, and 10 development-stage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5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1"/>
          <w:szCs w:val="11"/>
          <w:color w:val="auto"/>
        </w:rPr>
        <w:t>This press release contains forward-looking statements within the meaning of the Private Securities Litigation Reform Act of 1995, as amended, including, without limitation, statements regarding plans, strategies, timelines and expectations for Blueprint Medicines' current or future approved drugs and drug candidates, including timelines for marketing applications and approvals, the initiation of clinical trials and trial cohorts, or the results of ongoing and planned clinical trials; Blueprint Medicines’ expectations regarding the investments by Sixth Street and Royalty Pharma and the potential acceleration of its commercial products and pipeline resulting from the non-dilutive growth capital; Blueprint Medicines’ plans, strategies and timelines to nominate development candidates; the anticipated benefits of the preclinical profiles of Blueprint Medicines’ drug candidates; plans and timelines for additional marketing applications for avapritinib and pralsetinib and, if approved, commercializing avapritinib and pralsetinib in additional geographies or for additional indications; the potential benefits of any of Blueprint Medicines' current or future approved drugs or drug candidates in treating patients; the potential benefits of Blueprint Medicines' collaborations or business development activities; and Blueprint Medicines' financial performance,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 Blueprint Medicines’ ability to successfully expand the approved indications for AYVAKIT/AYVAKYT and GAVRETO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either as monotherapies or in combination with other agents or may impact the anticipated timing of data or regulatory submissions; the timing of the initiation of clinical trials and trial cohorts at clinical trial sites and patient enrollment rates;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Blueprint Medicines' ability to successfully expand its operations, research platform and portfolio of therapeutic candidates, and the timing and costs thereof; and the success of Blueprint Medicines’ current and future collaborations, partnerships, acquisitions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w:t>
      </w:r>
    </w:p>
    <w:p>
      <w:pPr>
        <w:spacing w:after="0" w:line="126"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2"/>
          <w:szCs w:val="12"/>
          <w:color w:val="auto"/>
        </w:rPr>
        <w:t>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Trademarks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Blueprint Medicines AYVAKYT, AYVAKIT, GAVRETO and associated logos are trademarks of Blueprint Medicines Corporation.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Blueprint Medicines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Sarah Mena Guerrero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(617) 714-6684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media@blueprintmedicines.com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Jenna Cohen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(857) 209-3147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ir@blueprintmedicines.com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Sixth Street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Patrick Clifford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+1 617 793 2004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pclifford@sixthstreet.com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0" w:name="page11"/>
    <w:bookmarkEnd w:id="10"/>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029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40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040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o"/>
      <w:numFmt w:val="bullet"/>
      <w:start w:val="1"/>
    </w:lvl>
  </w:abstractNum>
  <w:abstractNum w:abstractNumId="4">
    <w:nsid w:val="46E87CCD"/>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2022-06-30T15:11:18Z</dcterms:created>
  <dcterms:modified xsi:type="dcterms:W3CDTF">2022-06-30T15:11:18Z</dcterms:modified>
</cp:coreProperties>
</file>