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Albers Jeffrey W</w:t>
              </w:r>
              <w:r>
                <w:rPr>
                  <w:rFonts w:ascii="Arial" w:cs="Arial" w:eastAsia="Arial" w:hAnsi="Arial"/>
                  <w:sz w:val="21"/>
                  <w:szCs w:val="21"/>
                  <w:color w:val="0000EE"/>
                </w:rPr>
                <w:t>.</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08/19/2020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40"/>
        <w:spacing w:after="0"/>
        <w:rPr>
          <w:sz w:val="20"/>
          <w:szCs w:val="20"/>
          <w:color w:val="auto"/>
        </w:rPr>
      </w:pPr>
      <w:r>
        <w:rPr>
          <w:rFonts w:ascii="Arial" w:cs="Arial" w:eastAsia="Arial" w:hAnsi="Arial"/>
          <w:sz w:val="17"/>
          <w:szCs w:val="17"/>
          <w:color w:val="0000FF"/>
        </w:rPr>
        <w:t>CEO and President</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151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51511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08/19/2020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8"/>
              </w:rPr>
              <w:t>20,000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08/19/2020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8"/>
              </w:rPr>
              <w:t>11,403</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75.34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150,031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08/19/2020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3"/>
              <w:spacing w:after="0"/>
              <w:rPr>
                <w:sz w:val="20"/>
                <w:szCs w:val="20"/>
                <w:color w:val="auto"/>
              </w:rPr>
            </w:pPr>
            <w:r>
              <w:rPr>
                <w:rFonts w:ascii="Arial" w:cs="Arial" w:eastAsia="Arial" w:hAnsi="Arial"/>
                <w:sz w:val="17"/>
                <w:szCs w:val="17"/>
                <w:color w:val="0000FF"/>
                <w:w w:val="89"/>
              </w:rPr>
              <w:t>8,597</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74.6</w:t>
            </w:r>
            <w:r>
              <w:rPr>
                <w:rFonts w:ascii="Arial" w:cs="Arial" w:eastAsia="Arial" w:hAnsi="Arial"/>
                <w:sz w:val="21"/>
                <w:szCs w:val="21"/>
                <w:color w:val="008000"/>
                <w:w w:val="83"/>
                <w:vertAlign w:val="superscript"/>
              </w:rPr>
              <w:t>(3)</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141,434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8.8</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08/19/2020</w:t>
            </w:r>
          </w:p>
        </w:tc>
        <w:tc>
          <w:tcPr>
            <w:tcW w:w="1140" w:type="dxa"/>
            <w:vAlign w:val="bottom"/>
          </w:tcPr>
          <w:p>
            <w:pPr>
              <w:spacing w:after="0"/>
              <w:rPr>
                <w:sz w:val="16"/>
                <w:szCs w:val="16"/>
                <w:color w:val="auto"/>
              </w:rPr>
            </w:pPr>
          </w:p>
        </w:tc>
        <w:tc>
          <w:tcPr>
            <w:tcW w:w="620" w:type="dxa"/>
            <w:vAlign w:val="bottom"/>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20"/>
              <w:spacing w:after="0"/>
              <w:rPr>
                <w:sz w:val="20"/>
                <w:szCs w:val="20"/>
                <w:color w:val="auto"/>
              </w:rPr>
            </w:pPr>
            <w:r>
              <w:rPr>
                <w:rFonts w:ascii="Arial" w:cs="Arial" w:eastAsia="Arial" w:hAnsi="Arial"/>
                <w:sz w:val="13"/>
                <w:szCs w:val="13"/>
                <w:color w:val="0000FF"/>
              </w:rPr>
              <w:t>02/10/2025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47,170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March 17, 2020 pursuant to Rule 10b5-1 under the Securities Exchange Act of 1934, as amended.</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$75.00 to $75.94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$74.00 to $74.99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10, 2015 and is fully vested.</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08/21/2020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2020-08-21T15:23:53Z</dcterms:created>
  <dcterms:modified xsi:type="dcterms:W3CDTF">2020-08-21T15:23:53Z</dcterms:modified>
</cp:coreProperties>
</file>