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r>
        <w:rPr>
          <w:rFonts w:ascii="Times New Roman" w:cs="Times New Roman" w:eastAsia="Times New Roman" w:hAnsi="Times New Roman"/>
          <w:sz w:val="18"/>
          <w:szCs w:val="18"/>
          <w:b w:val="1"/>
          <w:bCs w:val="1"/>
          <w:color w:val="auto"/>
        </w:rPr>
        <w:t>May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40"/>
          </w:cols>
          <w:pgMar w:left="980" w:top="970" w:right="979" w:bottom="1440" w:gutter="0" w:footer="0" w:header="0"/>
        </w:sectPr>
      </w:pPr>
    </w:p>
    <w:p>
      <w:pPr>
        <w:spacing w:after="0" w:line="200" w:lineRule="exact"/>
        <w:rPr>
          <w:sz w:val="24"/>
          <w:szCs w:val="24"/>
          <w:color w:val="auto"/>
        </w:rPr>
      </w:pPr>
    </w:p>
    <w:p>
      <w:pPr>
        <w:spacing w:after="0" w:line="298"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970" w:right="979" w:bottom="1440" w:gutter="0" w:footer="0" w:header="0"/>
          <w:type w:val="continuous"/>
        </w:sectPr>
      </w:pPr>
    </w:p>
    <w:p>
      <w:pPr>
        <w:spacing w:after="0" w:line="3"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20" w:space="720"/>
            <w:col w:w="2900"/>
          </w:cols>
          <w:pgMar w:left="980" w:top="970" w:right="979" w:bottom="1440" w:gutter="0" w:footer="0" w:header="0"/>
          <w:type w:val="continuous"/>
        </w:sectPr>
      </w:pPr>
    </w:p>
    <w:p>
      <w:pPr>
        <w:spacing w:after="0" w:line="1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85725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6"/>
        </w:trPr>
        <w:tc>
          <w:tcPr>
            <w:tcW w:w="39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r>
      <w:tr>
        <w:trPr>
          <w:trHeight w:val="81"/>
        </w:trPr>
        <w:tc>
          <w:tcPr>
            <w:tcW w:w="39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r>
      <w:tr>
        <w:trPr>
          <w:trHeight w:val="857"/>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970"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On May 1, 2025, Blueprint Medicines Corporation announced its financial results for the quarter ended March 31, 2025 and other business highlights. The full text of the press release issued in connection with the announcement is furnished as Exhibit 99.1 to this Current Report on Form 8-K and is incorporated by reference herein.</w:t>
      </w:r>
    </w:p>
    <w:p>
      <w:pPr>
        <w:spacing w:after="0" w:line="176"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of this Form 8-K shall be deemed to be furnished and not filed: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Pr>
          <w:p>
            <w:pPr>
              <w:spacing w:after="0"/>
              <w:rPr>
                <w:sz w:val="20"/>
                <w:szCs w:val="20"/>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420" w:type="dxa"/>
            <w:vAlign w:val="bottom"/>
            <w:tcBorders>
              <w:top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by Blueprint Medicines Corporation on May 1, 2025</w:t>
            </w:r>
          </w:p>
        </w:tc>
      </w:tr>
      <w:tr>
        <w:trPr>
          <w:trHeight w:val="20"/>
        </w:trPr>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18"/>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w:t>
            </w:r>
          </w:p>
        </w:tc>
      </w:tr>
      <w:tr>
        <w:trPr>
          <w:trHeight w:val="234"/>
        </w:trPr>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2760" w:type="dxa"/>
            <w:vAlign w:val="bottom"/>
          </w:tcPr>
          <w:p>
            <w:pPr>
              <w:spacing w:after="0"/>
              <w:rPr>
                <w:sz w:val="20"/>
                <w:szCs w:val="20"/>
                <w:color w:val="auto"/>
              </w:rPr>
            </w:pPr>
          </w:p>
        </w:tc>
      </w:tr>
      <w:tr>
        <w:trPr>
          <w:trHeight w:val="1438"/>
        </w:trPr>
        <w:tc>
          <w:tcPr>
            <w:tcW w:w="1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672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1, 2025</w:t>
            </w:r>
          </w:p>
        </w:tc>
        <w:tc>
          <w:tcPr>
            <w:tcW w:w="67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397"/>
        </w:trPr>
        <w:tc>
          <w:tcPr>
            <w:tcW w:w="3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 w:name="page4"/>
    <w:bookmarkEnd w:id="3"/>
    <w:p>
      <w:pPr>
        <w:ind w:left="7680"/>
        <w:spacing w:after="0"/>
        <w:rPr>
          <w:sz w:val="20"/>
          <w:szCs w:val="20"/>
          <w:color w:val="auto"/>
        </w:rPr>
      </w:pPr>
      <w:r>
        <w:rPr>
          <w:rFonts w:ascii="Arial" w:cs="Arial" w:eastAsia="Arial" w:hAnsi="Arial"/>
          <w:sz w:val="18"/>
          <w:szCs w:val="18"/>
          <w:b w:val="1"/>
          <w:bCs w:val="1"/>
          <w:color w:val="auto"/>
        </w:rPr>
        <w:t>EXHIBIT 99.1</w:t>
      </w:r>
    </w:p>
    <w:p>
      <w:pPr>
        <w:spacing w:after="0" w:line="224" w:lineRule="exact"/>
        <w:rPr>
          <w:sz w:val="20"/>
          <w:szCs w:val="20"/>
          <w:color w:val="auto"/>
        </w:rPr>
      </w:pPr>
    </w:p>
    <w:p>
      <w:pPr>
        <w:jc w:val="center"/>
        <w:ind w:left="200" w:right="219"/>
        <w:spacing w:after="0" w:line="296" w:lineRule="auto"/>
        <w:rPr>
          <w:sz w:val="20"/>
          <w:szCs w:val="20"/>
          <w:color w:val="auto"/>
        </w:rPr>
      </w:pPr>
      <w:r>
        <w:rPr>
          <w:rFonts w:ascii="Arial" w:cs="Arial" w:eastAsia="Arial" w:hAnsi="Arial"/>
          <w:sz w:val="18"/>
          <w:szCs w:val="18"/>
          <w:b w:val="1"/>
          <w:bCs w:val="1"/>
          <w:color w:val="auto"/>
        </w:rPr>
        <w:t>Blueprint Medicines Reports First Quarter 2025 Results and Raises AYVAKIT®/AYVAKYT® (avapritinib) Full Year Revenue Guidance</w:t>
      </w:r>
    </w:p>
    <w:p>
      <w:pPr>
        <w:spacing w:after="0" w:line="126" w:lineRule="exact"/>
        <w:rPr>
          <w:sz w:val="20"/>
          <w:szCs w:val="20"/>
          <w:color w:val="auto"/>
        </w:rPr>
      </w:pPr>
    </w:p>
    <w:p>
      <w:pPr>
        <w:ind w:left="580" w:hanging="176"/>
        <w:spacing w:after="0"/>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Achieved 61% year-over-year growth with $149.4 million in AYVAKIT net product revenues in the first</w:t>
      </w:r>
    </w:p>
    <w:p>
      <w:pPr>
        <w:spacing w:after="0" w:line="25" w:lineRule="exact"/>
        <w:rPr>
          <w:rFonts w:ascii="Arial" w:cs="Arial" w:eastAsia="Arial" w:hAnsi="Arial"/>
          <w:sz w:val="18"/>
          <w:szCs w:val="18"/>
          <w:i w:val="1"/>
          <w:iCs w:val="1"/>
          <w:color w:val="auto"/>
        </w:rPr>
      </w:pPr>
    </w:p>
    <w:p>
      <w:pPr>
        <w:ind w:left="390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quarter 2025 --</w:t>
      </w:r>
    </w:p>
    <w:p>
      <w:pPr>
        <w:spacing w:after="0" w:line="101" w:lineRule="exact"/>
        <w:rPr>
          <w:rFonts w:ascii="Arial" w:cs="Arial" w:eastAsia="Arial" w:hAnsi="Arial"/>
          <w:sz w:val="18"/>
          <w:szCs w:val="18"/>
          <w:i w:val="1"/>
          <w:iCs w:val="1"/>
          <w:color w:val="auto"/>
        </w:rPr>
      </w:pPr>
    </w:p>
    <w:p>
      <w:pPr>
        <w:ind w:left="1360" w:hanging="175"/>
        <w:spacing w:after="0"/>
        <w:tabs>
          <w:tab w:leader="none" w:pos="1360" w:val="left"/>
        </w:tabs>
        <w:numPr>
          <w:ilvl w:val="2"/>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Raising AYVAKIT net product revenue guidance to $700 - $720 million for 2025 --</w:t>
      </w:r>
    </w:p>
    <w:p>
      <w:pPr>
        <w:spacing w:after="0" w:line="117" w:lineRule="exact"/>
        <w:rPr>
          <w:rFonts w:ascii="Arial" w:cs="Arial" w:eastAsia="Arial" w:hAnsi="Arial"/>
          <w:sz w:val="18"/>
          <w:szCs w:val="18"/>
          <w:i w:val="1"/>
          <w:iCs w:val="1"/>
          <w:color w:val="auto"/>
        </w:rPr>
      </w:pPr>
    </w:p>
    <w:p>
      <w:pPr>
        <w:ind w:left="880" w:hanging="211"/>
        <w:spacing w:after="0"/>
        <w:tabs>
          <w:tab w:leader="none" w:pos="88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Initiated BLU-808 proof of concept studies in allergic rhinoconjunctivitis and chronic urticaria –</w:t>
      </w:r>
    </w:p>
    <w:p>
      <w:pPr>
        <w:spacing w:after="0" w:line="331" w:lineRule="exact"/>
        <w:rPr>
          <w:sz w:val="20"/>
          <w:szCs w:val="20"/>
          <w:color w:val="auto"/>
        </w:rPr>
      </w:pPr>
    </w:p>
    <w:p>
      <w:pPr>
        <w:jc w:val="both"/>
        <w:ind w:left="200" w:right="679"/>
        <w:spacing w:after="0" w:line="261" w:lineRule="auto"/>
        <w:rPr>
          <w:sz w:val="20"/>
          <w:szCs w:val="20"/>
          <w:color w:val="auto"/>
        </w:rPr>
      </w:pPr>
      <w:r>
        <w:rPr>
          <w:rFonts w:ascii="Arial" w:cs="Arial" w:eastAsia="Arial" w:hAnsi="Arial"/>
          <w:sz w:val="18"/>
          <w:szCs w:val="18"/>
          <w:color w:val="auto"/>
        </w:rPr>
        <w:t>CAMBRIDGE, Mass., May 1, 2025 – Blueprint Medicines Corporation (Nasdaq: BPMC) today reported financial results, provided a business update for the first quarter ended March 31, 2025, and provided corporate updates.</w:t>
      </w:r>
    </w:p>
    <w:p>
      <w:pPr>
        <w:spacing w:after="0" w:line="175" w:lineRule="exact"/>
        <w:rPr>
          <w:sz w:val="20"/>
          <w:szCs w:val="20"/>
          <w:color w:val="auto"/>
        </w:rPr>
      </w:pPr>
    </w:p>
    <w:p>
      <w:pPr>
        <w:ind w:left="200" w:right="259"/>
        <w:spacing w:after="0" w:line="268" w:lineRule="auto"/>
        <w:rPr>
          <w:sz w:val="20"/>
          <w:szCs w:val="20"/>
          <w:color w:val="auto"/>
        </w:rPr>
      </w:pPr>
      <w:r>
        <w:rPr>
          <w:rFonts w:ascii="Arial" w:cs="Arial" w:eastAsia="Arial" w:hAnsi="Arial"/>
          <w:sz w:val="18"/>
          <w:szCs w:val="18"/>
          <w:color w:val="auto"/>
        </w:rPr>
        <w:t>“Blueprint Medicines strives to be a top-tier standout in biotech, with a core focus on innovation, commercial excellence, and a disciplined approach to global investment across our portfolio. Following strong performance in 2024, we have continued our executional momentum in 2025,” said Kate Haviland, Chief Executive Officer of Blueprint Medicines. “AYVAKIT is well on its way to meeting our goal of $2 billion in revenue by 2030, as we continue to capture the substantial and growing multi-billion-dollar systemic mastocytosis opportunity that we anticipate will drive topline revenue growth into the next decade. We also advanced our prioritized pipeline programs, achieving significant portfolio milestones, including the initiation of two proof-of-concept studies for wild-type KIT inhibitor BLU-808 and advancing the HARBOR study of elenestinib in indolent systemic mastocytosis. The combination of our durable and growing commercial revenue, our strong cash position, and our disciplined capital allocation strategy enables us to focus on executing our business to plan and insulates us from broader market volatility.”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First Quarter 2025 Highlights and Recent Progress</w:t>
      </w:r>
    </w:p>
    <w:p>
      <w:pPr>
        <w:spacing w:after="0" w:line="239" w:lineRule="exact"/>
        <w:rPr>
          <w:sz w:val="20"/>
          <w:szCs w:val="20"/>
          <w:color w:val="auto"/>
        </w:rPr>
      </w:pPr>
    </w:p>
    <w:p>
      <w:pPr>
        <w:ind w:left="540" w:right="279" w:hanging="331"/>
        <w:spacing w:after="0" w:line="260" w:lineRule="auto"/>
        <w:tabs>
          <w:tab w:leader="none" w:pos="5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Achieved AYVAKIT net product revenues of $149.4 million for the first quarter of 2025, including $129.4 million in the US and $20 million ex-US, representing 61% percent growth year-over-year.</w:t>
      </w:r>
    </w:p>
    <w:p>
      <w:pPr>
        <w:ind w:left="540" w:right="439" w:hanging="331"/>
        <w:spacing w:after="0" w:line="249" w:lineRule="auto"/>
        <w:tabs>
          <w:tab w:leader="none" w:pos="5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Initiated two clinical proof-of-concept studies of BLU-808, a highly selective and potent investigational oral wild-type KIT inhibitor for the treatment of mast cell disorders, including:</w:t>
      </w:r>
    </w:p>
    <w:p>
      <w:pPr>
        <w:spacing w:after="0" w:line="1" w:lineRule="exact"/>
        <w:rPr>
          <w:rFonts w:ascii="Times New Roman" w:cs="Times New Roman" w:eastAsia="Times New Roman" w:hAnsi="Times New Roman"/>
          <w:sz w:val="18"/>
          <w:szCs w:val="18"/>
          <w:color w:val="auto"/>
        </w:rPr>
      </w:pPr>
    </w:p>
    <w:p>
      <w:pPr>
        <w:ind w:left="1180" w:right="819" w:hanging="324"/>
        <w:spacing w:after="0" w:line="228" w:lineRule="auto"/>
        <w:rPr>
          <w:rFonts w:ascii="Times New Roman" w:cs="Times New Roman" w:eastAsia="Times New Roman" w:hAnsi="Times New Roman"/>
          <w:sz w:val="18"/>
          <w:szCs w:val="18"/>
          <w:color w:val="auto"/>
        </w:rPr>
      </w:pPr>
      <w:r>
        <w:rPr>
          <w:rFonts w:ascii="Courier New" w:cs="Courier New" w:eastAsia="Courier New" w:hAnsi="Courier New"/>
          <w:sz w:val="20"/>
          <w:szCs w:val="20"/>
          <w:color w:val="auto"/>
        </w:rPr>
        <w:t xml:space="preserve">o </w:t>
      </w:r>
      <w:r>
        <w:rPr>
          <w:rFonts w:ascii="Arial" w:cs="Arial" w:eastAsia="Arial" w:hAnsi="Arial"/>
          <w:sz w:val="17"/>
          <w:szCs w:val="17"/>
          <w:color w:val="auto"/>
        </w:rPr>
        <w:t>A randomized, double-blind, placebo-controlled Phase 2a challenge study of BLU-808 in</w:t>
      </w:r>
      <w:r>
        <w:rPr>
          <w:rFonts w:ascii="Courier New" w:cs="Courier New" w:eastAsia="Courier New" w:hAnsi="Courier New"/>
          <w:sz w:val="20"/>
          <w:szCs w:val="20"/>
          <w:color w:val="auto"/>
        </w:rPr>
        <w:t xml:space="preserve"> </w:t>
      </w:r>
      <w:r>
        <w:rPr>
          <w:rFonts w:ascii="Arial" w:cs="Arial" w:eastAsia="Arial" w:hAnsi="Arial"/>
          <w:sz w:val="17"/>
          <w:szCs w:val="17"/>
          <w:color w:val="auto"/>
        </w:rPr>
        <w:t>patients with allergic rhinoconjunctivitis; and</w:t>
      </w:r>
    </w:p>
    <w:p>
      <w:pPr>
        <w:spacing w:after="0" w:line="1" w:lineRule="exact"/>
        <w:rPr>
          <w:rFonts w:ascii="Times New Roman" w:cs="Times New Roman" w:eastAsia="Times New Roman" w:hAnsi="Times New Roman"/>
          <w:sz w:val="18"/>
          <w:szCs w:val="18"/>
          <w:color w:val="auto"/>
        </w:rPr>
      </w:pPr>
    </w:p>
    <w:p>
      <w:pPr>
        <w:ind w:left="1180" w:right="279" w:hanging="324"/>
        <w:spacing w:after="0" w:line="235"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 Phase 2a proof-of-concept study in chronic urticaria. This study comprises an open-label</w:t>
      </w:r>
      <w:r>
        <w:rPr>
          <w:rFonts w:ascii="Courier New" w:cs="Courier New" w:eastAsia="Courier New" w:hAnsi="Courier New"/>
          <w:sz w:val="18"/>
          <w:szCs w:val="18"/>
          <w:color w:val="auto"/>
        </w:rPr>
        <w:t xml:space="preserve"> </w:t>
      </w:r>
      <w:r>
        <w:rPr>
          <w:rFonts w:ascii="Arial" w:cs="Arial" w:eastAsia="Arial" w:hAnsi="Arial"/>
          <w:sz w:val="18"/>
          <w:szCs w:val="18"/>
          <w:color w:val="auto"/>
        </w:rPr>
        <w:t>portion in chronic inducible urticaria and a randomized, double-blind, placebo-controlled portion in chronic spontaneous urticaria.</w:t>
      </w:r>
    </w:p>
    <w:p>
      <w:pPr>
        <w:ind w:left="540" w:right="279" w:hanging="331"/>
        <w:spacing w:after="0" w:line="263" w:lineRule="auto"/>
        <w:tabs>
          <w:tab w:leader="none" w:pos="5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Presented 12 poster and two oral data presentations at the American Academy of Allergy, Asthma &amp; Immunology (AAAAI)/World Allergy Organization (WAO) conference. The breadth of data included three-year long-term follow-up data from the PIONEER study of AYVAKIT in patients with indolent systemic mastocytosis (ISM), data showing AYVAKIT-treated patients with ISM achieved improvements in bone health, and data from the healthy volunteer study of BLU-808. Read the presentations here.</w:t>
      </w:r>
    </w:p>
    <w:p>
      <w:pPr>
        <w:spacing w:after="0" w:line="3" w:lineRule="exact"/>
        <w:rPr>
          <w:rFonts w:ascii="Times New Roman" w:cs="Times New Roman" w:eastAsia="Times New Roman" w:hAnsi="Times New Roman"/>
          <w:sz w:val="17"/>
          <w:szCs w:val="17"/>
          <w:color w:val="auto"/>
        </w:rPr>
      </w:pPr>
    </w:p>
    <w:p>
      <w:pPr>
        <w:ind w:left="540" w:right="759" w:hanging="331"/>
        <w:spacing w:after="0" w:line="249" w:lineRule="auto"/>
        <w:tabs>
          <w:tab w:leader="none" w:pos="5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Strengthened cash balance with $78.7 million in connection with the sale of the company’s equity investment in IDRx, Inc. following its acquisition by GSK plc.</w:t>
      </w:r>
    </w:p>
    <w:p>
      <w:pPr>
        <w:spacing w:after="0" w:line="1" w:lineRule="exact"/>
        <w:rPr>
          <w:rFonts w:ascii="Times New Roman" w:cs="Times New Roman" w:eastAsia="Times New Roman" w:hAnsi="Times New Roman"/>
          <w:sz w:val="18"/>
          <w:szCs w:val="18"/>
          <w:color w:val="auto"/>
        </w:rPr>
      </w:pPr>
    </w:p>
    <w:p>
      <w:pPr>
        <w:ind w:left="540" w:right="699" w:hanging="331"/>
        <w:spacing w:after="0" w:line="265" w:lineRule="auto"/>
        <w:tabs>
          <w:tab w:leader="none" w:pos="5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Hosting scientific seminar on mast cell activation syndrome (MCAS) with expert physician Dr. Matt Giannetti on Wednesday, June 4, 2025 at 1:00 p.m.</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2025 Financial Guidance</w:t>
      </w:r>
    </w:p>
    <w:p>
      <w:pPr>
        <w:spacing w:after="0" w:line="212" w:lineRule="exact"/>
        <w:rPr>
          <w:sz w:val="20"/>
          <w:szCs w:val="20"/>
          <w:color w:val="auto"/>
        </w:rPr>
      </w:pPr>
    </w:p>
    <w:p>
      <w:pPr>
        <w:ind w:left="200" w:right="479"/>
        <w:spacing w:after="0" w:line="268" w:lineRule="auto"/>
        <w:rPr>
          <w:sz w:val="20"/>
          <w:szCs w:val="20"/>
          <w:color w:val="auto"/>
        </w:rPr>
      </w:pPr>
      <w:r>
        <w:rPr>
          <w:rFonts w:ascii="Arial" w:cs="Arial" w:eastAsia="Arial" w:hAnsi="Arial"/>
          <w:sz w:val="18"/>
          <w:szCs w:val="18"/>
          <w:color w:val="auto"/>
        </w:rPr>
        <w:t>Blueprint Medicines is raising guidance and now anticipates approximately $700 million to $720 million in global AYVAKIT net product revenues in 2025, on the path to achieving $2 billion in global AYVAKIT net product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54521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 w:name="page5"/>
    <w:bookmarkEnd w:id="4"/>
    <w:p>
      <w:pPr>
        <w:ind w:left="200" w:right="259"/>
        <w:spacing w:after="0" w:line="254" w:lineRule="auto"/>
        <w:rPr>
          <w:sz w:val="20"/>
          <w:szCs w:val="20"/>
          <w:color w:val="auto"/>
        </w:rPr>
      </w:pPr>
      <w:r>
        <w:rPr>
          <w:rFonts w:ascii="Arial" w:cs="Arial" w:eastAsia="Arial" w:hAnsi="Arial"/>
          <w:sz w:val="18"/>
          <w:szCs w:val="18"/>
          <w:color w:val="auto"/>
        </w:rPr>
        <w:t>by 2030. This guidance increase reflects favorability observed in the free versus commercial mix of AYVAKIT sales in the first quarter and continued strength in underlying fundamentals of growth. Blueprint continues to expect a year-over-year reduction in cash burn in 2025, as it continues to invest in advancing its prioritized programs, balancing investments in innovation with financial discipline. Blueprint continues to anticipate that its existing cash, cash equivalents and investments, together with anticipated product revenues, will provide sufficient capital to enable the company to achieve a self-sustainable financial profile.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Upcoming Milestones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plans to achieve the following remaining milestones in 2025:</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Mast cell disorders</w:t>
      </w:r>
    </w:p>
    <w:p>
      <w:pPr>
        <w:spacing w:after="0" w:line="27" w:lineRule="exact"/>
        <w:rPr>
          <w:sz w:val="20"/>
          <w:szCs w:val="20"/>
          <w:color w:val="auto"/>
        </w:rPr>
      </w:pPr>
    </w:p>
    <w:p>
      <w:pPr>
        <w:ind w:left="540" w:hanging="331"/>
        <w:spacing w:after="0"/>
        <w:tabs>
          <w:tab w:leader="none" w:pos="5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Deliver continued strong and steady AYVAKIT revenue growth.</w:t>
      </w:r>
    </w:p>
    <w:p>
      <w:pPr>
        <w:spacing w:after="0" w:line="8" w:lineRule="exact"/>
        <w:rPr>
          <w:rFonts w:ascii="Times New Roman" w:cs="Times New Roman" w:eastAsia="Times New Roman" w:hAnsi="Times New Roman"/>
          <w:sz w:val="18"/>
          <w:szCs w:val="18"/>
          <w:color w:val="auto"/>
        </w:rPr>
      </w:pPr>
    </w:p>
    <w:p>
      <w:pPr>
        <w:ind w:left="540" w:hanging="331"/>
        <w:spacing w:after="0"/>
        <w:tabs>
          <w:tab w:leader="none" w:pos="5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Achieve reimbursement of AYVAKYT in ≥ 20 countries overall.</w:t>
      </w:r>
    </w:p>
    <w:p>
      <w:pPr>
        <w:spacing w:after="0" w:line="8" w:lineRule="exact"/>
        <w:rPr>
          <w:rFonts w:ascii="Times New Roman" w:cs="Times New Roman" w:eastAsia="Times New Roman" w:hAnsi="Times New Roman"/>
          <w:sz w:val="18"/>
          <w:szCs w:val="18"/>
          <w:color w:val="auto"/>
        </w:rPr>
      </w:pPr>
    </w:p>
    <w:p>
      <w:pPr>
        <w:ind w:left="540" w:hanging="331"/>
        <w:spacing w:after="0"/>
        <w:tabs>
          <w:tab w:leader="none" w:pos="5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Activate sites and drive enrollment in HARBOR trial of elenestinib.</w:t>
      </w:r>
    </w:p>
    <w:p>
      <w:pPr>
        <w:spacing w:after="0" w:line="8" w:lineRule="exact"/>
        <w:rPr>
          <w:rFonts w:ascii="Times New Roman" w:cs="Times New Roman" w:eastAsia="Times New Roman" w:hAnsi="Times New Roman"/>
          <w:sz w:val="18"/>
          <w:szCs w:val="18"/>
          <w:color w:val="auto"/>
        </w:rPr>
      </w:pPr>
    </w:p>
    <w:p>
      <w:pPr>
        <w:ind w:left="540" w:hanging="331"/>
        <w:spacing w:after="0"/>
        <w:tabs>
          <w:tab w:leader="none" w:pos="5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Initiate proof of concept studies of BLU-808 in allergic asthma and MCAS.</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Discovery</w:t>
      </w:r>
    </w:p>
    <w:p>
      <w:pPr>
        <w:spacing w:after="0" w:line="27" w:lineRule="exact"/>
        <w:rPr>
          <w:sz w:val="20"/>
          <w:szCs w:val="20"/>
          <w:color w:val="auto"/>
        </w:rPr>
      </w:pPr>
    </w:p>
    <w:p>
      <w:pPr>
        <w:ind w:left="620" w:hanging="330"/>
        <w:spacing w:after="0"/>
        <w:tabs>
          <w:tab w:leader="none" w:pos="6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Nominate two development candidates, including the company’s first protein degrader.</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First Quarter 2025 Results</w:t>
      </w:r>
    </w:p>
    <w:p>
      <w:pPr>
        <w:spacing w:after="0" w:line="225" w:lineRule="exact"/>
        <w:rPr>
          <w:sz w:val="20"/>
          <w:szCs w:val="20"/>
          <w:color w:val="auto"/>
        </w:rPr>
      </w:pPr>
    </w:p>
    <w:p>
      <w:pPr>
        <w:jc w:val="both"/>
        <w:ind w:left="540" w:right="339" w:hanging="331"/>
        <w:spacing w:after="0" w:line="258" w:lineRule="auto"/>
        <w:tabs>
          <w:tab w:leader="none" w:pos="54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7"/>
          <w:szCs w:val="17"/>
          <w:b w:val="1"/>
          <w:bCs w:val="1"/>
          <w:color w:val="auto"/>
        </w:rPr>
        <w:t>Revenues</w:t>
      </w:r>
      <w:r>
        <w:rPr>
          <w:rFonts w:ascii="Arial" w:cs="Arial" w:eastAsia="Arial" w:hAnsi="Arial"/>
          <w:sz w:val="17"/>
          <w:szCs w:val="17"/>
          <w:color w:val="auto"/>
        </w:rPr>
        <w:t>: Revenues were $149.4 million for the first quarter of 2025, generated by net product sales</w:t>
      </w:r>
      <w:r>
        <w:rPr>
          <w:rFonts w:ascii="Arial" w:cs="Arial" w:eastAsia="Arial" w:hAnsi="Arial"/>
          <w:sz w:val="17"/>
          <w:szCs w:val="17"/>
          <w:b w:val="1"/>
          <w:bCs w:val="1"/>
          <w:color w:val="auto"/>
        </w:rPr>
        <w:t xml:space="preserve"> </w:t>
      </w:r>
      <w:r>
        <w:rPr>
          <w:rFonts w:ascii="Arial" w:cs="Arial" w:eastAsia="Arial" w:hAnsi="Arial"/>
          <w:sz w:val="17"/>
          <w:szCs w:val="17"/>
          <w:color w:val="auto"/>
        </w:rPr>
        <w:t>of AYVAKIT/AYVAKYT. Revenues were $96.1 million in the first quarter of 2024, including $92.5 million of net product revenues from sales of AYVAKIT/AYVAKYT and $3.6 million in collaboration revenues.</w:t>
      </w:r>
    </w:p>
    <w:p>
      <w:pPr>
        <w:spacing w:after="0" w:line="2" w:lineRule="exact"/>
        <w:rPr>
          <w:rFonts w:ascii="Times New Roman" w:cs="Times New Roman" w:eastAsia="Times New Roman" w:hAnsi="Times New Roman"/>
          <w:sz w:val="19"/>
          <w:szCs w:val="19"/>
          <w:color w:val="auto"/>
        </w:rPr>
      </w:pPr>
    </w:p>
    <w:p>
      <w:pPr>
        <w:jc w:val="both"/>
        <w:ind w:left="540" w:right="359" w:hanging="331"/>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Cost of sales was $2.8 million for the first quarter of 2025, as compared to $3.2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quarter of 2024. The decrease was primarily due to lower sales to our collaboration partner offset by an increase in product sales volume.</w:t>
      </w:r>
    </w:p>
    <w:p>
      <w:pPr>
        <w:ind w:left="540" w:right="359" w:hanging="331"/>
        <w:spacing w:after="0" w:line="255" w:lineRule="auto"/>
        <w:tabs>
          <w:tab w:leader="none" w:pos="5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$91.9 million for the first quarter of 2025,</w:t>
      </w:r>
      <w:r>
        <w:rPr>
          <w:rFonts w:ascii="Arial" w:cs="Arial" w:eastAsia="Arial" w:hAnsi="Arial"/>
          <w:sz w:val="18"/>
          <w:szCs w:val="18"/>
          <w:b w:val="1"/>
          <w:bCs w:val="1"/>
          <w:color w:val="auto"/>
        </w:rPr>
        <w:t xml:space="preserve"> </w:t>
      </w:r>
      <w:r>
        <w:rPr>
          <w:rFonts w:ascii="Arial" w:cs="Arial" w:eastAsia="Arial" w:hAnsi="Arial"/>
          <w:sz w:val="18"/>
          <w:szCs w:val="18"/>
          <w:color w:val="auto"/>
        </w:rPr>
        <w:t>as compared to $88.2 million for the first quarter of 2024. This increase was primarily due to the increased investment in our priority programs to advance the associated clinical trials. Research and development expenses included $12.1 million in stock-based compensation expenses for the first quarter of 2025.</w:t>
      </w:r>
    </w:p>
    <w:p>
      <w:pPr>
        <w:spacing w:after="0" w:line="1" w:lineRule="exact"/>
        <w:rPr>
          <w:rFonts w:ascii="Times New Roman" w:cs="Times New Roman" w:eastAsia="Times New Roman" w:hAnsi="Times New Roman"/>
          <w:sz w:val="18"/>
          <w:szCs w:val="18"/>
          <w:color w:val="auto"/>
        </w:rPr>
      </w:pPr>
    </w:p>
    <w:p>
      <w:pPr>
        <w:ind w:left="540" w:right="239" w:hanging="331"/>
        <w:spacing w:after="0" w:line="247" w:lineRule="auto"/>
        <w:tabs>
          <w:tab w:leader="none" w:pos="5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SG&amp;A Expenses: </w:t>
      </w:r>
      <w:r>
        <w:rPr>
          <w:rFonts w:ascii="Arial" w:cs="Arial" w:eastAsia="Arial" w:hAnsi="Arial"/>
          <w:sz w:val="18"/>
          <w:szCs w:val="18"/>
          <w:color w:val="auto"/>
        </w:rPr>
        <w:t>Selling, general and administrative expenses were $95.8 million for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2025, as compared to $83.6 million for the first quarter of 2024. This increase was primarily due to an increase in activities supporting the commercialization of AYVAKIT/AYVAKYT. Selling, general, and administrative expenses included $16.9 million in stock-based compensation expenses for the first quarter of 2025.</w:t>
      </w:r>
    </w:p>
    <w:p>
      <w:pPr>
        <w:ind w:left="540" w:right="359" w:hanging="331"/>
        <w:spacing w:after="0" w:line="247" w:lineRule="auto"/>
        <w:tabs>
          <w:tab w:leader="none" w:pos="5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Net income was $0.5 million for the first quarter of 2025, as compared to a net income of</w:t>
      </w:r>
      <w:r>
        <w:rPr>
          <w:rFonts w:ascii="Arial" w:cs="Arial" w:eastAsia="Arial" w:hAnsi="Arial"/>
          <w:sz w:val="18"/>
          <w:szCs w:val="18"/>
          <w:b w:val="1"/>
          <w:bCs w:val="1"/>
          <w:color w:val="auto"/>
        </w:rPr>
        <w:t xml:space="preserve"> </w:t>
      </w:r>
      <w:r>
        <w:rPr>
          <w:rFonts w:ascii="Arial" w:cs="Arial" w:eastAsia="Arial" w:hAnsi="Arial"/>
          <w:sz w:val="18"/>
          <w:szCs w:val="18"/>
          <w:color w:val="auto"/>
        </w:rPr>
        <w:t>$89.1 million for the first quarter of 2024. The net income for the first quarter of 2025 was primarily driven by a one-time net gain of $50.0 million recorded in connection with the sale of the company’s equity investment in IDRx, Inc. following its acquisition by GSK plc. The net income for the first quarter of 2024 was primarily driven by a one-time non-cash debt extinguishment gain of $173.7 million recorded in connection with the Royalty Pharma termination agreement.</w:t>
      </w:r>
    </w:p>
    <w:p>
      <w:pPr>
        <w:spacing w:after="0" w:line="3" w:lineRule="exact"/>
        <w:rPr>
          <w:rFonts w:ascii="Times New Roman" w:cs="Times New Roman" w:eastAsia="Times New Roman" w:hAnsi="Times New Roman"/>
          <w:sz w:val="18"/>
          <w:szCs w:val="18"/>
          <w:color w:val="auto"/>
        </w:rPr>
      </w:pPr>
    </w:p>
    <w:p>
      <w:pPr>
        <w:ind w:left="540" w:right="299" w:hanging="331"/>
        <w:spacing w:after="0" w:line="249" w:lineRule="auto"/>
        <w:tabs>
          <w:tab w:leader="none" w:pos="5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March 31, 2025, cash, cash equivalents and investments were $899.8 million,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$863.9 million as of December 31, 2024.</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Conference Call Information</w:t>
      </w:r>
    </w:p>
    <w:p>
      <w:pPr>
        <w:spacing w:after="0" w:line="225" w:lineRule="exact"/>
        <w:rPr>
          <w:sz w:val="20"/>
          <w:szCs w:val="20"/>
          <w:color w:val="auto"/>
        </w:rPr>
      </w:pPr>
    </w:p>
    <w:p>
      <w:pPr>
        <w:ind w:left="200" w:right="299"/>
        <w:spacing w:after="0" w:line="254" w:lineRule="auto"/>
        <w:rPr>
          <w:sz w:val="20"/>
          <w:szCs w:val="20"/>
          <w:color w:val="auto"/>
        </w:rPr>
      </w:pPr>
      <w:r>
        <w:rPr>
          <w:rFonts w:ascii="Arial" w:cs="Arial" w:eastAsia="Arial" w:hAnsi="Arial"/>
          <w:sz w:val="18"/>
          <w:szCs w:val="18"/>
          <w:color w:val="auto"/>
        </w:rPr>
        <w:t>Blueprint Medicines will host a live conference call and webcast at 8:00 a.m. ET today to discuss first quarter 2025 financial results and recent business activities. The conference call may be accessed by dialing 833-470-1428 (domestic) or 404-975-4839 (international) and referring conference ID 082088. A webcast of the call will also be available under "Events and Presentations" in the Investors &amp; Media section of the Blueprint Medicines website at http://ir.blueprintmedicines.com/. The archived webcast will be available on Blueprint Medicines'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334645</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 w:name="page6"/>
    <w:bookmarkEnd w:id="5"/>
    <w:p>
      <w:pPr>
        <w:ind w:left="200"/>
        <w:spacing w:after="0"/>
        <w:rPr>
          <w:sz w:val="20"/>
          <w:szCs w:val="20"/>
          <w:color w:val="auto"/>
        </w:rPr>
      </w:pPr>
      <w:r>
        <w:rPr>
          <w:rFonts w:ascii="Arial" w:cs="Arial" w:eastAsia="Arial" w:hAnsi="Arial"/>
          <w:sz w:val="18"/>
          <w:szCs w:val="18"/>
          <w:color w:val="auto"/>
        </w:rPr>
        <w:t>approximately two hours after the conference call and will be available for 30 days following the call.</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Upcoming Investor Conferences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Blueprint Medicines will participate in two upcoming investor conferences:</w:t>
      </w:r>
    </w:p>
    <w:p>
      <w:pPr>
        <w:spacing w:after="0" w:line="27" w:lineRule="exact"/>
        <w:rPr>
          <w:sz w:val="20"/>
          <w:szCs w:val="20"/>
          <w:color w:val="auto"/>
        </w:rPr>
      </w:pPr>
    </w:p>
    <w:p>
      <w:pPr>
        <w:ind w:left="620" w:hanging="330"/>
        <w:spacing w:after="0"/>
        <w:tabs>
          <w:tab w:leader="none" w:pos="6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Citizens JMP Life Science Conference </w:t>
      </w:r>
      <w:r>
        <w:rPr>
          <w:rFonts w:ascii="Arial" w:cs="Arial" w:eastAsia="Arial" w:hAnsi="Arial"/>
          <w:sz w:val="18"/>
          <w:szCs w:val="18"/>
          <w:color w:val="auto"/>
        </w:rPr>
        <w:t>on Wednesday, May 7, 2025 at 12:00 p.m. ET.</w:t>
      </w:r>
    </w:p>
    <w:p>
      <w:pPr>
        <w:spacing w:after="0" w:line="8" w:lineRule="exact"/>
        <w:rPr>
          <w:rFonts w:ascii="Times New Roman" w:cs="Times New Roman" w:eastAsia="Times New Roman" w:hAnsi="Times New Roman"/>
          <w:sz w:val="18"/>
          <w:szCs w:val="18"/>
          <w:color w:val="auto"/>
        </w:rPr>
      </w:pPr>
    </w:p>
    <w:p>
      <w:pPr>
        <w:ind w:left="620" w:right="219" w:hanging="330"/>
        <w:spacing w:after="0" w:line="207" w:lineRule="auto"/>
        <w:tabs>
          <w:tab w:leader="none" w:pos="6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Goldman Sachs 46</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Annual Global Healthcare Conference </w:t>
      </w:r>
      <w:r>
        <w:rPr>
          <w:rFonts w:ascii="Arial" w:cs="Arial" w:eastAsia="Arial" w:hAnsi="Arial"/>
          <w:sz w:val="18"/>
          <w:szCs w:val="18"/>
          <w:color w:val="auto"/>
        </w:rPr>
        <w:t>on Wednesday, June 11, 2025 at 10:40</w:t>
      </w:r>
      <w:r>
        <w:rPr>
          <w:rFonts w:ascii="Arial" w:cs="Arial" w:eastAsia="Arial" w:hAnsi="Arial"/>
          <w:sz w:val="18"/>
          <w:szCs w:val="18"/>
          <w:b w:val="1"/>
          <w:bCs w:val="1"/>
          <w:color w:val="auto"/>
        </w:rPr>
        <w:t xml:space="preserve"> </w:t>
      </w:r>
      <w:r>
        <w:rPr>
          <w:rFonts w:ascii="Arial" w:cs="Arial" w:eastAsia="Arial" w:hAnsi="Arial"/>
          <w:sz w:val="18"/>
          <w:szCs w:val="18"/>
          <w:color w:val="auto"/>
        </w:rPr>
        <w:t>a.m. ET.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Scientific Webinar Series</w:t>
      </w:r>
    </w:p>
    <w:p>
      <w:pPr>
        <w:spacing w:after="0" w:line="225" w:lineRule="exact"/>
        <w:rPr>
          <w:sz w:val="20"/>
          <w:szCs w:val="20"/>
          <w:color w:val="auto"/>
        </w:rPr>
      </w:pPr>
    </w:p>
    <w:p>
      <w:pPr>
        <w:ind w:left="620" w:right="839" w:hanging="330"/>
        <w:spacing w:after="0" w:line="286" w:lineRule="auto"/>
        <w:tabs>
          <w:tab w:leader="none" w:pos="6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Blueprint Medicines will host the third event in its scientific seminar series, focused on mast cell activation syndrome (MCAS), on Wednesday, June 4, 2025 at 1:00 p.m. ET.</w:t>
      </w:r>
    </w:p>
    <w:p>
      <w:pPr>
        <w:spacing w:after="0" w:line="154" w:lineRule="exact"/>
        <w:rPr>
          <w:sz w:val="20"/>
          <w:szCs w:val="20"/>
          <w:color w:val="auto"/>
        </w:rPr>
      </w:pPr>
    </w:p>
    <w:p>
      <w:pPr>
        <w:ind w:left="200" w:right="819"/>
        <w:spacing w:after="0" w:line="257" w:lineRule="auto"/>
        <w:rPr>
          <w:sz w:val="20"/>
          <w:szCs w:val="20"/>
          <w:color w:val="auto"/>
        </w:rPr>
      </w:pPr>
      <w:r>
        <w:rPr>
          <w:rFonts w:ascii="Arial" w:cs="Arial" w:eastAsia="Arial" w:hAnsi="Arial"/>
          <w:sz w:val="18"/>
          <w:szCs w:val="18"/>
          <w:color w:val="auto"/>
        </w:rPr>
        <w:t>A live webcast of the above presentations and any related slides will be available under "Events and Presentations" in the Investors &amp; Media section of the Blueprint Medicines website at http://ir.blueprintmedicines.com. A replay of the webcasts will be archived on the Blueprint Medicines website following the events.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25" w:lineRule="exact"/>
        <w:rPr>
          <w:sz w:val="20"/>
          <w:szCs w:val="20"/>
          <w:color w:val="auto"/>
        </w:rPr>
      </w:pPr>
    </w:p>
    <w:p>
      <w:pPr>
        <w:ind w:left="200" w:right="239"/>
        <w:spacing w:after="0" w:line="251" w:lineRule="auto"/>
        <w:rPr>
          <w:sz w:val="20"/>
          <w:szCs w:val="20"/>
          <w:color w:val="auto"/>
        </w:rPr>
      </w:pPr>
      <w:r>
        <w:rPr>
          <w:rFonts w:ascii="Arial" w:cs="Arial" w:eastAsia="Arial" w:hAnsi="Arial"/>
          <w:sz w:val="18"/>
          <w:szCs w:val="18"/>
          <w:color w:val="auto"/>
        </w:rPr>
        <w:t xml:space="preserve">Blueprint Medicines is a global, fully integrated biopharmaceutical company that invents life-changing medicines. We seek to alleviate human suffering by solving important medical problems in two core focus areas: allergy/inflammation and oncology/hematology. Our approach begins by targeting the root causes of disease, using deep scientific knowledge in our core focus areas and drug discovery expertise across multiple therapeutic modalities. We have a track record of success with two approved medicines, including AYVAKIT®/AYVAKYT® (avapritinib) which we are bringing to patients with systemic mastocytosis (SM) in the U.S. and Europe. Leveraging our established research, development, and commercial capability and infrastructure, we now aim to significantly scale our impact by advancing a broad pipeline of programs ranging from early science to advanced clinical trials in mast cell diseases including SM and chronic urticaria, breast cancer and other solid tumors. For more information, visit www.BlueprintMedicines.com and follow us on X (formerly Twitter; @BlueprintMeds) and </w:t>
      </w:r>
      <w:r>
        <w:rPr>
          <w:rFonts w:ascii="Arial" w:cs="Arial" w:eastAsia="Arial" w:hAnsi="Arial"/>
          <w:sz w:val="18"/>
          <w:szCs w:val="18"/>
          <w:color w:val="0563C1"/>
        </w:rPr>
        <w:t>LinkedIn</w:t>
      </w:r>
      <w:r>
        <w:rPr>
          <w:rFonts w:ascii="Arial" w:cs="Arial" w:eastAsia="Arial" w:hAnsi="Arial"/>
          <w:sz w:val="18"/>
          <w:szCs w:val="18"/>
          <w:color w:val="auto"/>
        </w:rPr>
        <w:t>.</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ind w:left="200" w:right="299"/>
        <w:spacing w:after="0" w:line="249"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strategies, timelines and expectations for Blueprint Medicines’ operations, including its expectations regarding growth and net product revenue in 2025 and its 2030 net product revenue goal; its goals related to global reimbursement of AYVAKIT/ AYVAKYT; statements regarding its current or future approved drugs and drug candidates and operations, including plans to drive enrollment of HARBOR trial of elenestinib and initiate proof of concept studies of BLU-808 in allergic asthma and MCAS; expectations related to the markets for current or future approved drugs and drug candidates; its planned milestones for 2025; the potential benefits of any of its current or future approved drugs or drug candidates in treating patients; statements related to liquidity and capital position, including expectations that its cash, cash equivalents and investments together with anticipated product revenues, will provide sufficient capital to enable it to reach a self-sustainable financial profile; its statements regarding broader market volatility; and its financial performance, strategy, goals and anticipated milestones, business plans and focus, including expectations regarding its reduction in cash burn. The words "aim," "may," "will," "could," "would," "should," "expect," "plan," "anticipate," "intend," "believe," "estimate," "predict," "project," “opportunity,”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the risk that the marketing and sale of AYVAKIT/ AYVAKYT or any future approved drugs may be unsuccessful or less successful than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346710</wp:posOffset>
            </wp:positionV>
            <wp:extent cx="54521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200" w:right="239"/>
        <w:spacing w:after="0" w:line="249" w:lineRule="auto"/>
        <w:rPr>
          <w:sz w:val="20"/>
          <w:szCs w:val="20"/>
          <w:color w:val="auto"/>
        </w:rPr>
      </w:pPr>
      <w:r>
        <w:rPr>
          <w:rFonts w:ascii="Arial" w:cs="Arial" w:eastAsia="Arial" w:hAnsi="Arial"/>
          <w:sz w:val="18"/>
          <w:szCs w:val="18"/>
          <w:color w:val="auto"/>
        </w:rPr>
        <w:t>or that AYVAKIT/ AYVAKYT may not gain market acceptance by physicians, patients, third-party payors and others in the medical community; the risk that the market opportunities for AYVAKIT/ AYVAKYT or Blueprint Medicines’ drug candidates are smaller than we estimate or that any approval we obtain may be based on a narrower definition of the patient population that we anticipate; the risk of delay of any current or planned clinical trials or the development of Blueprint Medicines’ current or future drug candidates; risks related to Blueprint Medicines' ability to successfully demonstrate the safety and efficacy of its drug candidates and gain approval of its drug candidates on a timely basis, if at all; preclinical and clinical results for Blueprint Medicines' drug candidates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may be delayed or slower than anticipated; actions of regulatory agencies may affect its approved drugs or its current or future drug candidates, including affecting the initiation, timing and progress of clinical trials, as well as the pricing of its drug candidates; risks related to Blueprint Medicines' ability to obtain, maintain and enforce patent and other intellectual property protection for its products and current or future drug candidates it is developing; the success of Blueprint Medicines' current and future collaborations, financing arrangements, partnerships or licensing and other arrangements; risks related to its liquidity and financial position, including the risk that Blueprint Medicines may be unable to generate sufficient future product revenues to achieve and maintain a self-sustainable financial profile; and the accuracy of its estimates of revenues, expenses and capital requirements. These and other risks and uncertainties are described in greater detail in the section entitled "Risk Factors" in Blueprint</w:t>
      </w:r>
    </w:p>
    <w:p>
      <w:pPr>
        <w:spacing w:after="0" w:line="2" w:lineRule="exact"/>
        <w:rPr>
          <w:sz w:val="20"/>
          <w:szCs w:val="20"/>
          <w:color w:val="auto"/>
        </w:rPr>
      </w:pPr>
    </w:p>
    <w:p>
      <w:pPr>
        <w:ind w:left="200" w:right="259"/>
        <w:spacing w:after="0" w:line="250" w:lineRule="auto"/>
        <w:rPr>
          <w:sz w:val="20"/>
          <w:szCs w:val="20"/>
          <w:color w:val="auto"/>
        </w:rPr>
      </w:pPr>
      <w:r>
        <w:rPr>
          <w:rFonts w:ascii="Arial" w:cs="Arial" w:eastAsia="Arial" w:hAnsi="Arial"/>
          <w:sz w:val="18"/>
          <w:szCs w:val="18"/>
          <w:color w:val="auto"/>
        </w:rPr>
        <w:t>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5452110" cy="676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676910"/>
                    </a:xfrm>
                    <a:prstGeom prst="rect">
                      <a:avLst/>
                    </a:prstGeom>
                    <a:noFill/>
                  </pic:spPr>
                </pic:pic>
              </a:graphicData>
            </a:graphic>
          </wp:anchor>
        </w:drawing>
      </w:r>
    </w:p>
    <w:p>
      <w:pPr>
        <w:spacing w:after="0" w:line="205" w:lineRule="exact"/>
        <w:rPr>
          <w:sz w:val="20"/>
          <w:szCs w:val="20"/>
          <w:color w:val="auto"/>
        </w:rPr>
      </w:pPr>
    </w:p>
    <w:p>
      <w:pPr>
        <w:ind w:left="200" w:right="699"/>
        <w:spacing w:after="0" w:line="287" w:lineRule="auto"/>
        <w:rPr>
          <w:sz w:val="20"/>
          <w:szCs w:val="20"/>
          <w:color w:val="auto"/>
        </w:rPr>
      </w:pPr>
      <w:r>
        <w:rPr>
          <w:rFonts w:ascii="Arial" w:cs="Arial" w:eastAsia="Arial" w:hAnsi="Arial"/>
          <w:sz w:val="18"/>
          <w:szCs w:val="18"/>
          <w:color w:val="auto"/>
        </w:rPr>
        <w:t>Blueprint Medicines, AYVAKIT, AYVAKYT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597535</wp:posOffset>
            </wp:positionV>
            <wp:extent cx="54521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9"/>
        </w:trPr>
        <w:tc>
          <w:tcPr>
            <w:tcW w:w="5980" w:type="dxa"/>
            <w:vAlign w:val="bottom"/>
            <w:gridSpan w:val="2"/>
          </w:tcPr>
          <w:p>
            <w:pPr>
              <w:jc w:val="center"/>
              <w:ind w:left="3090"/>
              <w:spacing w:after="0"/>
              <w:rPr>
                <w:sz w:val="20"/>
                <w:szCs w:val="20"/>
                <w:color w:val="auto"/>
              </w:rPr>
            </w:pPr>
            <w:r>
              <w:rPr>
                <w:rFonts w:ascii="Arial" w:cs="Arial" w:eastAsia="Arial" w:hAnsi="Arial"/>
                <w:sz w:val="18"/>
                <w:szCs w:val="18"/>
                <w:b w:val="1"/>
                <w:bCs w:val="1"/>
                <w:color w:val="auto"/>
              </w:rPr>
              <w:t>Blueprint Medicines Corporation</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4"/>
          </w:tcPr>
          <w:p>
            <w:pPr>
              <w:jc w:val="center"/>
              <w:ind w:left="1630"/>
              <w:spacing w:after="0"/>
              <w:rPr>
                <w:sz w:val="20"/>
                <w:szCs w:val="20"/>
                <w:color w:val="auto"/>
              </w:rPr>
            </w:pPr>
            <w:r>
              <w:rPr>
                <w:rFonts w:ascii="Arial" w:cs="Arial" w:eastAsia="Arial" w:hAnsi="Arial"/>
                <w:sz w:val="18"/>
                <w:szCs w:val="18"/>
                <w:b w:val="1"/>
                <w:bCs w:val="1"/>
                <w:color w:val="auto"/>
                <w:w w:val="99"/>
              </w:rPr>
              <w:t>Selected Condensed Consolidated Balance Sheet Data</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00" w:type="dxa"/>
            <w:vAlign w:val="bottom"/>
          </w:tcPr>
          <w:p>
            <w:pPr>
              <w:jc w:val="center"/>
              <w:ind w:left="3670"/>
              <w:spacing w:after="0"/>
              <w:rPr>
                <w:sz w:val="20"/>
                <w:szCs w:val="20"/>
                <w:color w:val="auto"/>
              </w:rPr>
            </w:pPr>
            <w:r>
              <w:rPr>
                <w:rFonts w:ascii="Arial" w:cs="Arial" w:eastAsia="Arial" w:hAnsi="Arial"/>
                <w:sz w:val="18"/>
                <w:szCs w:val="18"/>
                <w:b w:val="1"/>
                <w:bCs w:val="1"/>
                <w:color w:val="auto"/>
                <w:w w:val="99"/>
              </w:rPr>
              <w:t>(in thousands)</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400" w:type="dxa"/>
            <w:vAlign w:val="bottom"/>
          </w:tcPr>
          <w:p>
            <w:pPr>
              <w:jc w:val="center"/>
              <w:ind w:left="3690"/>
              <w:spacing w:after="0"/>
              <w:rPr>
                <w:sz w:val="20"/>
                <w:szCs w:val="20"/>
                <w:color w:val="auto"/>
              </w:rPr>
            </w:pPr>
            <w:r>
              <w:rPr>
                <w:rFonts w:ascii="Arial" w:cs="Arial" w:eastAsia="Arial" w:hAnsi="Arial"/>
                <w:sz w:val="18"/>
                <w:szCs w:val="18"/>
                <w:b w:val="1"/>
                <w:bCs w:val="1"/>
                <w:i w:val="1"/>
                <w:iCs w:val="1"/>
                <w:color w:val="auto"/>
                <w:w w:val="99"/>
              </w:rPr>
              <w:t>(unaudited)</w:t>
            </w:r>
          </w:p>
        </w:tc>
        <w:tc>
          <w:tcPr>
            <w:tcW w:w="580" w:type="dxa"/>
            <w:vAlign w:val="bottom"/>
          </w:tcPr>
          <w:p>
            <w:pPr>
              <w:spacing w:after="0"/>
              <w:rPr>
                <w:sz w:val="21"/>
                <w:szCs w:val="21"/>
                <w:color w:val="auto"/>
              </w:rPr>
            </w:pPr>
          </w:p>
        </w:tc>
        <w:tc>
          <w:tcPr>
            <w:tcW w:w="14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March 31,</w:t>
            </w: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72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1"/>
        </w:trPr>
        <w:tc>
          <w:tcPr>
            <w:tcW w:w="540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20"/>
                <w:szCs w:val="20"/>
                <w:b w:val="1"/>
                <w:bCs w:val="1"/>
                <w:color w:val="auto"/>
              </w:rPr>
              <w:t>2025</w:t>
            </w:r>
          </w:p>
        </w:tc>
        <w:tc>
          <w:tcPr>
            <w:tcW w:w="160" w:type="dxa"/>
            <w:vAlign w:val="bottom"/>
            <w:tcBorders>
              <w:bottom w:val="single" w:sz="8" w:color="CCEEFF"/>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8"/>
                <w:szCs w:val="18"/>
                <w:color w:val="auto"/>
              </w:rPr>
              <w:t>899,784</w:t>
            </w: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863,937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Arial" w:cs="Arial" w:eastAsia="Arial" w:hAnsi="Arial"/>
                <w:sz w:val="18"/>
                <w:szCs w:val="18"/>
                <w:color w:val="auto"/>
              </w:rPr>
              <w:t>Working capital (1)</w:t>
            </w:r>
          </w:p>
        </w:tc>
        <w:tc>
          <w:tcPr>
            <w:tcW w:w="580" w:type="dxa"/>
            <w:vAlign w:val="bottom"/>
          </w:tcPr>
          <w:p>
            <w:pPr>
              <w:spacing w:after="0"/>
              <w:rPr>
                <w:sz w:val="20"/>
                <w:szCs w:val="20"/>
                <w:color w:val="auto"/>
              </w:rPr>
            </w:pPr>
          </w:p>
        </w:tc>
        <w:tc>
          <w:tcPr>
            <w:tcW w:w="1300" w:type="dxa"/>
            <w:vAlign w:val="bottom"/>
          </w:tcPr>
          <w:p>
            <w:pPr>
              <w:jc w:val="right"/>
              <w:ind w:right="108"/>
              <w:spacing w:after="0"/>
              <w:rPr>
                <w:sz w:val="20"/>
                <w:szCs w:val="20"/>
                <w:color w:val="auto"/>
              </w:rPr>
            </w:pPr>
            <w:r>
              <w:rPr>
                <w:rFonts w:ascii="Arial" w:cs="Arial" w:eastAsia="Arial" w:hAnsi="Arial"/>
                <w:sz w:val="18"/>
                <w:szCs w:val="18"/>
                <w:color w:val="auto"/>
              </w:rPr>
              <w:t>451,485</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481,882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8"/>
                <w:szCs w:val="18"/>
                <w:color w:val="auto"/>
              </w:rPr>
              <w:t>1,195,604</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1,179,813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Arial" w:cs="Arial" w:eastAsia="Arial" w:hAnsi="Arial"/>
                <w:sz w:val="18"/>
                <w:szCs w:val="18"/>
                <w:color w:val="auto"/>
              </w:rPr>
              <w:t>Deferred revenue (2)</w:t>
            </w:r>
          </w:p>
        </w:tc>
        <w:tc>
          <w:tcPr>
            <w:tcW w:w="580" w:type="dxa"/>
            <w:vAlign w:val="bottom"/>
          </w:tcPr>
          <w:p>
            <w:pPr>
              <w:spacing w:after="0"/>
              <w:rPr>
                <w:sz w:val="20"/>
                <w:szCs w:val="20"/>
                <w:color w:val="auto"/>
              </w:rPr>
            </w:pPr>
          </w:p>
        </w:tc>
        <w:tc>
          <w:tcPr>
            <w:tcW w:w="1300" w:type="dxa"/>
            <w:vAlign w:val="bottom"/>
          </w:tcPr>
          <w:p>
            <w:pPr>
              <w:jc w:val="right"/>
              <w:ind w:right="68"/>
              <w:spacing w:after="0"/>
              <w:rPr>
                <w:sz w:val="20"/>
                <w:szCs w:val="20"/>
                <w:color w:val="auto"/>
              </w:rPr>
            </w:pPr>
            <w:r>
              <w:rPr>
                <w:rFonts w:ascii="Arial" w:cs="Arial" w:eastAsia="Arial" w:hAnsi="Arial"/>
                <w:sz w:val="18"/>
                <w:szCs w:val="18"/>
                <w:color w:val="auto"/>
              </w:rPr>
              <w:t>10,316</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10,198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 related to the sale of future royalties and revenues (2)</w:t>
            </w:r>
          </w:p>
        </w:tc>
        <w:tc>
          <w:tcPr>
            <w:tcW w:w="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8"/>
                <w:szCs w:val="18"/>
                <w:color w:val="auto"/>
              </w:rPr>
              <w:t>246,632</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255,174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Arial" w:cs="Arial" w:eastAsia="Arial" w:hAnsi="Arial"/>
                <w:sz w:val="18"/>
                <w:szCs w:val="18"/>
                <w:color w:val="auto"/>
              </w:rPr>
              <w:t>Term loan (2)</w:t>
            </w:r>
          </w:p>
        </w:tc>
        <w:tc>
          <w:tcPr>
            <w:tcW w:w="580" w:type="dxa"/>
            <w:vAlign w:val="bottom"/>
          </w:tcPr>
          <w:p>
            <w:pPr>
              <w:spacing w:after="0"/>
              <w:rPr>
                <w:sz w:val="20"/>
                <w:szCs w:val="20"/>
                <w:color w:val="auto"/>
              </w:rPr>
            </w:pPr>
          </w:p>
        </w:tc>
        <w:tc>
          <w:tcPr>
            <w:tcW w:w="1300" w:type="dxa"/>
            <w:vAlign w:val="bottom"/>
          </w:tcPr>
          <w:p>
            <w:pPr>
              <w:jc w:val="right"/>
              <w:ind w:right="68"/>
              <w:spacing w:after="0"/>
              <w:rPr>
                <w:sz w:val="20"/>
                <w:szCs w:val="20"/>
                <w:color w:val="auto"/>
              </w:rPr>
            </w:pPr>
            <w:r>
              <w:rPr>
                <w:rFonts w:ascii="Arial" w:cs="Arial" w:eastAsia="Arial" w:hAnsi="Arial"/>
                <w:sz w:val="18"/>
                <w:szCs w:val="18"/>
                <w:color w:val="auto"/>
              </w:rPr>
              <w:t>387,746</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386,970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8"/>
                <w:szCs w:val="18"/>
                <w:color w:val="auto"/>
              </w:rPr>
              <w:t>853,473</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881,148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80" w:type="dxa"/>
            <w:vAlign w:val="bottom"/>
          </w:tcPr>
          <w:p>
            <w:pPr>
              <w:spacing w:after="0"/>
              <w:rPr>
                <w:sz w:val="20"/>
                <w:szCs w:val="20"/>
                <w:color w:val="auto"/>
              </w:rPr>
            </w:pPr>
          </w:p>
        </w:tc>
        <w:tc>
          <w:tcPr>
            <w:tcW w:w="1300" w:type="dxa"/>
            <w:vAlign w:val="bottom"/>
          </w:tcPr>
          <w:p>
            <w:pPr>
              <w:jc w:val="right"/>
              <w:ind w:right="108"/>
              <w:spacing w:after="0"/>
              <w:rPr>
                <w:sz w:val="20"/>
                <w:szCs w:val="20"/>
                <w:color w:val="auto"/>
              </w:rPr>
            </w:pPr>
            <w:r>
              <w:rPr>
                <w:rFonts w:ascii="Arial" w:cs="Arial" w:eastAsia="Arial" w:hAnsi="Arial"/>
                <w:sz w:val="18"/>
                <w:szCs w:val="18"/>
                <w:color w:val="auto"/>
              </w:rPr>
              <w:t>342,131</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298,665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660" w:hanging="37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Blueprint Medicines defines working capital as current assets less current liabilities.</w:t>
      </w:r>
    </w:p>
    <w:p>
      <w:pPr>
        <w:spacing w:after="0" w:line="27" w:lineRule="exact"/>
        <w:rPr>
          <w:rFonts w:ascii="Arial" w:cs="Arial" w:eastAsia="Arial" w:hAnsi="Arial"/>
          <w:sz w:val="18"/>
          <w:szCs w:val="18"/>
          <w:color w:val="auto"/>
        </w:rPr>
      </w:pPr>
    </w:p>
    <w:p>
      <w:pPr>
        <w:ind w:left="620" w:hanging="331"/>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both current and long-term portions of the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494665</wp:posOffset>
            </wp:positionV>
            <wp:extent cx="5452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140"/>
          </w:cols>
          <w:pgMar w:left="1360" w:top="337" w:right="1399" w:bottom="1440" w:gutter="0" w:footer="0" w:header="0"/>
        </w:sectPr>
      </w:pPr>
    </w:p>
    <w:bookmarkStart w:id="8" w:name="page9"/>
    <w:bookmarkEnd w:id="8"/>
    <w:p>
      <w:pPr>
        <w:jc w:val="center"/>
        <w:ind w:left="1920" w:right="1600"/>
        <w:spacing w:after="0" w:line="268" w:lineRule="auto"/>
        <w:rPr>
          <w:sz w:val="20"/>
          <w:szCs w:val="20"/>
          <w:color w:val="auto"/>
        </w:rPr>
      </w:pPr>
      <w:r>
        <w:rPr>
          <w:rFonts w:ascii="Arial" w:cs="Arial" w:eastAsia="Arial" w:hAnsi="Arial"/>
          <w:sz w:val="18"/>
          <w:szCs w:val="18"/>
          <w:b w:val="1"/>
          <w:bCs w:val="1"/>
          <w:color w:val="auto"/>
        </w:rPr>
        <w:t xml:space="preserve">Blueprint Medicines Corporation Condensed Consolidated Statements of Operations Data (in thousands, except per share data) </w:t>
      </w:r>
      <w:r>
        <w:rPr>
          <w:rFonts w:ascii="Arial" w:cs="Arial" w:eastAsia="Arial" w:hAnsi="Arial"/>
          <w:sz w:val="18"/>
          <w:szCs w:val="18"/>
          <w:b w:val="1"/>
          <w:bCs w:val="1"/>
          <w:i w:val="1"/>
          <w:iCs w:val="1"/>
          <w:color w:val="auto"/>
        </w:rPr>
        <w:t>(unaudited)</w:t>
      </w:r>
    </w:p>
    <w:p>
      <w:pPr>
        <w:spacing w:after="0" w:line="37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4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8"/>
        </w:trPr>
        <w:tc>
          <w:tcPr>
            <w:tcW w:w="48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8"/>
              </w:rPr>
              <w:t>March 31,</w:t>
            </w: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56"/>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800" w:type="dxa"/>
            <w:vAlign w:val="bottom"/>
          </w:tcPr>
          <w:p>
            <w:pPr>
              <w:ind w:left="380"/>
              <w:spacing w:after="0"/>
              <w:rPr>
                <w:sz w:val="20"/>
                <w:szCs w:val="20"/>
                <w:color w:val="auto"/>
              </w:rPr>
            </w:pPr>
            <w:r>
              <w:rPr>
                <w:rFonts w:ascii="Arial" w:cs="Arial" w:eastAsia="Arial" w:hAnsi="Arial"/>
                <w:sz w:val="18"/>
                <w:szCs w:val="18"/>
                <w:color w:val="auto"/>
              </w:rPr>
              <w:t>Product revenue, net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149,413</w:t>
            </w:r>
          </w:p>
        </w:tc>
        <w:tc>
          <w:tcPr>
            <w:tcW w:w="9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92,525</w:t>
            </w:r>
          </w:p>
        </w:tc>
        <w:tc>
          <w:tcPr>
            <w:tcW w:w="0" w:type="dxa"/>
            <w:vAlign w:val="bottom"/>
          </w:tcPr>
          <w:p>
            <w:pPr>
              <w:spacing w:after="0"/>
              <w:rPr>
                <w:sz w:val="1"/>
                <w:szCs w:val="1"/>
                <w:color w:val="auto"/>
              </w:rPr>
            </w:pPr>
          </w:p>
        </w:tc>
      </w:tr>
      <w:tr>
        <w:trPr>
          <w:trHeight w:val="261"/>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Collaboration, license, and other revenue</w:t>
            </w: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34"/>
        </w:trPr>
        <w:tc>
          <w:tcPr>
            <w:tcW w:w="480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149,413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96,116</w:t>
            </w:r>
          </w:p>
        </w:tc>
        <w:tc>
          <w:tcPr>
            <w:tcW w:w="0" w:type="dxa"/>
            <w:vAlign w:val="bottom"/>
          </w:tcPr>
          <w:p>
            <w:pPr>
              <w:spacing w:after="0"/>
              <w:rPr>
                <w:sz w:val="1"/>
                <w:szCs w:val="1"/>
                <w:color w:val="auto"/>
              </w:rPr>
            </w:pPr>
          </w:p>
        </w:tc>
      </w:tr>
      <w:tr>
        <w:trPr>
          <w:trHeight w:val="259"/>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and operating expenses:</w:t>
            </w: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800" w:type="dxa"/>
            <w:vAlign w:val="bottom"/>
          </w:tcPr>
          <w:p>
            <w:pPr>
              <w:ind w:left="38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61"/>
        </w:trPr>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88,191</w:t>
            </w:r>
          </w:p>
        </w:tc>
        <w:tc>
          <w:tcPr>
            <w:tcW w:w="0" w:type="dxa"/>
            <w:vAlign w:val="bottom"/>
          </w:tcPr>
          <w:p>
            <w:pPr>
              <w:spacing w:after="0"/>
              <w:rPr>
                <w:sz w:val="1"/>
                <w:szCs w:val="1"/>
                <w:color w:val="auto"/>
              </w:rPr>
            </w:pPr>
          </w:p>
        </w:tc>
      </w:tr>
      <w:tr>
        <w:trPr>
          <w:trHeight w:val="252"/>
        </w:trPr>
        <w:tc>
          <w:tcPr>
            <w:tcW w:w="48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95,807</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83,557</w:t>
            </w:r>
          </w:p>
        </w:tc>
        <w:tc>
          <w:tcPr>
            <w:tcW w:w="0" w:type="dxa"/>
            <w:vAlign w:val="bottom"/>
          </w:tcPr>
          <w:p>
            <w:pPr>
              <w:spacing w:after="0"/>
              <w:rPr>
                <w:sz w:val="1"/>
                <w:szCs w:val="1"/>
                <w:color w:val="auto"/>
              </w:rPr>
            </w:pPr>
          </w:p>
        </w:tc>
      </w:tr>
      <w:tr>
        <w:trPr>
          <w:trHeight w:val="241"/>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cost and operating expenses</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190,499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174,939</w:t>
            </w:r>
          </w:p>
        </w:tc>
        <w:tc>
          <w:tcPr>
            <w:tcW w:w="0" w:type="dxa"/>
            <w:vAlign w:val="bottom"/>
          </w:tcPr>
          <w:p>
            <w:pPr>
              <w:spacing w:after="0"/>
              <w:rPr>
                <w:sz w:val="1"/>
                <w:szCs w:val="1"/>
                <w:color w:val="auto"/>
              </w:rPr>
            </w:pPr>
          </w:p>
        </w:tc>
      </w:tr>
      <w:tr>
        <w:trPr>
          <w:trHeight w:val="252"/>
        </w:trPr>
        <w:tc>
          <w:tcPr>
            <w:tcW w:w="4800" w:type="dxa"/>
            <w:vAlign w:val="bottom"/>
          </w:tcPr>
          <w:p>
            <w:pPr>
              <w:ind w:left="8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52"/>
        </w:trPr>
        <w:tc>
          <w:tcPr>
            <w:tcW w:w="4800" w:type="dxa"/>
            <w:vAlign w:val="bottom"/>
          </w:tcPr>
          <w:p>
            <w:pPr>
              <w:ind w:left="30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61"/>
        </w:trPr>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Equity investment gain</w:t>
            </w: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48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Debt extinguishment gain</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173,658</w:t>
            </w:r>
          </w:p>
        </w:tc>
        <w:tc>
          <w:tcPr>
            <w:tcW w:w="0" w:type="dxa"/>
            <w:vAlign w:val="bottom"/>
          </w:tcPr>
          <w:p>
            <w:pPr>
              <w:spacing w:after="0"/>
              <w:rPr>
                <w:sz w:val="1"/>
                <w:szCs w:val="1"/>
                <w:color w:val="auto"/>
              </w:rPr>
            </w:pPr>
          </w:p>
        </w:tc>
      </w:tr>
      <w:tr>
        <w:trPr>
          <w:trHeight w:val="241"/>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42,371</w:t>
            </w: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168,139</w:t>
            </w:r>
          </w:p>
        </w:tc>
        <w:tc>
          <w:tcPr>
            <w:tcW w:w="0" w:type="dxa"/>
            <w:vAlign w:val="bottom"/>
          </w:tcPr>
          <w:p>
            <w:pPr>
              <w:spacing w:after="0"/>
              <w:rPr>
                <w:sz w:val="1"/>
                <w:szCs w:val="1"/>
                <w:color w:val="auto"/>
              </w:rPr>
            </w:pPr>
          </w:p>
        </w:tc>
      </w:tr>
      <w:tr>
        <w:trPr>
          <w:trHeight w:val="234"/>
        </w:trPr>
        <w:tc>
          <w:tcPr>
            <w:tcW w:w="4800" w:type="dxa"/>
            <w:vAlign w:val="bottom"/>
          </w:tcPr>
          <w:p>
            <w:pPr>
              <w:ind w:left="8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89,316</w:t>
            </w:r>
          </w:p>
        </w:tc>
        <w:tc>
          <w:tcPr>
            <w:tcW w:w="0" w:type="dxa"/>
            <w:vAlign w:val="bottom"/>
          </w:tcPr>
          <w:p>
            <w:pPr>
              <w:spacing w:after="0"/>
              <w:rPr>
                <w:sz w:val="1"/>
                <w:szCs w:val="1"/>
                <w:color w:val="auto"/>
              </w:rPr>
            </w:pPr>
          </w:p>
        </w:tc>
      </w:tr>
      <w:tr>
        <w:trPr>
          <w:trHeight w:val="259"/>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63"/>
        </w:trPr>
        <w:tc>
          <w:tcPr>
            <w:tcW w:w="48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89,136</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income per share — basic</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80"/>
              <w:spacing w:after="0"/>
              <w:rPr>
                <w:sz w:val="20"/>
                <w:szCs w:val="20"/>
                <w:color w:val="auto"/>
              </w:rPr>
            </w:pPr>
            <w:r>
              <w:rPr>
                <w:rFonts w:ascii="Arial" w:cs="Arial" w:eastAsia="Arial" w:hAnsi="Arial"/>
                <w:sz w:val="18"/>
                <w:szCs w:val="18"/>
                <w:color w:val="auto"/>
              </w:rPr>
              <w:t>Net income per share — diluted</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vMerge w:val="continue"/>
          </w:tcPr>
          <w:p>
            <w:pPr>
              <w:spacing w:after="0"/>
              <w:rPr>
                <w:sz w:val="21"/>
                <w:szCs w:val="21"/>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CCEEFF"/>
            </w:tcBorders>
            <w:vMerge w:val="continue"/>
          </w:tcPr>
          <w:p>
            <w:pPr>
              <w:spacing w:after="0"/>
              <w:rPr>
                <w:sz w:val="21"/>
                <w:szCs w:val="21"/>
                <w:color w:val="auto"/>
              </w:rPr>
            </w:pP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64"/>
        </w:trPr>
        <w:tc>
          <w:tcPr>
            <w:tcW w:w="4800" w:type="dxa"/>
            <w:vAlign w:val="bottom"/>
            <w:shd w:val="clear" w:color="auto" w:fill="CCEEFF"/>
          </w:tcPr>
          <w:p>
            <w:pPr>
              <w:ind w:left="80"/>
              <w:spacing w:after="0" w:line="164" w:lineRule="exact"/>
              <w:rPr>
                <w:sz w:val="20"/>
                <w:szCs w:val="20"/>
                <w:color w:val="auto"/>
              </w:rPr>
            </w:pPr>
            <w:r>
              <w:rPr>
                <w:rFonts w:ascii="Arial" w:cs="Arial" w:eastAsia="Arial" w:hAnsi="Arial"/>
                <w:sz w:val="18"/>
                <w:szCs w:val="18"/>
                <w:color w:val="auto"/>
              </w:rPr>
              <w:t>Weighted-average number of common shares used</w:t>
            </w:r>
          </w:p>
        </w:tc>
        <w:tc>
          <w:tcPr>
            <w:tcW w:w="3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64,096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61,580</w:t>
            </w:r>
          </w:p>
        </w:tc>
        <w:tc>
          <w:tcPr>
            <w:tcW w:w="0" w:type="dxa"/>
            <w:vAlign w:val="bottom"/>
          </w:tcPr>
          <w:p>
            <w:pPr>
              <w:spacing w:after="0"/>
              <w:rPr>
                <w:sz w:val="1"/>
                <w:szCs w:val="1"/>
                <w:color w:val="auto"/>
              </w:rPr>
            </w:pPr>
          </w:p>
        </w:tc>
      </w:tr>
      <w:tr>
        <w:trPr>
          <w:trHeight w:val="235"/>
        </w:trPr>
        <w:tc>
          <w:tcPr>
            <w:tcW w:w="4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 net income per share — basic</w:t>
            </w: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80"/>
              <w:spacing w:after="0" w:line="204" w:lineRule="exact"/>
              <w:rPr>
                <w:sz w:val="20"/>
                <w:szCs w:val="20"/>
                <w:color w:val="auto"/>
              </w:rPr>
            </w:pPr>
            <w:r>
              <w:rPr>
                <w:rFonts w:ascii="Arial" w:cs="Arial" w:eastAsia="Arial" w:hAnsi="Arial"/>
                <w:sz w:val="18"/>
                <w:szCs w:val="18"/>
                <w:color w:val="auto"/>
              </w:rPr>
              <w:t>Weighted-average number of common shares used</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66,526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63,802</w:t>
            </w:r>
          </w:p>
        </w:tc>
        <w:tc>
          <w:tcPr>
            <w:tcW w:w="0" w:type="dxa"/>
            <w:vAlign w:val="bottom"/>
          </w:tcPr>
          <w:p>
            <w:pPr>
              <w:spacing w:after="0"/>
              <w:rPr>
                <w:sz w:val="1"/>
                <w:szCs w:val="1"/>
                <w:color w:val="auto"/>
              </w:rPr>
            </w:pPr>
          </w:p>
        </w:tc>
      </w:tr>
      <w:tr>
        <w:trPr>
          <w:trHeight w:val="235"/>
        </w:trPr>
        <w:tc>
          <w:tcPr>
            <w:tcW w:w="4800" w:type="dxa"/>
            <w:vAlign w:val="bottom"/>
          </w:tcPr>
          <w:p>
            <w:pPr>
              <w:ind w:left="320"/>
              <w:spacing w:after="0"/>
              <w:rPr>
                <w:sz w:val="20"/>
                <w:szCs w:val="20"/>
                <w:color w:val="auto"/>
              </w:rPr>
            </w:pPr>
            <w:r>
              <w:rPr>
                <w:rFonts w:ascii="Arial" w:cs="Arial" w:eastAsia="Arial" w:hAnsi="Arial"/>
                <w:sz w:val="18"/>
                <w:szCs w:val="18"/>
                <w:color w:val="auto"/>
              </w:rPr>
              <w:t>in net income per share —diluted</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Media Contact</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Andrew Law</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617-844-8205</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u w:val="single" w:color="auto"/>
          <w:color w:val="0563C1"/>
        </w:rPr>
        <w:t>media@blueprintmedicines.com</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Investor Contact</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Jenna Cohen</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857-209-3147</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22"/>
          <w:szCs w:val="22"/>
          <w:u w:val="single" w:color="auto"/>
          <w:color w:val="0563C1"/>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340995</wp:posOffset>
            </wp:positionV>
            <wp:extent cx="54521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2025-05-01T06:16:32Z</dcterms:created>
  <dcterms:modified xsi:type="dcterms:W3CDTF">2025-05-01T06:16:32Z</dcterms:modified>
</cp:coreProperties>
</file>