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2392680</wp:posOffset>
            </wp:positionH>
            <wp:positionV relativeFrom="paragraph">
              <wp:posOffset>193040</wp:posOffset>
            </wp:positionV>
            <wp:extent cx="160718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7185" cy="762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2392680</wp:posOffset>
            </wp:positionH>
            <wp:positionV relativeFrom="paragraph">
              <wp:posOffset>208915</wp:posOffset>
            </wp:positionV>
            <wp:extent cx="160718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7185"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Pursuant to Section 13 or 15(d)</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June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2392680</wp:posOffset>
            </wp:positionH>
            <wp:positionV relativeFrom="paragraph">
              <wp:posOffset>204470</wp:posOffset>
            </wp:positionV>
            <wp:extent cx="160718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7185" cy="762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Blueprint Medicines Corporation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2392680</wp:posOffset>
            </wp:positionH>
            <wp:positionV relativeFrom="paragraph">
              <wp:posOffset>193040</wp:posOffset>
            </wp:positionV>
            <wp:extent cx="160718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7185" cy="7620"/>
                    </a:xfrm>
                    <a:prstGeom prst="rect">
                      <a:avLst/>
                    </a:prstGeom>
                    <a:noFill/>
                  </pic:spPr>
                </pic:pic>
              </a:graphicData>
            </a:graphic>
          </wp:anchor>
        </w:drawing>
      </w:r>
    </w:p>
    <w:p>
      <w:pPr>
        <w:sectPr>
          <w:pgSz w:w="11900" w:h="16838" w:orient="portrait"/>
          <w:cols w:equalWidth="0" w:num="1">
            <w:col w:w="10080"/>
          </w:cols>
          <w:pgMar w:left="920" w:top="199" w:right="8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4"/>
          <w:szCs w:val="14"/>
          <w:color w:val="auto"/>
        </w:rPr>
        <w:t>(State or other jurisdiction</w:t>
      </w:r>
    </w:p>
    <w:p>
      <w:pPr>
        <w:spacing w:after="0" w:line="35" w:lineRule="exact"/>
        <w:rPr>
          <w:sz w:val="24"/>
          <w:szCs w:val="24"/>
          <w:color w:val="auto"/>
        </w:rPr>
      </w:pPr>
    </w:p>
    <w:p>
      <w:pPr>
        <w:ind w:left="106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001-37359</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26-3632015</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6"/>
          <w:szCs w:val="16"/>
          <w:color w:val="auto"/>
        </w:rPr>
        <w:t>(I.R.S. Employer</w:t>
      </w:r>
    </w:p>
    <w:p>
      <w:pPr>
        <w:spacing w:after="0" w:line="12" w:lineRule="exact"/>
        <w:rPr>
          <w:sz w:val="24"/>
          <w:szCs w:val="24"/>
          <w:color w:val="auto"/>
        </w:rPr>
      </w:pPr>
    </w:p>
    <w:p>
      <w:pPr>
        <w:jc w:val="center"/>
        <w:ind w:right="1000"/>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3420" w:space="720"/>
            <w:col w:w="3000" w:space="720"/>
            <w:col w:w="2220"/>
          </w:cols>
          <w:pgMar w:left="920" w:top="199" w:right="899" w:bottom="1440" w:gutter="0" w:footer="0" w:header="0"/>
          <w:type w:val="continuous"/>
        </w:sectPr>
      </w:pPr>
    </w:p>
    <w:p>
      <w:pPr>
        <w:spacing w:after="0" w:line="285"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45 Sidney Street</w:t>
      </w:r>
    </w:p>
    <w:p>
      <w:pPr>
        <w:spacing w:after="0" w:line="27" w:lineRule="exact"/>
        <w:rPr>
          <w:sz w:val="24"/>
          <w:szCs w:val="24"/>
          <w:color w:val="auto"/>
        </w:rPr>
      </w:pPr>
    </w:p>
    <w:p>
      <w:pPr>
        <w:jc w:val="center"/>
        <w:ind w:right="1580"/>
        <w:spacing w:after="0"/>
        <w:rPr>
          <w:sz w:val="20"/>
          <w:szCs w:val="20"/>
          <w:color w:val="auto"/>
        </w:rPr>
      </w:pPr>
      <w:r>
        <w:rPr>
          <w:rFonts w:ascii="Arial" w:cs="Arial" w:eastAsia="Arial" w:hAnsi="Arial"/>
          <w:sz w:val="16"/>
          <w:szCs w:val="16"/>
          <w:b w:val="1"/>
          <w:bCs w:val="1"/>
          <w:color w:val="auto"/>
        </w:rPr>
        <w:t>Cambridge, Massachusetts</w:t>
      </w:r>
    </w:p>
    <w:p>
      <w:pPr>
        <w:spacing w:after="0" w:line="12" w:lineRule="exact"/>
        <w:rPr>
          <w:sz w:val="24"/>
          <w:szCs w:val="24"/>
          <w:color w:val="auto"/>
        </w:rPr>
      </w:pPr>
    </w:p>
    <w:p>
      <w:pPr>
        <w:jc w:val="center"/>
        <w:ind w:right="158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1"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02139</w:t>
      </w:r>
    </w:p>
    <w:p>
      <w:pPr>
        <w:spacing w:after="0" w:line="27" w:lineRule="exact"/>
        <w:rPr>
          <w:sz w:val="24"/>
          <w:szCs w:val="24"/>
          <w:color w:val="auto"/>
        </w:rPr>
      </w:pPr>
    </w:p>
    <w:p>
      <w:pPr>
        <w:jc w:val="center"/>
        <w:ind w:right="2120"/>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6520" w:space="720"/>
            <w:col w:w="2840"/>
          </w:cols>
          <w:pgMar w:left="920" w:top="199" w:right="89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(617) 374-7580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2392680</wp:posOffset>
            </wp:positionH>
            <wp:positionV relativeFrom="paragraph">
              <wp:posOffset>77470</wp:posOffset>
            </wp:positionV>
            <wp:extent cx="160718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7185" cy="1524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right="200" w:firstLine="587"/>
        <w:spacing w:after="0" w:line="285"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880" w:hanging="303"/>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6"/>
          <w:szCs w:val="16"/>
          <w:color w:val="auto"/>
        </w:rPr>
      </w:pPr>
    </w:p>
    <w:p>
      <w:pPr>
        <w:ind w:left="880" w:hanging="303"/>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1" w:lineRule="exact"/>
        <w:rPr>
          <w:rFonts w:ascii="Arial" w:cs="Arial" w:eastAsia="Arial" w:hAnsi="Arial"/>
          <w:sz w:val="16"/>
          <w:szCs w:val="16"/>
          <w:color w:val="auto"/>
        </w:rPr>
      </w:pPr>
    </w:p>
    <w:p>
      <w:pPr>
        <w:ind w:left="880" w:hanging="303"/>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 w:lineRule="exact"/>
        <w:rPr>
          <w:rFonts w:ascii="Arial" w:cs="Arial" w:eastAsia="Arial" w:hAnsi="Arial"/>
          <w:sz w:val="16"/>
          <w:szCs w:val="16"/>
          <w:color w:val="auto"/>
        </w:rPr>
      </w:pPr>
    </w:p>
    <w:p>
      <w:pPr>
        <w:ind w:left="880" w:hanging="303"/>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6" w:lineRule="exact"/>
        <w:rPr>
          <w:sz w:val="24"/>
          <w:szCs w:val="24"/>
          <w:color w:val="auto"/>
        </w:rPr>
      </w:pPr>
    </w:p>
    <w:p>
      <w:pPr>
        <w:ind w:right="60" w:firstLine="587"/>
        <w:spacing w:after="0" w:line="28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0" w:lineRule="exact"/>
        <w:rPr>
          <w:sz w:val="24"/>
          <w:szCs w:val="24"/>
          <w:color w:val="auto"/>
        </w:rPr>
      </w:pPr>
    </w:p>
    <w:p>
      <w:pPr>
        <w:ind w:left="6120"/>
        <w:spacing w:after="0" w:line="184" w:lineRule="exact"/>
        <w:tabs>
          <w:tab w:leader="none" w:pos="804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37" w:lineRule="exact"/>
        <w:rPr>
          <w:sz w:val="24"/>
          <w:szCs w:val="24"/>
          <w:color w:val="auto"/>
        </w:rPr>
      </w:pPr>
    </w:p>
    <w:p>
      <w:pPr>
        <w:ind w:right="60" w:firstLine="587"/>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Securities registered pursuant to Section 12(b) of the Exchange Act:</w:t>
      </w:r>
    </w:p>
    <w:p>
      <w:pPr>
        <w:spacing w:after="0" w:line="114" w:lineRule="exact"/>
        <w:rPr>
          <w:sz w:val="24"/>
          <w:szCs w:val="24"/>
          <w:color w:val="auto"/>
        </w:rPr>
      </w:pPr>
    </w:p>
    <w:tbl>
      <w:tblPr>
        <w:tblLayout w:type="fixed"/>
        <w:tblInd w:w="10" w:type="dxa"/>
        <w:tblCellMar>
          <w:top w:w="0" w:type="dxa"/>
          <w:left w:w="0" w:type="dxa"/>
          <w:bottom w:w="0" w:type="dxa"/>
          <w:right w:w="0" w:type="dxa"/>
        </w:tblCellMar>
      </w:tblPr>
      <w:tr>
        <w:trPr>
          <w:trHeight w:val="208"/>
        </w:trPr>
        <w:tc>
          <w:tcPr>
            <w:tcW w:w="39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2000" w:type="dxa"/>
            <w:vAlign w:val="bottom"/>
            <w:tcBorders>
              <w:top w:val="single" w:sz="8" w:color="auto"/>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Trading symbol(s)</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88"/>
        </w:trPr>
        <w:tc>
          <w:tcPr>
            <w:tcW w:w="39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200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5"/>
              </w:rPr>
              <w:t>BPMC</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Nasdaq Global Select Market</w:t>
            </w:r>
          </w:p>
        </w:tc>
      </w:tr>
      <w:tr>
        <w:trPr>
          <w:trHeight w:val="681"/>
        </w:trPr>
        <w:tc>
          <w:tcPr>
            <w:tcW w:w="3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10080"/>
          </w:cols>
          <w:pgMar w:left="920" w:top="199" w:right="899" w:bottom="1440" w:gutter="0" w:footer="0" w:header="0"/>
          <w:type w:val="continuous"/>
        </w:sectPr>
      </w:pPr>
    </w:p>
    <w:bookmarkStart w:id="1" w:name="page2"/>
    <w:bookmarkEnd w:id="1"/>
    <w:p>
      <w:pPr>
        <w:ind w:left="140"/>
        <w:spacing w:after="0"/>
        <w:tabs>
          <w:tab w:leader="none" w:pos="940" w:val="left"/>
        </w:tabs>
        <w:rPr>
          <w:sz w:val="20"/>
          <w:szCs w:val="20"/>
          <w:color w:val="auto"/>
        </w:rPr>
      </w:pPr>
      <w:r>
        <w:rPr>
          <w:rFonts w:ascii="Arial" w:cs="Arial" w:eastAsia="Arial" w:hAnsi="Arial"/>
          <w:sz w:val="16"/>
          <w:szCs w:val="16"/>
          <w:b w:val="1"/>
          <w:bCs w:val="1"/>
          <w:color w:val="auto"/>
        </w:rPr>
        <w:t>Item 7.01</w:t>
      </w:r>
      <w:r>
        <w:rPr>
          <w:sz w:val="20"/>
          <w:szCs w:val="20"/>
          <w:color w:val="auto"/>
        </w:rPr>
        <w:tab/>
      </w:r>
      <w:r>
        <w:rPr>
          <w:rFonts w:ascii="Arial" w:cs="Arial" w:eastAsia="Arial" w:hAnsi="Arial"/>
          <w:sz w:val="14"/>
          <w:szCs w:val="14"/>
          <w:b w:val="1"/>
          <w:bCs w:val="1"/>
          <w:color w:val="auto"/>
        </w:rPr>
        <w:t>Regulation FD Disclosure.</w:t>
      </w:r>
    </w:p>
    <w:p>
      <w:pPr>
        <w:spacing w:after="0" w:line="211" w:lineRule="exact"/>
        <w:rPr>
          <w:sz w:val="20"/>
          <w:szCs w:val="20"/>
          <w:color w:val="auto"/>
        </w:rPr>
      </w:pPr>
    </w:p>
    <w:p>
      <w:pPr>
        <w:ind w:left="140" w:right="159" w:firstLine="587"/>
        <w:spacing w:after="0" w:line="261" w:lineRule="auto"/>
        <w:rPr>
          <w:sz w:val="20"/>
          <w:szCs w:val="20"/>
          <w:color w:val="auto"/>
        </w:rPr>
      </w:pPr>
      <w:r>
        <w:rPr>
          <w:rFonts w:ascii="Arial" w:cs="Arial" w:eastAsia="Arial" w:hAnsi="Arial"/>
          <w:sz w:val="16"/>
          <w:szCs w:val="16"/>
          <w:color w:val="auto"/>
        </w:rPr>
        <w:t>On June 1, 2019, Blueprint Medicines Corporation (the “Company”) issued a press release announcing updated data from its Phase 1 NAVIGATOR clinical trial evaluating avapritinib for the treatment of patients with advanced gastrointestinal stromal tumors (“GIST”). The data were presented on Saturday, June 1, 2019 in a poster presentation at the American Society of Clinical Oncology 2019 Annual Meeting (“ASCO Annual Meeting”) in Chicago, Illinois. A copy of the press release is furnished as Exhibit 99.1 to this Current Report on Form 8-K, and a copy of the presentation is furnished as Exhibit 99.2 to this Current Report on Form 8-K.</w:t>
      </w:r>
    </w:p>
    <w:p>
      <w:pPr>
        <w:spacing w:after="0" w:line="169" w:lineRule="exact"/>
        <w:rPr>
          <w:sz w:val="20"/>
          <w:szCs w:val="20"/>
          <w:color w:val="auto"/>
        </w:rPr>
      </w:pPr>
    </w:p>
    <w:p>
      <w:pPr>
        <w:ind w:left="140" w:right="199" w:firstLine="587"/>
        <w:spacing w:after="0" w:line="279" w:lineRule="auto"/>
        <w:rPr>
          <w:sz w:val="20"/>
          <w:szCs w:val="20"/>
          <w:color w:val="auto"/>
        </w:rPr>
      </w:pPr>
      <w:r>
        <w:rPr>
          <w:rFonts w:ascii="Arial" w:cs="Arial" w:eastAsia="Arial" w:hAnsi="Arial"/>
          <w:sz w:val="15"/>
          <w:szCs w:val="15"/>
          <w:color w:val="auto"/>
        </w:rPr>
        <w:t>On June 3, 2019, the Company issued a press release announcing updated data from its Phase 1 ARROW clinical trial evaluating BLU-667 for the treatment of patients with RET-altered non-small cell cancer (“NSCLC”), medullary thyroid cancer (“MTC”) and other advanced solid tumors. The data for patients with RET-mutant MTC and other RET-altered cancers were presented on Saturday, June 1, 2019 in a poster presentation at the ASCO Annual Meeting. The data for patients with RET-fusion NSCLC will be presented on Monday, June 3, 2019 in an oral presentation at the ASCO Annual Meeting. A copy of the press release is furnished as Exhibit 99.3 to this Current Report on Form 8-K, a copy of the presentation for patients with RET-mutant MTC and other RET-altered cancers is furnished as Exhibit 99.4 to this Current Report on Form 8-K and a copy of the presentation for patients with RET-fusion NSCLC is furnished as Exhibit 99.5 to this Current Report on Form 8-K.</w:t>
      </w:r>
    </w:p>
    <w:p>
      <w:pPr>
        <w:spacing w:after="0" w:line="157" w:lineRule="exact"/>
        <w:rPr>
          <w:sz w:val="20"/>
          <w:szCs w:val="20"/>
          <w:color w:val="auto"/>
        </w:rPr>
      </w:pPr>
    </w:p>
    <w:p>
      <w:pPr>
        <w:ind w:left="140" w:right="179" w:firstLine="587"/>
        <w:spacing w:after="0" w:line="262" w:lineRule="auto"/>
        <w:rPr>
          <w:sz w:val="20"/>
          <w:szCs w:val="20"/>
          <w:color w:val="auto"/>
        </w:rPr>
      </w:pPr>
      <w:r>
        <w:rPr>
          <w:rFonts w:ascii="Arial" w:cs="Arial" w:eastAsia="Arial" w:hAnsi="Arial"/>
          <w:sz w:val="16"/>
          <w:szCs w:val="16"/>
          <w:color w:val="auto"/>
        </w:rPr>
        <w:t>The information in Item 7.01 of this Current Report on Form 8-K, including Exhibits 99.1, 99.2, 99.3, 99.4 and 99.5,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66" w:lineRule="exact"/>
        <w:rPr>
          <w:sz w:val="20"/>
          <w:szCs w:val="20"/>
          <w:color w:val="auto"/>
        </w:rPr>
      </w:pPr>
    </w:p>
    <w:p>
      <w:pPr>
        <w:ind w:left="140"/>
        <w:spacing w:after="0"/>
        <w:tabs>
          <w:tab w:leader="none" w:pos="940"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11"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520" w:type="dxa"/>
            <w:vAlign w:val="bottom"/>
            <w:gridSpan w:val="3"/>
          </w:tcPr>
          <w:p>
            <w:pPr>
              <w:spacing w:after="0"/>
              <w:rPr>
                <w:sz w:val="20"/>
                <w:szCs w:val="20"/>
                <w:color w:val="auto"/>
              </w:rPr>
            </w:pPr>
            <w:r>
              <w:rPr>
                <w:rFonts w:ascii="Arial" w:cs="Arial" w:eastAsia="Arial" w:hAnsi="Arial"/>
                <w:sz w:val="16"/>
                <w:szCs w:val="16"/>
                <w:color w:val="auto"/>
              </w:rPr>
              <w:t>(d) Exhibits.</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03"/>
        </w:trPr>
        <w:tc>
          <w:tcPr>
            <w:tcW w:w="2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6"/>
                <w:szCs w:val="16"/>
                <w:b w:val="1"/>
                <w:bCs w:val="1"/>
                <w:color w:val="auto"/>
              </w:rPr>
              <w:t>Exhibit No.</w:t>
            </w:r>
          </w:p>
        </w:tc>
        <w:tc>
          <w:tcPr>
            <w:tcW w:w="100" w:type="dxa"/>
            <w:vAlign w:val="bottom"/>
          </w:tcPr>
          <w:p>
            <w:pPr>
              <w:spacing w:after="0"/>
              <w:rPr>
                <w:sz w:val="24"/>
                <w:szCs w:val="24"/>
                <w:color w:val="auto"/>
              </w:rPr>
            </w:pPr>
          </w:p>
        </w:tc>
        <w:tc>
          <w:tcPr>
            <w:tcW w:w="7120" w:type="dxa"/>
            <w:vAlign w:val="bottom"/>
            <w:gridSpan w:val="8"/>
          </w:tcPr>
          <w:p>
            <w:pPr>
              <w:spacing w:after="0"/>
              <w:rPr>
                <w:sz w:val="20"/>
                <w:szCs w:val="20"/>
                <w:color w:val="auto"/>
              </w:rPr>
            </w:pPr>
            <w:r>
              <w:rPr>
                <w:rFonts w:ascii="Arial" w:cs="Arial" w:eastAsia="Arial" w:hAnsi="Arial"/>
                <w:sz w:val="16"/>
                <w:szCs w:val="16"/>
                <w:b w:val="1"/>
                <w:bCs w:val="1"/>
                <w:color w:val="auto"/>
              </w:rPr>
              <w:t>Description</w:t>
            </w:r>
          </w:p>
        </w:tc>
      </w:tr>
      <w:tr>
        <w:trPr>
          <w:trHeight w:val="152"/>
        </w:trPr>
        <w:tc>
          <w:tcPr>
            <w:tcW w:w="20" w:type="dxa"/>
            <w:vAlign w:val="bottom"/>
          </w:tcPr>
          <w:p>
            <w:pPr>
              <w:spacing w:after="0"/>
              <w:rPr>
                <w:sz w:val="13"/>
                <w:szCs w:val="13"/>
                <w:color w:val="auto"/>
              </w:rPr>
            </w:pPr>
          </w:p>
        </w:tc>
        <w:tc>
          <w:tcPr>
            <w:tcW w:w="1240" w:type="dxa"/>
            <w:vAlign w:val="bottom"/>
            <w:tcBorders>
              <w:top w:val="single" w:sz="8" w:color="auto"/>
            </w:tcBorders>
          </w:tcPr>
          <w:p>
            <w:pPr>
              <w:ind w:left="80"/>
              <w:spacing w:after="0" w:line="152" w:lineRule="exact"/>
              <w:rPr>
                <w:sz w:val="20"/>
                <w:szCs w:val="20"/>
                <w:color w:val="auto"/>
              </w:rPr>
            </w:pPr>
            <w:r>
              <w:rPr>
                <w:rFonts w:ascii="Arial" w:cs="Arial" w:eastAsia="Arial" w:hAnsi="Arial"/>
                <w:sz w:val="16"/>
                <w:szCs w:val="16"/>
                <w:color w:val="auto"/>
              </w:rPr>
              <w:t>99.1</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780" w:type="dxa"/>
            <w:vAlign w:val="bottom"/>
            <w:tcBorders>
              <w:top w:val="single" w:sz="8" w:color="auto"/>
              <w:bottom w:val="single" w:sz="8" w:color="0000EE"/>
            </w:tcBorders>
            <w:gridSpan w:val="4"/>
          </w:tcPr>
          <w:p>
            <w:pPr>
              <w:spacing w:after="0" w:line="152" w:lineRule="exact"/>
              <w:rPr>
                <w:rFonts w:ascii="Arial" w:cs="Arial" w:eastAsia="Arial" w:hAnsi="Arial"/>
                <w:sz w:val="16"/>
                <w:szCs w:val="16"/>
                <w:color w:val="0000EE"/>
                <w:w w:val="91"/>
              </w:rPr>
            </w:pPr>
            <w:hyperlink w:anchor="page4">
              <w:r>
                <w:rPr>
                  <w:rFonts w:ascii="Arial" w:cs="Arial" w:eastAsia="Arial" w:hAnsi="Arial"/>
                  <w:sz w:val="16"/>
                  <w:szCs w:val="16"/>
                  <w:color w:val="0000EE"/>
                  <w:w w:val="91"/>
                </w:rPr>
                <w:t>Press release issued by Blueprint Medicines Corporation on June 1, 2019</w:t>
              </w:r>
            </w:hyperlink>
          </w:p>
        </w:tc>
        <w:tc>
          <w:tcPr>
            <w:tcW w:w="2340" w:type="dxa"/>
            <w:vAlign w:val="bottom"/>
            <w:tcBorders>
              <w:top w:val="single" w:sz="8" w:color="auto"/>
            </w:tcBorders>
            <w:gridSpan w:val="4"/>
          </w:tcPr>
          <w:p>
            <w:pPr>
              <w:spacing w:after="0"/>
              <w:rPr>
                <w:sz w:val="13"/>
                <w:szCs w:val="13"/>
                <w:color w:val="auto"/>
              </w:rPr>
            </w:pPr>
          </w:p>
        </w:tc>
      </w:tr>
      <w:tr>
        <w:trPr>
          <w:trHeight w:val="176"/>
        </w:trPr>
        <w:tc>
          <w:tcPr>
            <w:tcW w:w="1260" w:type="dxa"/>
            <w:vAlign w:val="bottom"/>
            <w:gridSpan w:val="2"/>
          </w:tcPr>
          <w:p>
            <w:pPr>
              <w:ind w:left="100"/>
              <w:spacing w:after="0" w:line="176" w:lineRule="exact"/>
              <w:rPr>
                <w:sz w:val="20"/>
                <w:szCs w:val="20"/>
                <w:color w:val="auto"/>
              </w:rPr>
            </w:pPr>
            <w:r>
              <w:rPr>
                <w:rFonts w:ascii="Arial" w:cs="Arial" w:eastAsia="Arial" w:hAnsi="Arial"/>
                <w:sz w:val="16"/>
                <w:szCs w:val="16"/>
                <w:color w:val="auto"/>
              </w:rPr>
              <w:t>99.2</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20" w:type="dxa"/>
            <w:vAlign w:val="bottom"/>
            <w:tcBorders>
              <w:bottom w:val="single" w:sz="8" w:color="0000EE"/>
            </w:tcBorders>
            <w:gridSpan w:val="6"/>
          </w:tcPr>
          <w:p>
            <w:pPr>
              <w:spacing w:after="0" w:line="176" w:lineRule="exact"/>
              <w:rPr>
                <w:rFonts w:ascii="Arial" w:cs="Arial" w:eastAsia="Arial" w:hAnsi="Arial"/>
                <w:sz w:val="16"/>
                <w:szCs w:val="16"/>
                <w:color w:val="0000EE"/>
                <w:w w:val="93"/>
              </w:rPr>
            </w:pPr>
            <w:hyperlink w:anchor="page9">
              <w:r>
                <w:rPr>
                  <w:rFonts w:ascii="Arial" w:cs="Arial" w:eastAsia="Arial" w:hAnsi="Arial"/>
                  <w:sz w:val="16"/>
                  <w:szCs w:val="16"/>
                  <w:color w:val="0000EE"/>
                  <w:w w:val="93"/>
                </w:rPr>
                <w:t>Presentation by Blueprint Medicines Corporation for avapritinib in advanced GIST at the ASCO Annual</w:t>
              </w:r>
            </w:hyperlink>
          </w:p>
        </w:tc>
        <w:tc>
          <w:tcPr>
            <w:tcW w:w="300" w:type="dxa"/>
            <w:vAlign w:val="bottom"/>
            <w:gridSpan w:val="2"/>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20" w:type="dxa"/>
            <w:vAlign w:val="bottom"/>
            <w:gridSpan w:val="8"/>
          </w:tcPr>
          <w:p>
            <w:pPr>
              <w:spacing w:after="0" w:line="176" w:lineRule="exact"/>
              <w:rPr>
                <w:rFonts w:ascii="Arial" w:cs="Arial" w:eastAsia="Arial" w:hAnsi="Arial"/>
                <w:sz w:val="16"/>
                <w:szCs w:val="16"/>
                <w:color w:val="0000EE"/>
              </w:rPr>
            </w:pPr>
            <w:hyperlink w:anchor="page9">
              <w:r>
                <w:rPr>
                  <w:rFonts w:ascii="Arial" w:cs="Arial" w:eastAsia="Arial" w:hAnsi="Arial"/>
                  <w:sz w:val="16"/>
                  <w:szCs w:val="16"/>
                  <w:color w:val="0000EE"/>
                </w:rPr>
                <w:t>Meeting on June 1, 2019</w:t>
              </w:r>
            </w:hyperlink>
          </w:p>
        </w:tc>
      </w:tr>
      <w:tr>
        <w:trPr>
          <w:trHeight w:val="20"/>
        </w:trPr>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260" w:type="dxa"/>
            <w:vAlign w:val="bottom"/>
            <w:gridSpan w:val="2"/>
          </w:tcPr>
          <w:p>
            <w:pPr>
              <w:ind w:left="100"/>
              <w:spacing w:after="0" w:line="176" w:lineRule="exact"/>
              <w:rPr>
                <w:sz w:val="20"/>
                <w:szCs w:val="20"/>
                <w:color w:val="auto"/>
              </w:rPr>
            </w:pPr>
            <w:r>
              <w:rPr>
                <w:rFonts w:ascii="Arial" w:cs="Arial" w:eastAsia="Arial" w:hAnsi="Arial"/>
                <w:sz w:val="16"/>
                <w:szCs w:val="16"/>
                <w:color w:val="auto"/>
              </w:rPr>
              <w:t>99.3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80" w:type="dxa"/>
            <w:vAlign w:val="bottom"/>
            <w:tcBorders>
              <w:bottom w:val="single" w:sz="8" w:color="0000EE"/>
            </w:tcBorders>
            <w:gridSpan w:val="4"/>
          </w:tcPr>
          <w:p>
            <w:pPr>
              <w:spacing w:after="0" w:line="176" w:lineRule="exact"/>
              <w:rPr>
                <w:rFonts w:ascii="Arial" w:cs="Arial" w:eastAsia="Arial" w:hAnsi="Arial"/>
                <w:sz w:val="16"/>
                <w:szCs w:val="16"/>
                <w:color w:val="0000EE"/>
                <w:w w:val="91"/>
              </w:rPr>
            </w:pPr>
            <w:hyperlink w:anchor="page10">
              <w:r>
                <w:rPr>
                  <w:rFonts w:ascii="Arial" w:cs="Arial" w:eastAsia="Arial" w:hAnsi="Arial"/>
                  <w:sz w:val="16"/>
                  <w:szCs w:val="16"/>
                  <w:color w:val="0000EE"/>
                  <w:w w:val="91"/>
                </w:rPr>
                <w:t>Press release issued by Blueprint Medicines Corporation on June 3, 2019</w:t>
              </w:r>
            </w:hyperlink>
          </w:p>
        </w:tc>
        <w:tc>
          <w:tcPr>
            <w:tcW w:w="2340" w:type="dxa"/>
            <w:vAlign w:val="bottom"/>
            <w:gridSpan w:val="4"/>
          </w:tcPr>
          <w:p>
            <w:pPr>
              <w:spacing w:after="0"/>
              <w:rPr>
                <w:sz w:val="15"/>
                <w:szCs w:val="15"/>
                <w:color w:val="auto"/>
              </w:rPr>
            </w:pPr>
          </w:p>
        </w:tc>
      </w:tr>
      <w:tr>
        <w:trPr>
          <w:trHeight w:val="176"/>
        </w:trPr>
        <w:tc>
          <w:tcPr>
            <w:tcW w:w="1260" w:type="dxa"/>
            <w:vAlign w:val="bottom"/>
            <w:gridSpan w:val="2"/>
          </w:tcPr>
          <w:p>
            <w:pPr>
              <w:ind w:left="100"/>
              <w:spacing w:after="0" w:line="176" w:lineRule="exact"/>
              <w:rPr>
                <w:sz w:val="20"/>
                <w:szCs w:val="20"/>
                <w:color w:val="auto"/>
              </w:rPr>
            </w:pPr>
            <w:r>
              <w:rPr>
                <w:rFonts w:ascii="Arial" w:cs="Arial" w:eastAsia="Arial" w:hAnsi="Arial"/>
                <w:sz w:val="16"/>
                <w:szCs w:val="16"/>
                <w:color w:val="auto"/>
              </w:rPr>
              <w:t>99.4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0" w:type="dxa"/>
            <w:vAlign w:val="bottom"/>
            <w:tcBorders>
              <w:bottom w:val="single" w:sz="8" w:color="0000EE"/>
            </w:tcBorders>
            <w:gridSpan w:val="7"/>
          </w:tcPr>
          <w:p>
            <w:pPr>
              <w:spacing w:after="0" w:line="176" w:lineRule="exact"/>
              <w:rPr>
                <w:rFonts w:ascii="Arial" w:cs="Arial" w:eastAsia="Arial" w:hAnsi="Arial"/>
                <w:sz w:val="16"/>
                <w:szCs w:val="16"/>
                <w:color w:val="0000EE"/>
                <w:w w:val="93"/>
              </w:rPr>
            </w:pPr>
            <w:hyperlink w:anchor="page16">
              <w:r>
                <w:rPr>
                  <w:rFonts w:ascii="Arial" w:cs="Arial" w:eastAsia="Arial" w:hAnsi="Arial"/>
                  <w:sz w:val="16"/>
                  <w:szCs w:val="16"/>
                  <w:color w:val="0000EE"/>
                  <w:w w:val="93"/>
                </w:rPr>
                <w:t>Presentation by Blueprint Medicines Corporation for BLU-667 in RET-mutant MTC and other RET-altered</w:t>
              </w:r>
            </w:hyperlink>
          </w:p>
        </w:tc>
        <w:tc>
          <w:tcPr>
            <w:tcW w:w="12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20" w:type="dxa"/>
            <w:vAlign w:val="bottom"/>
            <w:gridSpan w:val="8"/>
          </w:tcPr>
          <w:p>
            <w:pPr>
              <w:spacing w:after="0" w:line="176" w:lineRule="exact"/>
              <w:rPr>
                <w:rFonts w:ascii="Arial" w:cs="Arial" w:eastAsia="Arial" w:hAnsi="Arial"/>
                <w:sz w:val="16"/>
                <w:szCs w:val="16"/>
                <w:color w:val="0000EE"/>
              </w:rPr>
            </w:pPr>
            <w:hyperlink w:anchor="page16">
              <w:r>
                <w:rPr>
                  <w:rFonts w:ascii="Arial" w:cs="Arial" w:eastAsia="Arial" w:hAnsi="Arial"/>
                  <w:sz w:val="16"/>
                  <w:szCs w:val="16"/>
                  <w:color w:val="0000EE"/>
                </w:rPr>
                <w:t>cancers at the ASCO Annual Meeting on June 1, 2019</w:t>
              </w:r>
            </w:hyperlink>
          </w:p>
        </w:tc>
      </w:tr>
      <w:tr>
        <w:trPr>
          <w:trHeight w:val="20"/>
        </w:trPr>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176"/>
        </w:trPr>
        <w:tc>
          <w:tcPr>
            <w:tcW w:w="1260" w:type="dxa"/>
            <w:vAlign w:val="bottom"/>
            <w:gridSpan w:val="2"/>
          </w:tcPr>
          <w:p>
            <w:pPr>
              <w:ind w:left="100"/>
              <w:spacing w:after="0" w:line="176" w:lineRule="exact"/>
              <w:rPr>
                <w:sz w:val="20"/>
                <w:szCs w:val="20"/>
                <w:color w:val="auto"/>
              </w:rPr>
            </w:pPr>
            <w:r>
              <w:rPr>
                <w:rFonts w:ascii="Arial" w:cs="Arial" w:eastAsia="Arial" w:hAnsi="Arial"/>
                <w:sz w:val="16"/>
                <w:szCs w:val="16"/>
                <w:color w:val="auto"/>
              </w:rPr>
              <w:t>99.5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520" w:type="dxa"/>
            <w:vAlign w:val="bottom"/>
            <w:tcBorders>
              <w:bottom w:val="single" w:sz="8" w:color="0000EE"/>
            </w:tcBorders>
            <w:gridSpan w:val="5"/>
          </w:tcPr>
          <w:p>
            <w:pPr>
              <w:spacing w:after="0" w:line="176" w:lineRule="exact"/>
              <w:rPr>
                <w:rFonts w:ascii="Arial" w:cs="Arial" w:eastAsia="Arial" w:hAnsi="Arial"/>
                <w:sz w:val="16"/>
                <w:szCs w:val="16"/>
                <w:color w:val="0000EE"/>
                <w:w w:val="94"/>
              </w:rPr>
            </w:pPr>
            <w:hyperlink w:anchor="page17">
              <w:r>
                <w:rPr>
                  <w:rFonts w:ascii="Arial" w:cs="Arial" w:eastAsia="Arial" w:hAnsi="Arial"/>
                  <w:sz w:val="16"/>
                  <w:szCs w:val="16"/>
                  <w:color w:val="0000EE"/>
                  <w:w w:val="94"/>
                </w:rPr>
                <w:t>Presentation by Blueprint Medicines Corporation for BLU-667 in RET-fusion NSCLC at the ASCO</w:t>
              </w:r>
            </w:hyperlink>
          </w:p>
        </w:tc>
        <w:tc>
          <w:tcPr>
            <w:tcW w:w="600" w:type="dxa"/>
            <w:vAlign w:val="bottom"/>
            <w:gridSpan w:val="3"/>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120" w:type="dxa"/>
            <w:vAlign w:val="bottom"/>
            <w:gridSpan w:val="8"/>
          </w:tcPr>
          <w:p>
            <w:pPr>
              <w:spacing w:after="0" w:line="176" w:lineRule="exact"/>
              <w:rPr>
                <w:rFonts w:ascii="Arial" w:cs="Arial" w:eastAsia="Arial" w:hAnsi="Arial"/>
                <w:sz w:val="16"/>
                <w:szCs w:val="16"/>
                <w:color w:val="0000EE"/>
              </w:rPr>
            </w:pPr>
            <w:hyperlink w:anchor="page17">
              <w:r>
                <w:rPr>
                  <w:rFonts w:ascii="Arial" w:cs="Arial" w:eastAsia="Arial" w:hAnsi="Arial"/>
                  <w:sz w:val="16"/>
                  <w:szCs w:val="16"/>
                  <w:color w:val="0000EE"/>
                </w:rPr>
                <w:t>Annual Meeting on June 3, 2019</w:t>
              </w:r>
            </w:hyperlink>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325755</wp:posOffset>
            </wp:positionV>
            <wp:extent cx="555117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11" w:lineRule="exact"/>
        <w:rPr>
          <w:sz w:val="20"/>
          <w:szCs w:val="20"/>
          <w:color w:val="auto"/>
        </w:rPr>
      </w:pPr>
    </w:p>
    <w:p>
      <w:pPr>
        <w:ind w:left="140" w:right="279" w:firstLine="587"/>
        <w:spacing w:after="0" w:line="28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54" w:lineRule="exact"/>
        <w:rPr>
          <w:sz w:val="20"/>
          <w:szCs w:val="20"/>
          <w:color w:val="auto"/>
        </w:rPr>
      </w:pPr>
    </w:p>
    <w:tbl>
      <w:tblPr>
        <w:tblLayout w:type="fixed"/>
        <w:tblInd w:w="140" w:type="dxa"/>
        <w:tblCellMar>
          <w:top w:w="0" w:type="dxa"/>
          <w:left w:w="0" w:type="dxa"/>
          <w:bottom w:w="0" w:type="dxa"/>
          <w:right w:w="0" w:type="dxa"/>
        </w:tblCellMar>
      </w:tblPr>
      <w:tr>
        <w:trPr>
          <w:trHeight w:val="211"/>
        </w:trPr>
        <w:tc>
          <w:tcPr>
            <w:tcW w:w="2780" w:type="dxa"/>
            <w:vAlign w:val="bottom"/>
          </w:tcPr>
          <w:p>
            <w:pPr>
              <w:spacing w:after="0"/>
              <w:rPr>
                <w:sz w:val="18"/>
                <w:szCs w:val="18"/>
                <w:color w:val="auto"/>
              </w:rPr>
            </w:pPr>
          </w:p>
        </w:tc>
        <w:tc>
          <w:tcPr>
            <w:tcW w:w="5560" w:type="dxa"/>
            <w:vAlign w:val="bottom"/>
            <w:gridSpan w:val="2"/>
          </w:tcPr>
          <w:p>
            <w:pPr>
              <w:ind w:left="1600"/>
              <w:spacing w:after="0"/>
              <w:rPr>
                <w:sz w:val="20"/>
                <w:szCs w:val="20"/>
                <w:color w:val="auto"/>
              </w:rPr>
            </w:pPr>
            <w:r>
              <w:rPr>
                <w:rFonts w:ascii="Arial" w:cs="Arial" w:eastAsia="Arial" w:hAnsi="Arial"/>
                <w:sz w:val="16"/>
                <w:szCs w:val="16"/>
                <w:b w:val="1"/>
                <w:bCs w:val="1"/>
                <w:color w:val="auto"/>
              </w:rPr>
              <w:t>BLUEPRINT MEDICINES CORPORATION</w:t>
            </w:r>
          </w:p>
        </w:tc>
        <w:tc>
          <w:tcPr>
            <w:tcW w:w="400" w:type="dxa"/>
            <w:vAlign w:val="bottom"/>
          </w:tcPr>
          <w:p>
            <w:pPr>
              <w:spacing w:after="0"/>
              <w:rPr>
                <w:sz w:val="18"/>
                <w:szCs w:val="18"/>
                <w:color w:val="auto"/>
              </w:rPr>
            </w:pPr>
          </w:p>
        </w:tc>
      </w:tr>
      <w:tr>
        <w:trPr>
          <w:trHeight w:val="575"/>
        </w:trPr>
        <w:tc>
          <w:tcPr>
            <w:tcW w:w="2780" w:type="dxa"/>
            <w:vAlign w:val="bottom"/>
          </w:tcPr>
          <w:p>
            <w:pPr>
              <w:spacing w:after="0"/>
              <w:rPr>
                <w:sz w:val="20"/>
                <w:szCs w:val="20"/>
                <w:color w:val="auto"/>
              </w:rPr>
            </w:pPr>
            <w:r>
              <w:rPr>
                <w:rFonts w:ascii="Arial" w:cs="Arial" w:eastAsia="Arial" w:hAnsi="Arial"/>
                <w:sz w:val="16"/>
                <w:szCs w:val="16"/>
                <w:color w:val="auto"/>
              </w:rPr>
              <w:t>Date: June 3, 2019</w:t>
            </w:r>
          </w:p>
        </w:tc>
        <w:tc>
          <w:tcPr>
            <w:tcW w:w="5560" w:type="dxa"/>
            <w:vAlign w:val="bottom"/>
            <w:gridSpan w:val="2"/>
          </w:tcPr>
          <w:p>
            <w:pPr>
              <w:ind w:left="1600"/>
              <w:spacing w:after="0"/>
              <w:rPr>
                <w:sz w:val="20"/>
                <w:szCs w:val="20"/>
                <w:color w:val="auto"/>
              </w:rPr>
            </w:pPr>
            <w:r>
              <w:rPr>
                <w:rFonts w:ascii="Arial" w:cs="Arial" w:eastAsia="Arial" w:hAnsi="Arial"/>
                <w:sz w:val="16"/>
                <w:szCs w:val="16"/>
                <w:color w:val="auto"/>
              </w:rPr>
              <w:t>By:  /s/ Tracey L.</w:t>
            </w:r>
          </w:p>
        </w:tc>
        <w:tc>
          <w:tcPr>
            <w:tcW w:w="400" w:type="dxa"/>
            <w:vAlign w:val="bottom"/>
          </w:tcPr>
          <w:p>
            <w:pPr>
              <w:spacing w:after="0"/>
              <w:rPr>
                <w:sz w:val="24"/>
                <w:szCs w:val="24"/>
                <w:color w:val="auto"/>
              </w:rPr>
            </w:pPr>
          </w:p>
        </w:tc>
      </w:tr>
      <w:tr>
        <w:trPr>
          <w:trHeight w:val="207"/>
        </w:trPr>
        <w:tc>
          <w:tcPr>
            <w:tcW w:w="2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McCain</w:t>
            </w:r>
          </w:p>
        </w:tc>
        <w:tc>
          <w:tcPr>
            <w:tcW w:w="400" w:type="dxa"/>
            <w:vAlign w:val="bottom"/>
          </w:tcPr>
          <w:p>
            <w:pPr>
              <w:spacing w:after="0"/>
              <w:rPr>
                <w:sz w:val="18"/>
                <w:szCs w:val="18"/>
                <w:color w:val="auto"/>
              </w:rPr>
            </w:pPr>
          </w:p>
        </w:tc>
      </w:tr>
      <w:tr>
        <w:trPr>
          <w:trHeight w:val="197"/>
        </w:trPr>
        <w:tc>
          <w:tcPr>
            <w:tcW w:w="27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r>
        <w:trPr>
          <w:trHeight w:val="175"/>
        </w:trPr>
        <w:tc>
          <w:tcPr>
            <w:tcW w:w="27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00" w:type="dxa"/>
            <w:vAlign w:val="bottom"/>
          </w:tcPr>
          <w:p>
            <w:pPr>
              <w:spacing w:after="0" w:line="175" w:lineRule="exact"/>
              <w:rPr>
                <w:sz w:val="20"/>
                <w:szCs w:val="20"/>
                <w:color w:val="auto"/>
              </w:rPr>
            </w:pPr>
            <w:r>
              <w:rPr>
                <w:rFonts w:ascii="Arial" w:cs="Arial" w:eastAsia="Arial" w:hAnsi="Arial"/>
                <w:sz w:val="16"/>
                <w:szCs w:val="16"/>
                <w:color w:val="auto"/>
              </w:rPr>
              <w:t>Tracey L. McCain</w:t>
            </w:r>
          </w:p>
        </w:tc>
        <w:tc>
          <w:tcPr>
            <w:tcW w:w="400" w:type="dxa"/>
            <w:vAlign w:val="bottom"/>
          </w:tcPr>
          <w:p>
            <w:pPr>
              <w:spacing w:after="0"/>
              <w:rPr>
                <w:sz w:val="15"/>
                <w:szCs w:val="15"/>
                <w:color w:val="auto"/>
              </w:rPr>
            </w:pPr>
          </w:p>
        </w:tc>
      </w:tr>
      <w:tr>
        <w:trPr>
          <w:trHeight w:val="207"/>
        </w:trPr>
        <w:tc>
          <w:tcPr>
            <w:tcW w:w="2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6"/>
                <w:szCs w:val="16"/>
                <w:color w:val="auto"/>
              </w:rPr>
              <w:t>Chief Legal Officer</w:t>
            </w:r>
          </w:p>
        </w:tc>
        <w:tc>
          <w:tcPr>
            <w:tcW w:w="400" w:type="dxa"/>
            <w:vAlign w:val="bottom"/>
          </w:tcPr>
          <w:p>
            <w:pPr>
              <w:spacing w:after="0"/>
              <w:rPr>
                <w:sz w:val="18"/>
                <w:szCs w:val="18"/>
                <w:color w:val="auto"/>
              </w:rPr>
            </w:pPr>
          </w:p>
        </w:tc>
      </w:tr>
      <w:tr>
        <w:trPr>
          <w:trHeight w:val="783"/>
        </w:trPr>
        <w:tc>
          <w:tcPr>
            <w:tcW w:w="2780" w:type="dxa"/>
            <w:vAlign w:val="bottom"/>
          </w:tcPr>
          <w:p>
            <w:pPr>
              <w:spacing w:after="0"/>
              <w:rPr>
                <w:sz w:val="24"/>
                <w:szCs w:val="24"/>
                <w:color w:val="auto"/>
              </w:rPr>
            </w:pPr>
          </w:p>
        </w:tc>
        <w:tc>
          <w:tcPr>
            <w:tcW w:w="1960" w:type="dxa"/>
            <w:vAlign w:val="bottom"/>
          </w:tcPr>
          <w:p>
            <w:pPr>
              <w:jc w:val="right"/>
              <w:ind w:right="239"/>
              <w:spacing w:after="0"/>
              <w:rPr>
                <w:sz w:val="20"/>
                <w:szCs w:val="20"/>
                <w:color w:val="auto"/>
              </w:rPr>
            </w:pPr>
            <w:r>
              <w:rPr>
                <w:rFonts w:ascii="Arial" w:cs="Arial" w:eastAsia="Arial" w:hAnsi="Arial"/>
                <w:sz w:val="16"/>
                <w:szCs w:val="16"/>
                <w:color w:val="auto"/>
              </w:rPr>
              <w:t>3</w:t>
            </w:r>
          </w:p>
        </w:tc>
        <w:tc>
          <w:tcPr>
            <w:tcW w:w="36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07"/>
        </w:trPr>
        <w:tc>
          <w:tcPr>
            <w:tcW w:w="27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16" w:right="1440"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1905</wp:posOffset>
            </wp:positionV>
            <wp:extent cx="1513840" cy="512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3840"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1600" w:right="220"/>
        <w:spacing w:after="0" w:line="234" w:lineRule="auto"/>
        <w:rPr>
          <w:sz w:val="20"/>
          <w:szCs w:val="20"/>
          <w:color w:val="auto"/>
        </w:rPr>
      </w:pPr>
      <w:r>
        <w:rPr>
          <w:rFonts w:ascii="Arial" w:cs="Arial" w:eastAsia="Arial" w:hAnsi="Arial"/>
          <w:sz w:val="18"/>
          <w:szCs w:val="18"/>
          <w:b w:val="1"/>
          <w:bCs w:val="1"/>
          <w:color w:val="auto"/>
        </w:rPr>
        <w:t>Blueprint Medicines Presents NAVIGATOR Trial Data in PDGFRA Exon 18 Mutant GIST and Fourth-Line GIST at ASCO 2019 Supporting Planned Marketing Applications for Avapritinib</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-- 86% ORR and median DOR not reached in PDGFRA Exon 18 mutant GIST --</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-- 22% ORR and 10.2 month median DOR in fourth-line GIST --</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On track to submit NDA to FDA in June 2019 and MAA to EMA in third quarter of 2019 --</w:t>
      </w:r>
    </w:p>
    <w:p>
      <w:pPr>
        <w:spacing w:after="0" w:line="135" w:lineRule="exact"/>
        <w:rPr>
          <w:sz w:val="20"/>
          <w:szCs w:val="20"/>
          <w:color w:val="auto"/>
        </w:rPr>
      </w:pPr>
    </w:p>
    <w:p>
      <w:pPr>
        <w:ind w:left="140" w:right="199"/>
        <w:spacing w:after="0" w:line="219" w:lineRule="auto"/>
        <w:rPr>
          <w:sz w:val="20"/>
          <w:szCs w:val="20"/>
          <w:color w:val="auto"/>
        </w:rPr>
      </w:pPr>
      <w:r>
        <w:rPr>
          <w:rFonts w:ascii="Arial" w:cs="Arial" w:eastAsia="Arial" w:hAnsi="Arial"/>
          <w:sz w:val="17"/>
          <w:szCs w:val="17"/>
          <w:color w:val="auto"/>
        </w:rPr>
        <w:t>CAMBRIDGE, Mass., June 1, 2019 – Blueprint Medicines Corporation (NASDAQ: BPMC), a precision therapy company focused on genomically defined cancers, rare diseases and cancer immunotherapy, today announced data from the registration-enabling NAVIGATOR trial of avapritinib in patients with PDGFRA Exon 18 mutant gastrointestinal stromal tumors (GIST) and fourth-line GIST. These results were presented at the American Society of Clinical Oncology (ASCO) 2019 Annual Meeting and will form the basis for planned worldwide marketing applications for avapritinib, an investigational, highly selective KIT and PDGFRA inhibitor for patients with advanced GIST. The data demonstrate clinical activity and favorable tolerability in patients with PDGFRA Exon 18 mutant and fourth-line GIST, two populations with no effective therapies.</w:t>
      </w:r>
    </w:p>
    <w:p>
      <w:pPr>
        <w:spacing w:after="0" w:line="114" w:lineRule="exact"/>
        <w:rPr>
          <w:sz w:val="20"/>
          <w:szCs w:val="20"/>
          <w:color w:val="auto"/>
        </w:rPr>
      </w:pPr>
    </w:p>
    <w:p>
      <w:pPr>
        <w:ind w:left="140" w:right="139"/>
        <w:spacing w:after="0" w:line="238" w:lineRule="auto"/>
        <w:rPr>
          <w:sz w:val="20"/>
          <w:szCs w:val="20"/>
          <w:color w:val="auto"/>
        </w:rPr>
      </w:pPr>
      <w:r>
        <w:rPr>
          <w:rFonts w:ascii="Arial" w:cs="Arial" w:eastAsia="Arial" w:hAnsi="Arial"/>
          <w:sz w:val="16"/>
          <w:szCs w:val="16"/>
          <w:color w:val="auto"/>
        </w:rPr>
        <w:t>Data from the ongoing NAVIGATOR trial in patients with PDGFRA Exon 18 mutant GIST, which primarily includes the D842V mutation, and fourth-line GIST support Blueprint Medicines’ plans to submit a New Drug Application (NDA) to the U.S. Food and Drug Administration (FDA) in June 2019 and a Marketing Authorization Application (MAA) to the European Medicines Agency (EMA) in the third quarter of 2019. Avapritinib has received FDA Breakthrough Therapy Designation for the treatment of patients with unresectable or metastatic GIST harboring the PDGFRα D842V mutation.</w:t>
      </w:r>
    </w:p>
    <w:p>
      <w:pPr>
        <w:spacing w:after="0" w:line="115" w:lineRule="exact"/>
        <w:rPr>
          <w:sz w:val="20"/>
          <w:szCs w:val="20"/>
          <w:color w:val="auto"/>
        </w:rPr>
      </w:pPr>
    </w:p>
    <w:p>
      <w:pPr>
        <w:ind w:left="140" w:right="239"/>
        <w:spacing w:after="0" w:line="212" w:lineRule="auto"/>
        <w:rPr>
          <w:sz w:val="20"/>
          <w:szCs w:val="20"/>
          <w:color w:val="auto"/>
        </w:rPr>
      </w:pPr>
      <w:r>
        <w:rPr>
          <w:rFonts w:ascii="Arial" w:cs="Arial" w:eastAsia="Arial" w:hAnsi="Arial"/>
          <w:sz w:val="18"/>
          <w:szCs w:val="18"/>
          <w:color w:val="auto"/>
        </w:rPr>
        <w:t>In patients with PDGFRA Exon 18 mutant GIST, the objective response rate (ORR) was 86 percent and the median duration of response (DOR) was not reached. In patients with fourth-line GIST, the ORR was 22 percent and the median DOR was 10.2 months. ORR and DOR per central radiographic review will be the primary registrational endpoints. Avapritinib was well-tolerated with most adverse events (AEs) reported by investigators as Grade 1 or 2. These results were as of a data cutoff date of November 16, 2018.</w:t>
      </w:r>
    </w:p>
    <w:p>
      <w:pPr>
        <w:spacing w:after="0" w:line="113" w:lineRule="exact"/>
        <w:rPr>
          <w:sz w:val="20"/>
          <w:szCs w:val="20"/>
          <w:color w:val="auto"/>
        </w:rPr>
      </w:pPr>
    </w:p>
    <w:p>
      <w:pPr>
        <w:ind w:left="140" w:right="219"/>
        <w:spacing w:after="0" w:line="218" w:lineRule="auto"/>
        <w:rPr>
          <w:sz w:val="20"/>
          <w:szCs w:val="20"/>
          <w:color w:val="auto"/>
        </w:rPr>
      </w:pPr>
      <w:r>
        <w:rPr>
          <w:rFonts w:ascii="Arial" w:cs="Arial" w:eastAsia="Arial" w:hAnsi="Arial"/>
          <w:sz w:val="17"/>
          <w:szCs w:val="17"/>
          <w:color w:val="auto"/>
        </w:rPr>
        <w:t>“These data highlight the potential of avapritinib to shift the treatment paradigm for GIST toward a precision medicine approach based on the genomic driver of disease,” said Michael Heinrich, M.D., Professor of Medicine at Oregon Health &amp; Science University and an investigator on the NAVIGATOR trial. “In the PDGFRα D842V population where we currently have no effective agents, avapritinib demonstrated remarkable activity regardless of line of therapy. I believe these results will further catalyze the use of mutational testing in GIST patients prior to starting therapy, which is currently recommended by treatment guidelines. Importantly, avapritinib has also demonstrated the potential to suppress complex and heterogenous mutational profiles associated with treatment-resistant fourth-line GIST. Combined with the well-tolerated safety profile of avapritinib, I believe these data show the broad potential of avapritinib to advance care across the GIST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401320</wp:posOffset>
            </wp:positionV>
            <wp:extent cx="555117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 w:name="page5"/>
    <w:bookmarkEnd w:id="4"/>
    <w:p>
      <w:pPr>
        <w:ind w:left="140" w:right="139"/>
        <w:spacing w:after="0" w:line="234" w:lineRule="auto"/>
        <w:rPr>
          <w:sz w:val="20"/>
          <w:szCs w:val="20"/>
          <w:color w:val="auto"/>
        </w:rPr>
      </w:pPr>
      <w:r>
        <w:rPr>
          <w:rFonts w:ascii="Arial" w:cs="Arial" w:eastAsia="Arial" w:hAnsi="Arial"/>
          <w:sz w:val="16"/>
          <w:szCs w:val="16"/>
          <w:color w:val="auto"/>
        </w:rPr>
        <w:t>“These results further demonstrate the activity and favorable tolerability of avapritinib, a potent and highly selective PDGFRA and KIT inhibitor, in two patient populations with tumor mutations resistant to currently available therapies,” said Andy Boral, M.D., Ph.D., Chief Medical Officer at Blueprint Medicines. “Based on the strength of these data and the clear medical needs in PDGFRA Exon 18 mutant and fourth-line GIST, we look forward to working closely with global regulatory authorities to bring this important advance in treatment to patients as expeditiously as possible. In addition, the previously reported preliminary data in third-line and second-line GIST support our broad clinical development program and highlight the potential of avapritinib to become a foundational GIST treatment.”</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Highlights from ASCO Presentation of NAVIGATOR Trial Data</w:t>
      </w:r>
    </w:p>
    <w:p>
      <w:pPr>
        <w:spacing w:after="0" w:line="139" w:lineRule="exact"/>
        <w:rPr>
          <w:sz w:val="20"/>
          <w:szCs w:val="20"/>
          <w:color w:val="auto"/>
        </w:rPr>
      </w:pPr>
    </w:p>
    <w:p>
      <w:pPr>
        <w:ind w:left="140" w:right="279"/>
        <w:spacing w:after="0" w:line="215" w:lineRule="auto"/>
        <w:rPr>
          <w:sz w:val="20"/>
          <w:szCs w:val="20"/>
          <w:color w:val="auto"/>
        </w:rPr>
      </w:pPr>
      <w:r>
        <w:rPr>
          <w:rFonts w:ascii="Arial" w:cs="Arial" w:eastAsia="Arial" w:hAnsi="Arial"/>
          <w:sz w:val="18"/>
          <w:szCs w:val="18"/>
          <w:color w:val="auto"/>
        </w:rPr>
        <w:t>As of the data cutoff date of November 16, 2018, 204 patients were treated with avapritinib at a starting dose of 300 or 400 mg once daily (QD). Patients with PDGFRA Exon 18 mutant GIST were treated across all lines of therapy. Patients with fourth-line or later GIST had a median of four prior lines of therapy (ranging from three to 11) prior to receiving avapritinib.</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Activity Data</w:t>
      </w:r>
    </w:p>
    <w:p>
      <w:pPr>
        <w:spacing w:after="0" w:line="135" w:lineRule="exact"/>
        <w:rPr>
          <w:sz w:val="20"/>
          <w:szCs w:val="20"/>
          <w:color w:val="auto"/>
        </w:rPr>
      </w:pPr>
    </w:p>
    <w:p>
      <w:pPr>
        <w:ind w:left="140" w:right="139"/>
        <w:spacing w:after="0" w:line="243" w:lineRule="auto"/>
        <w:rPr>
          <w:sz w:val="20"/>
          <w:szCs w:val="20"/>
          <w:color w:val="auto"/>
        </w:rPr>
      </w:pPr>
      <w:r>
        <w:rPr>
          <w:rFonts w:ascii="Arial" w:cs="Arial" w:eastAsia="Arial" w:hAnsi="Arial"/>
          <w:sz w:val="16"/>
          <w:szCs w:val="16"/>
          <w:color w:val="auto"/>
        </w:rPr>
        <w:t>As of the data cutoff date, 43 patients with PDGFRA Exon 18 mutant GIST (including 38 patients with PDGFRα D842V-driven GIST) and 111 patients with fourth-line GIST were treated at a starting dose of 300 or 400 mg QD and evaluable for response assessments. Patients were evaluable if they had at least one centrally reviewed radiographic scan, and data are based on modified Response Evaluation Criteria in Solid Tumors version 1.1 (mRECIST 1.1 criteria) for GIST.</w:t>
      </w:r>
    </w:p>
    <w:p>
      <w:pPr>
        <w:spacing w:after="0" w:line="9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evaluable patients with PDGFRA Exon 18 mutant GIST:</w:t>
      </w:r>
    </w:p>
    <w:p>
      <w:pPr>
        <w:ind w:left="720" w:right="539" w:hanging="284"/>
        <w:spacing w:after="0" w:line="198"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ORR was 86 percent, with three confirmed complete responses (CR) and 34 partial responses (PR; one pending confirmation).</w:t>
      </w:r>
    </w:p>
    <w:p>
      <w:pPr>
        <w:ind w:left="720" w:right="539" w:hanging="284"/>
        <w:spacing w:after="0" w:line="198"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ORR was 100 percent (two CRs and three PRs; all responses were confirmed) in the first-line treatment setting.</w:t>
      </w:r>
    </w:p>
    <w:p>
      <w:pPr>
        <w:ind w:left="720" w:hanging="284"/>
        <w:spacing w:after="0" w:line="198"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median DOR was not reached.</w:t>
      </w:r>
    </w:p>
    <w:p>
      <w:pPr>
        <w:ind w:left="720" w:hanging="284"/>
        <w:spacing w:after="0" w:line="198"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28 patients (78 percent) remained in response as of the data cutoff date.</w:t>
      </w:r>
    </w:p>
    <w:p>
      <w:pPr>
        <w:ind w:left="720" w:hanging="284"/>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Median follow-up was 10.9 months.</w:t>
      </w:r>
    </w:p>
    <w:p>
      <w:pPr>
        <w:spacing w:after="0" w:line="9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 evaluable patients with fourth-line GIST:</w:t>
      </w:r>
    </w:p>
    <w:p>
      <w:pPr>
        <w:ind w:left="720" w:hanging="284"/>
        <w:spacing w:after="0" w:line="19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ORR was 22 percent, with one confirmed CR and 23 PRs (one pending confirmation</w:t>
      </w:r>
      <w:r>
        <w:rPr>
          <w:rFonts w:ascii="Arial" w:cs="Arial" w:eastAsia="Arial" w:hAnsi="Arial"/>
          <w:sz w:val="18"/>
          <w:szCs w:val="18"/>
          <w:color w:val="auto"/>
          <w:vertAlign w:val="superscript"/>
        </w:rPr>
        <w:t>1</w:t>
      </w:r>
      <w:r>
        <w:rPr>
          <w:rFonts w:ascii="Arial" w:cs="Arial" w:eastAsia="Arial" w:hAnsi="Arial"/>
          <w:sz w:val="18"/>
          <w:szCs w:val="18"/>
          <w:color w:val="auto"/>
        </w:rPr>
        <w:t>).</w:t>
      </w:r>
    </w:p>
    <w:p>
      <w:pPr>
        <w:ind w:left="720" w:hanging="284"/>
        <w:spacing w:after="0" w:line="19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median DOR was 10.2 months.</w:t>
      </w:r>
    </w:p>
    <w:p>
      <w:pPr>
        <w:ind w:left="720" w:hanging="284"/>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Median follow-up was 10.8 months.</w:t>
      </w:r>
    </w:p>
    <w:p>
      <w:pPr>
        <w:spacing w:after="0" w:line="11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Safety Data</w:t>
      </w:r>
    </w:p>
    <w:p>
      <w:pPr>
        <w:spacing w:after="0" w:line="135" w:lineRule="exact"/>
        <w:rPr>
          <w:sz w:val="20"/>
          <w:szCs w:val="20"/>
          <w:color w:val="auto"/>
        </w:rPr>
      </w:pPr>
    </w:p>
    <w:p>
      <w:pPr>
        <w:ind w:left="140" w:right="179"/>
        <w:spacing w:after="0" w:line="215" w:lineRule="auto"/>
        <w:rPr>
          <w:sz w:val="20"/>
          <w:szCs w:val="20"/>
          <w:color w:val="auto"/>
        </w:rPr>
      </w:pPr>
      <w:r>
        <w:rPr>
          <w:rFonts w:ascii="Arial" w:cs="Arial" w:eastAsia="Arial" w:hAnsi="Arial"/>
          <w:sz w:val="18"/>
          <w:szCs w:val="18"/>
          <w:color w:val="auto"/>
        </w:rPr>
        <w:t>Avapritinib had a favorable safety profile in patients treated at a starting dose of 300 or 400 mg QD, with most AEs determined by investigators to be Grade 1 or 2 as of the data cutoff date. Across all patients, 8 percent of patients discontinued treatment with avapritinib due to treatment-related AEs. A lower incidence of commonly reported AEs was reported at 300 mg QD dosing compared to 400 mg QD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401320</wp:posOffset>
            </wp:positionV>
            <wp:extent cx="555117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5" w:name="page6"/>
    <w:bookmarkEnd w:id="5"/>
    <w:p>
      <w:pPr>
        <w:ind w:left="140" w:right="259"/>
        <w:spacing w:after="0" w:line="212" w:lineRule="auto"/>
        <w:rPr>
          <w:sz w:val="20"/>
          <w:szCs w:val="20"/>
          <w:color w:val="auto"/>
        </w:rPr>
      </w:pPr>
      <w:r>
        <w:rPr>
          <w:rFonts w:ascii="Arial" w:cs="Arial" w:eastAsia="Arial" w:hAnsi="Arial"/>
          <w:sz w:val="18"/>
          <w:szCs w:val="18"/>
          <w:color w:val="auto"/>
        </w:rPr>
        <w:t>Across all grades, the most common treatment-emergent AEs (regardless of relationship to avapritinib) reported by investigators (≥25 percent) were nausea, fatigue, anemia, cognitive effects, periorbital edema, vomiting, decreased appetite, diarrhea, increased lacrimation and peripheral edema. Investigator-reported Grade 3 or 4 treatment-related AEs (≥2 percent) included anemia, fatigue, cognitive effects, increased blood bilirubin, diarrhea, hypophosphatemia, decreased neutrophil count, neutropenia and lymphopenia.</w:t>
      </w:r>
    </w:p>
    <w:p>
      <w:pPr>
        <w:spacing w:after="0" w:line="113" w:lineRule="exact"/>
        <w:rPr>
          <w:sz w:val="20"/>
          <w:szCs w:val="20"/>
          <w:color w:val="auto"/>
        </w:rPr>
      </w:pPr>
    </w:p>
    <w:p>
      <w:pPr>
        <w:jc w:val="both"/>
        <w:ind w:left="140" w:right="199"/>
        <w:spacing w:after="0" w:line="221" w:lineRule="auto"/>
        <w:rPr>
          <w:sz w:val="20"/>
          <w:szCs w:val="20"/>
          <w:color w:val="auto"/>
        </w:rPr>
      </w:pPr>
      <w:r>
        <w:rPr>
          <w:rFonts w:ascii="Arial" w:cs="Arial" w:eastAsia="Arial" w:hAnsi="Arial"/>
          <w:sz w:val="18"/>
          <w:szCs w:val="18"/>
          <w:color w:val="auto"/>
        </w:rPr>
        <w:t xml:space="preserve">These data on avapritinib were presented at the ASCO 2019 Annual Meeting in a poster presentation on Saturday, June 1 (Abstract Number: 11022). A copy of the poster is available in the “Science—Publications and Presentations” section of Blueprint Medicines’ website at </w:t>
      </w:r>
      <w:r>
        <w:rPr>
          <w:rFonts w:ascii="Arial" w:cs="Arial" w:eastAsia="Arial" w:hAnsi="Arial"/>
          <w:sz w:val="18"/>
          <w:szCs w:val="18"/>
          <w:u w:val="single" w:color="auto"/>
          <w:color w:val="auto"/>
        </w:rPr>
        <w:t>www.BlueprintMedicines.com</w:t>
      </w:r>
      <w:r>
        <w:rPr>
          <w:rFonts w:ascii="Arial" w:cs="Arial" w:eastAsia="Arial" w:hAnsi="Arial"/>
          <w:sz w:val="18"/>
          <w:szCs w:val="18"/>
          <w:color w:val="auto"/>
        </w:rPr>
        <w:t>.</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Avapritinib Clinical Development Program in GIST</w:t>
      </w:r>
    </w:p>
    <w:p>
      <w:pPr>
        <w:spacing w:after="0" w:line="139" w:lineRule="exact"/>
        <w:rPr>
          <w:sz w:val="20"/>
          <w:szCs w:val="20"/>
          <w:color w:val="auto"/>
        </w:rPr>
      </w:pPr>
    </w:p>
    <w:p>
      <w:pPr>
        <w:jc w:val="both"/>
        <w:ind w:left="140" w:right="939"/>
        <w:spacing w:after="0" w:line="221" w:lineRule="auto"/>
        <w:rPr>
          <w:sz w:val="20"/>
          <w:szCs w:val="20"/>
          <w:color w:val="auto"/>
        </w:rPr>
      </w:pPr>
      <w:r>
        <w:rPr>
          <w:rFonts w:ascii="Arial" w:cs="Arial" w:eastAsia="Arial" w:hAnsi="Arial"/>
          <w:sz w:val="18"/>
          <w:szCs w:val="18"/>
          <w:color w:val="auto"/>
        </w:rPr>
        <w:t>Blueprint Medicines is pursuing a broad clinical development program for avapritinib across all lines of GIST. Avapritinib is currently being evaluated in two global registration-enabling clinical trials for GIST: the Phase 1 NAVIGATOR trial and the Phase 3 VOYAGER trial.</w:t>
      </w:r>
    </w:p>
    <w:p>
      <w:pPr>
        <w:spacing w:after="0" w:line="113" w:lineRule="exact"/>
        <w:rPr>
          <w:sz w:val="20"/>
          <w:szCs w:val="20"/>
          <w:color w:val="auto"/>
        </w:rPr>
      </w:pPr>
    </w:p>
    <w:p>
      <w:pPr>
        <w:ind w:left="140" w:right="219"/>
        <w:spacing w:after="0" w:line="212" w:lineRule="auto"/>
        <w:rPr>
          <w:sz w:val="20"/>
          <w:szCs w:val="20"/>
          <w:color w:val="auto"/>
        </w:rPr>
      </w:pPr>
      <w:r>
        <w:rPr>
          <w:rFonts w:ascii="Arial" w:cs="Arial" w:eastAsia="Arial" w:hAnsi="Arial"/>
          <w:sz w:val="18"/>
          <w:szCs w:val="18"/>
          <w:color w:val="auto"/>
        </w:rPr>
        <w:t>The NAVIGATOR trial is designed to evaluate the safety, tolerability and clinical activity of avapritinib in patients with unresectable or metastatic GIST. The trial consists of two parts, a dose escalation portion and an expansion portion. Trial objectives include assessing response using blinded central radiology review, as well as pharmacokinetics and pharmacodynamic measures. The expansion cohorts of the trial enrolled patients at multiple sites in the United States, European Union and Asia.</w:t>
      </w:r>
    </w:p>
    <w:p>
      <w:pPr>
        <w:spacing w:after="0" w:line="113" w:lineRule="exact"/>
        <w:rPr>
          <w:sz w:val="20"/>
          <w:szCs w:val="20"/>
          <w:color w:val="auto"/>
        </w:rPr>
      </w:pPr>
    </w:p>
    <w:p>
      <w:pPr>
        <w:jc w:val="both"/>
        <w:ind w:left="140" w:right="419"/>
        <w:spacing w:after="0" w:line="215" w:lineRule="auto"/>
        <w:rPr>
          <w:sz w:val="20"/>
          <w:szCs w:val="20"/>
          <w:color w:val="auto"/>
        </w:rPr>
      </w:pPr>
      <w:r>
        <w:rPr>
          <w:rFonts w:ascii="Arial" w:cs="Arial" w:eastAsia="Arial" w:hAnsi="Arial"/>
          <w:sz w:val="18"/>
          <w:szCs w:val="18"/>
          <w:color w:val="auto"/>
        </w:rPr>
        <w:t>The VOYAGER trial is a global, open-label, randomized, Phase 3 trial designed to evaluate the safety and efficacy of avapritinib versus regorafenib in patients with third- or fourth-line GIST. The trial is designed to enroll approximately 460 patients randomized 1:1 to receive either avapritinib or regorafenib at multiple sites in the United States, Canada, European Union, Australia and Asia.</w:t>
      </w:r>
    </w:p>
    <w:p>
      <w:pPr>
        <w:spacing w:after="0" w:line="114" w:lineRule="exact"/>
        <w:rPr>
          <w:sz w:val="20"/>
          <w:szCs w:val="20"/>
          <w:color w:val="auto"/>
        </w:rPr>
      </w:pPr>
    </w:p>
    <w:p>
      <w:pPr>
        <w:jc w:val="both"/>
        <w:ind w:left="140" w:right="219"/>
        <w:spacing w:after="0" w:line="221" w:lineRule="auto"/>
        <w:rPr>
          <w:sz w:val="20"/>
          <w:szCs w:val="20"/>
          <w:color w:val="auto"/>
        </w:rPr>
      </w:pPr>
      <w:r>
        <w:rPr>
          <w:rFonts w:ascii="Arial" w:cs="Arial" w:eastAsia="Arial" w:hAnsi="Arial"/>
          <w:sz w:val="18"/>
          <w:szCs w:val="18"/>
          <w:color w:val="auto"/>
        </w:rPr>
        <w:t>In the second half of 2019, Blueprint Medicines plans to initiate COMPASS-2L, a global, randomized, Phase 3 precision medicine trial. The trial will evaluate the safety and efficacy of avapritinib versus sunitinib in second-line GIST patients with pre-specified disease genotypes.</w:t>
      </w:r>
    </w:p>
    <w:p>
      <w:pPr>
        <w:spacing w:after="0" w:line="113" w:lineRule="exact"/>
        <w:rPr>
          <w:sz w:val="20"/>
          <w:szCs w:val="20"/>
          <w:color w:val="auto"/>
        </w:rPr>
      </w:pPr>
    </w:p>
    <w:p>
      <w:pPr>
        <w:ind w:left="140" w:right="339"/>
        <w:spacing w:after="0" w:line="215" w:lineRule="auto"/>
        <w:rPr>
          <w:sz w:val="20"/>
          <w:szCs w:val="20"/>
          <w:color w:val="auto"/>
        </w:rPr>
      </w:pPr>
      <w:r>
        <w:rPr>
          <w:rFonts w:ascii="Arial" w:cs="Arial" w:eastAsia="Arial" w:hAnsi="Arial"/>
          <w:sz w:val="18"/>
          <w:szCs w:val="18"/>
          <w:color w:val="auto"/>
        </w:rPr>
        <w:t xml:space="preserve">Patients and physicians interested in the Phase 3 VOYAGER trial can contact the Blueprint Medicines study director at </w:t>
      </w:r>
      <w:r>
        <w:rPr>
          <w:rFonts w:ascii="Arial" w:cs="Arial" w:eastAsia="Arial" w:hAnsi="Arial"/>
          <w:sz w:val="18"/>
          <w:szCs w:val="18"/>
          <w:u w:val="single" w:color="auto"/>
          <w:color w:val="auto"/>
        </w:rPr>
        <w:t>VOYAGER@blueprintmedicines.com</w:t>
      </w:r>
      <w:r>
        <w:rPr>
          <w:rFonts w:ascii="Arial" w:cs="Arial" w:eastAsia="Arial" w:hAnsi="Arial"/>
          <w:sz w:val="18"/>
          <w:szCs w:val="18"/>
          <w:color w:val="auto"/>
        </w:rPr>
        <w:t xml:space="preserve"> or 1-617-714-6707. For more information about the VOYAGER trial, please visit </w:t>
      </w:r>
      <w:r>
        <w:rPr>
          <w:rFonts w:ascii="Arial" w:cs="Arial" w:eastAsia="Arial" w:hAnsi="Arial"/>
          <w:sz w:val="18"/>
          <w:szCs w:val="18"/>
          <w:u w:val="single" w:color="auto"/>
          <w:color w:val="auto"/>
        </w:rPr>
        <w:t>www.BlueprintClinicalTrials.com/VOYAGER</w:t>
      </w:r>
      <w:r>
        <w:rPr>
          <w:rFonts w:ascii="Arial" w:cs="Arial" w:eastAsia="Arial" w:hAnsi="Arial"/>
          <w:sz w:val="18"/>
          <w:szCs w:val="18"/>
          <w:color w:val="auto"/>
        </w:rPr>
        <w:t xml:space="preserve">. Additional details are available on </w:t>
      </w:r>
      <w:r>
        <w:rPr>
          <w:rFonts w:ascii="Arial" w:cs="Arial" w:eastAsia="Arial" w:hAnsi="Arial"/>
          <w:sz w:val="18"/>
          <w:szCs w:val="18"/>
          <w:u w:val="single" w:color="auto"/>
          <w:color w:val="auto"/>
        </w:rPr>
        <w:t>www.clinicaltrials.gov</w:t>
      </w:r>
      <w:r>
        <w:rPr>
          <w:rFonts w:ascii="Arial" w:cs="Arial" w:eastAsia="Arial" w:hAnsi="Arial"/>
          <w:sz w:val="18"/>
          <w:szCs w:val="18"/>
          <w:color w:val="auto"/>
        </w:rPr>
        <w:t xml:space="preserve"> (ClinicalTrials.gov Identifier: NCT03465722).</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GIST</w:t>
      </w:r>
    </w:p>
    <w:p>
      <w:pPr>
        <w:spacing w:after="0" w:line="139" w:lineRule="exact"/>
        <w:rPr>
          <w:sz w:val="20"/>
          <w:szCs w:val="20"/>
          <w:color w:val="auto"/>
        </w:rPr>
      </w:pPr>
    </w:p>
    <w:p>
      <w:pPr>
        <w:jc w:val="both"/>
        <w:ind w:left="140" w:right="179"/>
        <w:spacing w:after="0" w:line="215" w:lineRule="auto"/>
        <w:rPr>
          <w:sz w:val="20"/>
          <w:szCs w:val="20"/>
          <w:color w:val="auto"/>
        </w:rPr>
      </w:pPr>
      <w:r>
        <w:rPr>
          <w:rFonts w:ascii="Arial" w:cs="Arial" w:eastAsia="Arial" w:hAnsi="Arial"/>
          <w:sz w:val="18"/>
          <w:szCs w:val="18"/>
          <w:color w:val="auto"/>
        </w:rPr>
        <w:t>GIST is a sarcoma, or tumor of bone or connective tissue, of the gastrointestinal (GI) tract. Tumors arise from cells in the wall of the GI tract and occur most often in the stomach or small intestine. Most patients are diagnosed between the ages of 50 to 80, and diagnosis is typically triggered by GI bleeding, incidental findings during surgery or imaging and, in rare cases, tumor rupture or GI obstruction.</w:t>
      </w:r>
    </w:p>
    <w:p>
      <w:pPr>
        <w:spacing w:after="0" w:line="114" w:lineRule="exact"/>
        <w:rPr>
          <w:sz w:val="20"/>
          <w:szCs w:val="20"/>
          <w:color w:val="auto"/>
        </w:rPr>
      </w:pPr>
    </w:p>
    <w:p>
      <w:pPr>
        <w:ind w:left="140" w:right="679"/>
        <w:spacing w:after="0" w:line="252" w:lineRule="auto"/>
        <w:rPr>
          <w:sz w:val="20"/>
          <w:szCs w:val="20"/>
          <w:color w:val="auto"/>
        </w:rPr>
      </w:pPr>
      <w:r>
        <w:rPr>
          <w:rFonts w:ascii="Arial" w:cs="Arial" w:eastAsia="Arial" w:hAnsi="Arial"/>
          <w:sz w:val="17"/>
          <w:szCs w:val="17"/>
          <w:color w:val="auto"/>
        </w:rPr>
        <w:t>Most GIST cases are caused by a spectrum of clinically relevant mutations that force the KIT or PDGFRA protein kinases into an increasingly active state. Because currently available therapies primarily bind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285750</wp:posOffset>
            </wp:positionV>
            <wp:extent cx="555117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416" w:right="1440" w:bottom="1440" w:gutter="0" w:footer="0" w:header="0"/>
        </w:sectPr>
      </w:pPr>
    </w:p>
    <w:bookmarkStart w:id="6" w:name="page7"/>
    <w:bookmarkEnd w:id="6"/>
    <w:p>
      <w:pPr>
        <w:ind w:left="140" w:right="419"/>
        <w:spacing w:after="0" w:line="232" w:lineRule="auto"/>
        <w:rPr>
          <w:sz w:val="20"/>
          <w:szCs w:val="20"/>
          <w:color w:val="auto"/>
        </w:rPr>
      </w:pPr>
      <w:r>
        <w:rPr>
          <w:rFonts w:ascii="Arial" w:cs="Arial" w:eastAsia="Arial" w:hAnsi="Arial"/>
          <w:sz w:val="18"/>
          <w:szCs w:val="18"/>
          <w:color w:val="auto"/>
        </w:rPr>
        <w:t>the inactive protein conformations, certain primary and secondary mutations typically lead to treatment resistance and disease progression.</w:t>
      </w:r>
    </w:p>
    <w:p>
      <w:pPr>
        <w:spacing w:after="0" w:line="113" w:lineRule="exact"/>
        <w:rPr>
          <w:sz w:val="20"/>
          <w:szCs w:val="20"/>
          <w:color w:val="auto"/>
        </w:rPr>
      </w:pPr>
    </w:p>
    <w:p>
      <w:pPr>
        <w:ind w:left="140" w:right="139"/>
        <w:spacing w:after="0" w:line="212" w:lineRule="auto"/>
        <w:rPr>
          <w:sz w:val="20"/>
          <w:szCs w:val="20"/>
          <w:color w:val="auto"/>
        </w:rPr>
      </w:pPr>
      <w:r>
        <w:rPr>
          <w:rFonts w:ascii="Arial" w:cs="Arial" w:eastAsia="Arial" w:hAnsi="Arial"/>
          <w:sz w:val="18"/>
          <w:szCs w:val="18"/>
          <w:color w:val="auto"/>
        </w:rPr>
        <w:t>Treatment options for KIT-driven GIST patients who progress beyond imatinib are currently limited. There are no effective treatment options for patients with metastatic PDGFRα D842V-driven GIST, and progression occurs in a median of approximately three to four months with available therapy. In unresectable or metastatic GIST, clinical benefits from existing treatments can vary by mutation type. Mutational testing is critical to tailor therapy to the underlying disease driver and is recommended in expert guidelines.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Avapritinib</w:t>
      </w:r>
    </w:p>
    <w:p>
      <w:pPr>
        <w:spacing w:after="0" w:line="139" w:lineRule="exact"/>
        <w:rPr>
          <w:sz w:val="20"/>
          <w:szCs w:val="20"/>
          <w:color w:val="auto"/>
        </w:rPr>
      </w:pPr>
    </w:p>
    <w:p>
      <w:pPr>
        <w:ind w:left="140" w:right="279"/>
        <w:spacing w:after="0" w:line="206" w:lineRule="auto"/>
        <w:rPr>
          <w:sz w:val="20"/>
          <w:szCs w:val="20"/>
          <w:color w:val="auto"/>
        </w:rPr>
      </w:pPr>
      <w:r>
        <w:rPr>
          <w:rFonts w:ascii="Arial" w:cs="Arial" w:eastAsia="Arial" w:hAnsi="Arial"/>
          <w:sz w:val="18"/>
          <w:szCs w:val="18"/>
          <w:color w:val="auto"/>
        </w:rPr>
        <w:t>Avapritinib is an investigational, oral precision therapy that selectively and potently inhibits KIT and PDGFRA mutant kinases. It is a type 1 inhibitor designed to target the active kinase conformation; all oncogenic kinases signal via this conformation. Avapritinib has demonstrated broad inhibition of KIT and PDGFRA mutations associated with GIST, including potent activity against activation loop mutations that are associated with resistance to currently approved therapies. In contrast to approved multi-kinase inhibitors, avapritinib has shown marked selectivity for KIT and PDGFRA over other kinases. In addition, avapritinib is uniquely designed to selectively bind and inhibit D816V mutant KIT, the common driver of disease in approximately 95 percent of all systemic mastocytosis (SM) patients. Preclinical studies have shown avapritinib potently inhibited KIT D816V at sub-nanomolar potencies with minimal off-target activity.</w:t>
      </w:r>
    </w:p>
    <w:p>
      <w:pPr>
        <w:spacing w:after="0" w:line="113" w:lineRule="exact"/>
        <w:rPr>
          <w:sz w:val="20"/>
          <w:szCs w:val="20"/>
          <w:color w:val="auto"/>
        </w:rPr>
      </w:pPr>
    </w:p>
    <w:p>
      <w:pPr>
        <w:ind w:left="140" w:right="259"/>
        <w:spacing w:after="0" w:line="243" w:lineRule="auto"/>
        <w:rPr>
          <w:sz w:val="20"/>
          <w:szCs w:val="20"/>
          <w:color w:val="auto"/>
        </w:rPr>
      </w:pPr>
      <w:r>
        <w:rPr>
          <w:rFonts w:ascii="Arial" w:cs="Arial" w:eastAsia="Arial" w:hAnsi="Arial"/>
          <w:sz w:val="16"/>
          <w:szCs w:val="16"/>
          <w:color w:val="auto"/>
        </w:rPr>
        <w:t>Blueprint Medicines is initially developing avapritinib for the treatment of advanced GIST, advanced SM, and indolent and smoldering SM. The FDA has granted avapritinib two Breakthrough Therapy Designations, one for the treatment of unresectable or metastatic GIST harboring the PDGFRα D842V mutation and one for the treatment of advanced SM, including the subtypes of aggressive SM, SM with an associated hematologic neoplasm and mast cell leukemia.</w:t>
      </w:r>
    </w:p>
    <w:p>
      <w:pPr>
        <w:spacing w:after="0" w:line="111" w:lineRule="exact"/>
        <w:rPr>
          <w:sz w:val="20"/>
          <w:szCs w:val="20"/>
          <w:color w:val="auto"/>
        </w:rPr>
      </w:pPr>
    </w:p>
    <w:p>
      <w:pPr>
        <w:ind w:left="140" w:right="459"/>
        <w:spacing w:after="0" w:line="215"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11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139" w:lineRule="exact"/>
        <w:rPr>
          <w:sz w:val="20"/>
          <w:szCs w:val="20"/>
          <w:color w:val="auto"/>
        </w:rPr>
      </w:pPr>
    </w:p>
    <w:p>
      <w:pPr>
        <w:ind w:left="140" w:right="319"/>
        <w:spacing w:after="0" w:line="236" w:lineRule="auto"/>
        <w:rPr>
          <w:sz w:val="20"/>
          <w:szCs w:val="20"/>
          <w:color w:val="auto"/>
        </w:rPr>
      </w:pPr>
      <w:r>
        <w:rPr>
          <w:rFonts w:ascii="Arial" w:cs="Arial" w:eastAsia="Arial" w:hAnsi="Arial"/>
          <w:sz w:val="16"/>
          <w:szCs w:val="16"/>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t>
      </w:r>
      <w:r>
        <w:rPr>
          <w:rFonts w:ascii="Arial" w:cs="Arial" w:eastAsia="Arial" w:hAnsi="Arial"/>
          <w:sz w:val="16"/>
          <w:szCs w:val="16"/>
          <w:color w:val="auto"/>
          <w:highlight w:val="white"/>
        </w:rPr>
        <w:t>www.BlueprintMedicines.com and follow us on Twitter (@BlueprintMeds)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400685</wp:posOffset>
            </wp:positionV>
            <wp:extent cx="5551170"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282"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39" w:lineRule="exact"/>
        <w:rPr>
          <w:sz w:val="20"/>
          <w:szCs w:val="20"/>
          <w:color w:val="auto"/>
        </w:rPr>
      </w:pPr>
    </w:p>
    <w:p>
      <w:pPr>
        <w:ind w:left="140" w:right="139"/>
        <w:spacing w:after="0" w:line="233"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clinical development of avapritinib; expectations regarding the potential benefits of avapritinib in treating patients with GIST; plans and timelines for submitting an NDA to the FDA for avapritinib for the treatment of PDGFRA Exon 18 mutant GIST and fourth-line GIST; plans and timelines for submitting an MAA to the EMA for avapritinib for the treatment of PDGFRα D842V mutant GIST and fourth-line GIST; expectations regarding clinical data for avapritinib in third-line and second-line GIST; plans, timelines and expectations for interactions with global regulatory authorities;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period ended March 31, 2019, as filed with the Securities and Exchange Commission (SEC) on May 9, 2019,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3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Relations Contact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Hodous</w:t>
      </w:r>
    </w:p>
    <w:p>
      <w:pPr>
        <w:ind w:left="140"/>
        <w:spacing w:after="0" w:line="198" w:lineRule="auto"/>
        <w:rPr>
          <w:sz w:val="20"/>
          <w:szCs w:val="20"/>
          <w:color w:val="auto"/>
        </w:rPr>
      </w:pPr>
      <w:r>
        <w:rPr>
          <w:rFonts w:ascii="Arial" w:cs="Arial" w:eastAsia="Arial" w:hAnsi="Arial"/>
          <w:sz w:val="18"/>
          <w:szCs w:val="18"/>
          <w:color w:val="auto"/>
        </w:rPr>
        <w:t>617-714-6674</w:t>
      </w:r>
    </w:p>
    <w:p>
      <w:pPr>
        <w:ind w:left="140"/>
        <w:spacing w:after="0"/>
        <w:rPr>
          <w:sz w:val="20"/>
          <w:szCs w:val="20"/>
          <w:color w:val="auto"/>
        </w:rPr>
      </w:pPr>
      <w:r>
        <w:rPr>
          <w:rFonts w:ascii="Arial" w:cs="Arial" w:eastAsia="Arial" w:hAnsi="Arial"/>
          <w:sz w:val="18"/>
          <w:szCs w:val="18"/>
          <w:color w:val="auto"/>
        </w:rPr>
        <w:t>ir@blueprintmedicines.com</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Relations Contact</w:t>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Andrew Law</w:t>
      </w:r>
    </w:p>
    <w:p>
      <w:pPr>
        <w:ind w:left="140"/>
        <w:spacing w:after="0" w:line="198" w:lineRule="auto"/>
        <w:rPr>
          <w:sz w:val="20"/>
          <w:szCs w:val="20"/>
          <w:color w:val="auto"/>
        </w:rPr>
      </w:pPr>
      <w:r>
        <w:rPr>
          <w:rFonts w:ascii="Arial" w:cs="Arial" w:eastAsia="Arial" w:hAnsi="Arial"/>
          <w:sz w:val="18"/>
          <w:szCs w:val="18"/>
          <w:color w:val="auto"/>
        </w:rPr>
        <w:t>617-844-8205</w:t>
      </w:r>
    </w:p>
    <w:p>
      <w:pPr>
        <w:ind w:left="14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295910</wp:posOffset>
            </wp:positionV>
            <wp:extent cx="5551170"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412" w:right="1440" w:bottom="1440" w:gutter="0" w:footer="0" w:header="0"/>
        </w:sectPr>
      </w:pPr>
    </w:p>
    <w:bookmarkStart w:id="8" w:name="page9"/>
    <w:bookmarkEnd w:id="8"/>
    <w:p>
      <w:pPr>
        <w:ind w:left="938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4994275</wp:posOffset>
            </wp:positionV>
            <wp:extent cx="687133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71335" cy="2349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25400</wp:posOffset>
            </wp:positionV>
            <wp:extent cx="6987540" cy="3300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87540" cy="330009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9" w:name="page10"/>
    <w:bookmarkEnd w:id="9"/>
    <w:p>
      <w:pPr>
        <w:jc w:val="right"/>
        <w:ind w:right="139"/>
        <w:spacing w:after="0"/>
        <w:rPr>
          <w:sz w:val="20"/>
          <w:szCs w:val="20"/>
          <w:color w:val="auto"/>
        </w:rPr>
      </w:pPr>
      <w:r>
        <w:rPr>
          <w:rFonts w:ascii="Arial" w:cs="Arial" w:eastAsia="Arial" w:hAnsi="Arial"/>
          <w:sz w:val="16"/>
          <w:szCs w:val="16"/>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17780</wp:posOffset>
            </wp:positionV>
            <wp:extent cx="1522095" cy="512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22095" cy="512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140" w:right="139"/>
        <w:spacing w:after="0" w:line="272" w:lineRule="auto"/>
        <w:rPr>
          <w:sz w:val="20"/>
          <w:szCs w:val="20"/>
          <w:color w:val="auto"/>
        </w:rPr>
      </w:pPr>
      <w:r>
        <w:rPr>
          <w:rFonts w:ascii="Arial" w:cs="Arial" w:eastAsia="Arial" w:hAnsi="Arial"/>
          <w:sz w:val="18"/>
          <w:szCs w:val="18"/>
          <w:b w:val="1"/>
          <w:bCs w:val="1"/>
          <w:color w:val="auto"/>
        </w:rPr>
        <w:t>Blueprint Medicines’ Highly Selective RET Inhibitor BLU-667 Shows Durable Anti-Tumor Activity in Patients with RET-Altered Cancers in Updated ARROW Trial Data Presented at ASCO 2019</w:t>
      </w:r>
    </w:p>
    <w:p>
      <w:pPr>
        <w:spacing w:after="0" w:line="158" w:lineRule="exact"/>
        <w:rPr>
          <w:sz w:val="20"/>
          <w:szCs w:val="20"/>
          <w:color w:val="auto"/>
        </w:rPr>
      </w:pPr>
    </w:p>
    <w:p>
      <w:pPr>
        <w:jc w:val="center"/>
        <w:ind w:left="2040" w:right="279" w:hanging="1742"/>
        <w:spacing w:after="0" w:line="267" w:lineRule="auto"/>
        <w:tabs>
          <w:tab w:leader="none" w:pos="46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60% ORR in post-platinum RET-fusion NSCLC and 63% ORR in RET-mutant MTC patients previously treated with multi-kinase inhibitors; median durations of response not reached --</w:t>
      </w:r>
    </w:p>
    <w:p>
      <w:pPr>
        <w:spacing w:after="0" w:line="163" w:lineRule="exact"/>
        <w:rPr>
          <w:sz w:val="20"/>
          <w:szCs w:val="20"/>
          <w:color w:val="auto"/>
        </w:rPr>
      </w:pPr>
    </w:p>
    <w:p>
      <w:pPr>
        <w:ind w:left="2740" w:right="1719" w:hanging="1017"/>
        <w:spacing w:after="0" w:line="297" w:lineRule="auto"/>
        <w:tabs>
          <w:tab w:leader="none" w:pos="1883" w:val="left"/>
        </w:tabs>
        <w:numPr>
          <w:ilvl w:val="2"/>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Responses observed across treatment-naïve and previously treated patients, and regardless of RET alteration or tumor type --</w:t>
      </w:r>
    </w:p>
    <w:p>
      <w:pPr>
        <w:spacing w:after="0" w:line="139" w:lineRule="exact"/>
        <w:rPr>
          <w:rFonts w:ascii="Arial" w:cs="Arial" w:eastAsia="Arial" w:hAnsi="Arial"/>
          <w:sz w:val="17"/>
          <w:szCs w:val="17"/>
          <w:i w:val="1"/>
          <w:iCs w:val="1"/>
          <w:color w:val="auto"/>
        </w:rPr>
      </w:pPr>
    </w:p>
    <w:p>
      <w:pPr>
        <w:ind w:left="2380" w:hanging="160"/>
        <w:spacing w:after="0"/>
        <w:tabs>
          <w:tab w:leader="none" w:pos="2380" w:val="left"/>
        </w:tabs>
        <w:numPr>
          <w:ilvl w:val="3"/>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Strong activity against brain metastases in NSCLC patients --</w:t>
      </w:r>
    </w:p>
    <w:p>
      <w:pPr>
        <w:spacing w:after="0" w:line="208" w:lineRule="exact"/>
        <w:rPr>
          <w:rFonts w:ascii="Arial" w:cs="Arial" w:eastAsia="Arial" w:hAnsi="Arial"/>
          <w:sz w:val="18"/>
          <w:szCs w:val="18"/>
          <w:i w:val="1"/>
          <w:iCs w:val="1"/>
          <w:color w:val="auto"/>
        </w:rPr>
      </w:pPr>
    </w:p>
    <w:p>
      <w:pPr>
        <w:ind w:left="1120" w:hanging="157"/>
        <w:spacing w:after="0"/>
        <w:tabs>
          <w:tab w:leader="none" w:pos="1120" w:val="left"/>
        </w:tabs>
        <w:numPr>
          <w:ilvl w:val="1"/>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Plan to submit initial NDA to FDA for BLU-667 in RET-fusion NSCLC in first quarter of 2020 --</w:t>
      </w:r>
    </w:p>
    <w:p>
      <w:pPr>
        <w:spacing w:after="0" w:line="208" w:lineRule="exact"/>
        <w:rPr>
          <w:rFonts w:ascii="Arial" w:cs="Arial" w:eastAsia="Arial" w:hAnsi="Arial"/>
          <w:sz w:val="18"/>
          <w:szCs w:val="18"/>
          <w:i w:val="1"/>
          <w:iCs w:val="1"/>
          <w:color w:val="auto"/>
        </w:rPr>
      </w:pPr>
    </w:p>
    <w:p>
      <w:pPr>
        <w:ind w:left="1000" w:hanging="172"/>
        <w:spacing w:after="0"/>
        <w:tabs>
          <w:tab w:leader="none" w:pos="100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Blueprint Medicines to host investor event and webcast on Monday, June 3, 2019 at 6:30 p.m. CT --</w:t>
      </w:r>
    </w:p>
    <w:p>
      <w:pPr>
        <w:spacing w:after="0" w:line="220" w:lineRule="exact"/>
        <w:rPr>
          <w:sz w:val="20"/>
          <w:szCs w:val="20"/>
          <w:color w:val="auto"/>
        </w:rPr>
      </w:pPr>
    </w:p>
    <w:p>
      <w:pPr>
        <w:ind w:left="140" w:right="159"/>
        <w:spacing w:after="0" w:line="245" w:lineRule="auto"/>
        <w:rPr>
          <w:sz w:val="20"/>
          <w:szCs w:val="20"/>
          <w:color w:val="auto"/>
        </w:rPr>
      </w:pPr>
      <w:r>
        <w:rPr>
          <w:rFonts w:ascii="Arial" w:cs="Arial" w:eastAsia="Arial" w:hAnsi="Arial"/>
          <w:sz w:val="18"/>
          <w:szCs w:val="18"/>
          <w:color w:val="auto"/>
        </w:rPr>
        <w:t>CAMBRIDGE, Mass., June 3, 2019 – Blueprint Medicines Corporation (NASDAQ: BPMC), a precision therapy company focused on genomically defined cancers, rare diseases and cancer immunotherapy, today announced updated data from the ongoing registration-enabling ARROW trial of BLU-667 in patients with RET-altered cancers. The data presented at the American Society of Clinical Oncology (ASCO) 2019 Annual Meeting show durable clinical activity in patients with RET-altered non-small cell lung cancer (NSCLC), medullary thyroid cancer (MTC) and other cancers. Designed by Blueprint Medicines, BLU-667 is a potent and highly selective oral inhibitor of RET fusions and mutations, including predicted resistance mutations.</w:t>
      </w:r>
    </w:p>
    <w:p>
      <w:pPr>
        <w:spacing w:after="0" w:line="184" w:lineRule="exact"/>
        <w:rPr>
          <w:sz w:val="20"/>
          <w:szCs w:val="20"/>
          <w:color w:val="auto"/>
        </w:rPr>
      </w:pPr>
    </w:p>
    <w:p>
      <w:pPr>
        <w:ind w:left="140" w:right="179"/>
        <w:spacing w:after="0" w:line="291" w:lineRule="auto"/>
        <w:rPr>
          <w:sz w:val="20"/>
          <w:szCs w:val="20"/>
          <w:color w:val="auto"/>
        </w:rPr>
      </w:pPr>
      <w:r>
        <w:rPr>
          <w:rFonts w:ascii="Arial" w:cs="Arial" w:eastAsia="Arial" w:hAnsi="Arial"/>
          <w:sz w:val="16"/>
          <w:szCs w:val="16"/>
          <w:color w:val="auto"/>
        </w:rPr>
        <w:t>The new results support Blueprint Medicines’ plans to submit an initial New Drug Application (NDA) to the U.S. Food and Drug Administration (FDA) for BLU-667 for the treatment of patients with RET-fusion NSCLC previously treated with platinum-based chemotherapy in the first quarter of 2020, and an NDA to the FDA for the treatment of patients with RET-mutant MTC previously treated with an approved multi-kinase inhibitor (MKI) in the first half of 2020.</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“Targeted therapies have transformed the management of multiple oncogenic subsets of lung cancer, but RET-</w:t>
      </w:r>
    </w:p>
    <w:p>
      <w:pPr>
        <w:spacing w:after="0" w:line="28" w:lineRule="exact"/>
        <w:rPr>
          <w:sz w:val="20"/>
          <w:szCs w:val="20"/>
          <w:color w:val="auto"/>
        </w:rPr>
      </w:pPr>
    </w:p>
    <w:p>
      <w:pPr>
        <w:ind w:left="140" w:right="339"/>
        <w:spacing w:after="0" w:line="242" w:lineRule="auto"/>
        <w:rPr>
          <w:sz w:val="20"/>
          <w:szCs w:val="20"/>
          <w:color w:val="auto"/>
        </w:rPr>
      </w:pPr>
      <w:r>
        <w:rPr>
          <w:rFonts w:ascii="Arial" w:cs="Arial" w:eastAsia="Arial" w:hAnsi="Arial"/>
          <w:sz w:val="18"/>
          <w:szCs w:val="18"/>
          <w:color w:val="auto"/>
        </w:rPr>
        <w:t>fusion positive lung cancers have not derived similar benefit from current therapeutic approaches. To date, no selective RET inhibitors are approved,” said Justin Gainor, M.D., director of Targeted Immunotherapy at Massachusetts General Hospital Cancer Center and an investigator on the ARROW trial. “In the data presented at ASCO, BLU-667 demonstrated high response rates across multiple populations of RET-altered cancer patients, including patients with untreated brain metastases.”</w:t>
      </w:r>
    </w:p>
    <w:p>
      <w:pPr>
        <w:spacing w:after="0" w:line="188" w:lineRule="exact"/>
        <w:rPr>
          <w:sz w:val="20"/>
          <w:szCs w:val="20"/>
          <w:color w:val="auto"/>
        </w:rPr>
      </w:pPr>
    </w:p>
    <w:p>
      <w:pPr>
        <w:ind w:left="140" w:right="159"/>
        <w:spacing w:after="0" w:line="245" w:lineRule="auto"/>
        <w:rPr>
          <w:sz w:val="20"/>
          <w:szCs w:val="20"/>
          <w:color w:val="auto"/>
        </w:rPr>
      </w:pPr>
      <w:r>
        <w:rPr>
          <w:rFonts w:ascii="Arial" w:cs="Arial" w:eastAsia="Arial" w:hAnsi="Arial"/>
          <w:sz w:val="18"/>
          <w:szCs w:val="18"/>
          <w:color w:val="auto"/>
        </w:rPr>
        <w:t>“This growing body of evidence supports our plans to rapidly advance BLU-667, a highly selective RET inhibitor, for the treatment of patients with RET-altered cancers,” said Andy Boral, M.D., Ph.D., Chief Medical Officer at Blueprint Medicines. “We remain on track to submit our first New Drug Application to the FDA for BLU-667 for previously treated RET-fusion non-small cell lung cancer patients in the first quarter of 2020. Based on the encouraging data to date and FDA feedback, we are now working to expand ARROW trial enrollment for treatment-naive patients with RET-fusion positive non-small cell lung cancer, with the goal of supporting an accelerated path to registration in first-line patients.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826135</wp:posOffset>
            </wp:positionV>
            <wp:extent cx="555117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51170"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 w:name="page11"/>
    <w:bookmarkEnd w:id="10"/>
    <w:p>
      <w:pPr>
        <w:jc w:val="both"/>
        <w:ind w:left="140" w:right="219"/>
        <w:spacing w:after="0" w:line="253" w:lineRule="auto"/>
        <w:rPr>
          <w:sz w:val="20"/>
          <w:szCs w:val="20"/>
          <w:color w:val="auto"/>
        </w:rPr>
      </w:pPr>
      <w:r>
        <w:rPr>
          <w:rFonts w:ascii="Arial" w:cs="Arial" w:eastAsia="Arial" w:hAnsi="Arial"/>
          <w:sz w:val="18"/>
          <w:szCs w:val="18"/>
          <w:color w:val="auto"/>
        </w:rPr>
        <w:t>addition, based on the strong data for BLU-667 across RET alteration and tumor types, we plan to continue to work with investigators and global regulatory authorities to bring BLU-667 to the broader population of patients with RET-altered cancers who could potentially benefit from this treatment.”</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Highlights from ASCO Presentations of ARROW Trial Data</w:t>
      </w:r>
    </w:p>
    <w:p>
      <w:pPr>
        <w:spacing w:after="0" w:line="213" w:lineRule="exact"/>
        <w:rPr>
          <w:sz w:val="20"/>
          <w:szCs w:val="20"/>
          <w:color w:val="auto"/>
        </w:rPr>
      </w:pPr>
    </w:p>
    <w:p>
      <w:pPr>
        <w:ind w:left="140" w:right="179"/>
        <w:spacing w:after="0" w:line="286" w:lineRule="auto"/>
        <w:rPr>
          <w:sz w:val="20"/>
          <w:szCs w:val="20"/>
          <w:color w:val="auto"/>
        </w:rPr>
      </w:pPr>
      <w:r>
        <w:rPr>
          <w:rFonts w:ascii="Arial" w:cs="Arial" w:eastAsia="Arial" w:hAnsi="Arial"/>
          <w:sz w:val="16"/>
          <w:szCs w:val="16"/>
          <w:color w:val="auto"/>
        </w:rPr>
        <w:t>The presented data include 120 patients with RET-fusion NSCLC, 64 patients with RET-mutant MTC and 12 patients with other RET-altered cancers (nine papillary thyroid cancer (PTC), two pancreatic cancer and one intrahepatic bile duct carcinoma) enrolled in the ARROW trial as of a data cutoff date of April 28, 2019. The patients with RET-fusion NSCLC and RET-mutant MTC received a starting dose of 400 mg once daily (QD), which is the recommended Phase 2 dose (RP2D). Patients with other RET-altered cancers were included regardless of starting dose.</w:t>
      </w:r>
    </w:p>
    <w:p>
      <w:pPr>
        <w:spacing w:after="0" w:line="151" w:lineRule="exact"/>
        <w:rPr>
          <w:sz w:val="20"/>
          <w:szCs w:val="20"/>
          <w:color w:val="auto"/>
        </w:rPr>
      </w:pPr>
    </w:p>
    <w:p>
      <w:pPr>
        <w:ind w:left="140" w:right="139"/>
        <w:spacing w:after="0" w:line="300" w:lineRule="auto"/>
        <w:rPr>
          <w:sz w:val="20"/>
          <w:szCs w:val="20"/>
          <w:color w:val="auto"/>
        </w:rPr>
      </w:pPr>
      <w:r>
        <w:rPr>
          <w:rFonts w:ascii="Arial" w:cs="Arial" w:eastAsia="Arial" w:hAnsi="Arial"/>
          <w:sz w:val="16"/>
          <w:szCs w:val="16"/>
          <w:color w:val="auto"/>
        </w:rPr>
        <w:t>At baseline, 40 percent of the RET-fusion NSCLC patients had brain metastases. Brain metastases commonly occur in NSCLC patients, and the prognosis in these patients is typically poor. Regardless of starting dose and including the dose-escalation portion of the ARROW trial, the RET-fusion NSCLC patients have been on treatment up to 24 months.</w:t>
      </w:r>
    </w:p>
    <w:p>
      <w:pPr>
        <w:spacing w:after="0" w:line="142" w:lineRule="exact"/>
        <w:rPr>
          <w:sz w:val="20"/>
          <w:szCs w:val="20"/>
          <w:color w:val="auto"/>
        </w:rPr>
      </w:pPr>
    </w:p>
    <w:p>
      <w:pPr>
        <w:jc w:val="both"/>
        <w:ind w:left="140" w:right="239"/>
        <w:spacing w:after="0" w:line="276" w:lineRule="auto"/>
        <w:rPr>
          <w:sz w:val="20"/>
          <w:szCs w:val="20"/>
          <w:color w:val="auto"/>
        </w:rPr>
      </w:pPr>
      <w:r>
        <w:rPr>
          <w:rFonts w:ascii="Arial" w:cs="Arial" w:eastAsia="Arial" w:hAnsi="Arial"/>
          <w:sz w:val="17"/>
          <w:szCs w:val="17"/>
          <w:color w:val="auto"/>
        </w:rPr>
        <w:t>For clinical activity data, NSCLC and MTC patients were evaluable if they were enrolled as of November 14, 2018 with follow-up through the data cutoff date, which enabled them to have at least two radiographic scans. Tumor response was assessed by Response Evaluation Criteria in Solid Tumors (RECIST) version 1.1.</w:t>
      </w:r>
    </w:p>
    <w:p>
      <w:pPr>
        <w:spacing w:after="0" w:line="15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Activity Data — RET-Fusion NSCLC</w:t>
      </w:r>
    </w:p>
    <w:p>
      <w:pPr>
        <w:spacing w:after="0" w:line="209" w:lineRule="exact"/>
        <w:rPr>
          <w:sz w:val="20"/>
          <w:szCs w:val="20"/>
          <w:color w:val="auto"/>
        </w:rPr>
      </w:pPr>
    </w:p>
    <w:p>
      <w:pPr>
        <w:ind w:left="140" w:right="459"/>
        <w:spacing w:after="0" w:line="267" w:lineRule="auto"/>
        <w:rPr>
          <w:sz w:val="20"/>
          <w:szCs w:val="20"/>
          <w:color w:val="auto"/>
        </w:rPr>
      </w:pPr>
      <w:r>
        <w:rPr>
          <w:rFonts w:ascii="Arial" w:cs="Arial" w:eastAsia="Arial" w:hAnsi="Arial"/>
          <w:sz w:val="18"/>
          <w:szCs w:val="18"/>
          <w:color w:val="auto"/>
        </w:rPr>
        <w:t>As of the data cutoff date, 48 patients with RET-fusion NSCLC were evaluable for response assessment, including 35 patients previously treated with platinum-based chemotherapy.</w:t>
      </w:r>
    </w:p>
    <w:p>
      <w:pPr>
        <w:spacing w:after="0" w:line="163" w:lineRule="exact"/>
        <w:rPr>
          <w:sz w:val="20"/>
          <w:szCs w:val="20"/>
          <w:color w:val="auto"/>
        </w:rPr>
      </w:pPr>
    </w:p>
    <w:p>
      <w:pPr>
        <w:ind w:left="720" w:hanging="28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Nearly all patients (90 percent) had radiographic tumor reductions.</w:t>
      </w:r>
    </w:p>
    <w:p>
      <w:pPr>
        <w:spacing w:after="0" w:line="16" w:lineRule="exact"/>
        <w:rPr>
          <w:rFonts w:ascii="Arial" w:cs="Arial" w:eastAsia="Arial" w:hAnsi="Arial"/>
          <w:sz w:val="18"/>
          <w:szCs w:val="18"/>
          <w:color w:val="auto"/>
        </w:rPr>
      </w:pPr>
    </w:p>
    <w:p>
      <w:pPr>
        <w:ind w:left="720" w:right="199" w:hanging="284"/>
        <w:spacing w:after="0" w:line="24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objective response rate (ORR) was 60 percent (one complete response and 20 partial responses (PR); all responses were confirmed), and the disease control rate (DCR) was 100 percent in the patients previously treated with platinum-based chemotherapy.</w:t>
      </w:r>
    </w:p>
    <w:p>
      <w:pPr>
        <w:ind w:left="720" w:hanging="28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ORR was 71 percent (five confirmed PRs) in seven patients naïve to prior systemic treatment.</w:t>
      </w:r>
    </w:p>
    <w:p>
      <w:pPr>
        <w:ind w:left="720" w:right="679" w:hanging="284"/>
        <w:spacing w:after="0" w:line="241"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Across all patients, the median duration of response (DOR) was not reached, and 82 percent of responders remained on treatment as of the data cutoff date.</w:t>
      </w:r>
    </w:p>
    <w:p>
      <w:pPr>
        <w:ind w:left="720" w:hanging="28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nine patients with measurable brain metastases, 78 percent had shrinkage of brain metastases.</w:t>
      </w:r>
    </w:p>
    <w:p>
      <w:pPr>
        <w:ind w:left="720" w:hanging="28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patients starting at the 400 mg QD dose had disease progression due to new brain involvement.</w:t>
      </w:r>
    </w:p>
    <w:p>
      <w:pPr>
        <w:ind w:left="720" w:hanging="284"/>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BLU-667 was highly active regardless of RET fusion partner, including RET-KIF5B and RET-CCDC6.</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Clinical Activity Data — RET-Mutant MTC and Other RET-Altered Cancers</w:t>
      </w:r>
    </w:p>
    <w:p>
      <w:pPr>
        <w:spacing w:after="0" w:line="209" w:lineRule="exact"/>
        <w:rPr>
          <w:sz w:val="20"/>
          <w:szCs w:val="20"/>
          <w:color w:val="auto"/>
        </w:rPr>
      </w:pPr>
    </w:p>
    <w:p>
      <w:pPr>
        <w:ind w:left="140" w:right="599"/>
        <w:spacing w:after="0" w:line="267" w:lineRule="auto"/>
        <w:rPr>
          <w:sz w:val="20"/>
          <w:szCs w:val="20"/>
          <w:color w:val="auto"/>
        </w:rPr>
      </w:pPr>
      <w:r>
        <w:rPr>
          <w:rFonts w:ascii="Arial" w:cs="Arial" w:eastAsia="Arial" w:hAnsi="Arial"/>
          <w:sz w:val="18"/>
          <w:szCs w:val="18"/>
          <w:color w:val="auto"/>
        </w:rPr>
        <w:t>As of the data cutoff date, 32 patients with RET-mutant MTC were evaluable for response assessment, including 16 patients previously treated with the MKIs cabozantinib or vandetanib.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680720</wp:posOffset>
            </wp:positionV>
            <wp:extent cx="555117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1" w:name="page12"/>
    <w:bookmarkEnd w:id="11"/>
    <w:p>
      <w:pPr>
        <w:ind w:left="720" w:right="399" w:hanging="284"/>
        <w:spacing w:after="0" w:line="250"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ORR was 63 percent (nine confirmed PRs, one PR pending confirmation) and the DCR was 94 percent in RET-mutant MTC patients previously treated with cabozantinib or vandetanib.</w:t>
      </w:r>
    </w:p>
    <w:p>
      <w:pPr>
        <w:ind w:left="720" w:right="359" w:hanging="284"/>
        <w:spacing w:after="0" w:line="244"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Across all RET-mutant MTC patients, the median DOR was not reached and all responders remained on treatment as of the data cutoff date, with treatment durations up to 15.6 months for patients receiving a starting dose of 400 mg QD.</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 of the data cutoff date, clinical activity data were reported in patients with other RET-altered cancers:</w:t>
      </w:r>
    </w:p>
    <w:p>
      <w:pPr>
        <w:spacing w:after="0" w:line="209" w:lineRule="exact"/>
        <w:rPr>
          <w:sz w:val="20"/>
          <w:szCs w:val="20"/>
          <w:color w:val="auto"/>
        </w:rPr>
      </w:pPr>
    </w:p>
    <w:p>
      <w:pPr>
        <w:ind w:left="720" w:right="539" w:hanging="284"/>
        <w:spacing w:after="0" w:line="250"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Six patients with PTC were evaluable for response assessment by RECIST version 1.1. In these patients, the ORR was 83 percent (three confirmed PRs, two PRs pending confirmation).</w:t>
      </w:r>
    </w:p>
    <w:p>
      <w:pPr>
        <w:ind w:left="720" w:right="199" w:hanging="284"/>
        <w:spacing w:after="0" w:line="24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Five patients with PTC have remained on treatment for one year or longer, and eight patients with PTC remained on treatment as of the data cutoff date.</w:t>
      </w:r>
    </w:p>
    <w:p>
      <w:pPr>
        <w:ind w:left="720" w:right="259" w:hanging="284"/>
        <w:spacing w:after="0" w:line="309"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Additional responses were observed in patients with other RET-fusion cancers, including pancreatic cancer (one confirmed PR, one PR pending confirmation) and intrahepatic bile duct carcinoma (one confirmed PR).</w:t>
      </w:r>
    </w:p>
    <w:p>
      <w:pPr>
        <w:spacing w:after="0" w:line="134" w:lineRule="exact"/>
        <w:rPr>
          <w:sz w:val="20"/>
          <w:szCs w:val="20"/>
          <w:color w:val="auto"/>
        </w:rPr>
      </w:pPr>
    </w:p>
    <w:p>
      <w:pPr>
        <w:ind w:left="140" w:right="239"/>
        <w:spacing w:after="0" w:line="267" w:lineRule="auto"/>
        <w:rPr>
          <w:sz w:val="20"/>
          <w:szCs w:val="20"/>
          <w:color w:val="auto"/>
        </w:rPr>
      </w:pPr>
      <w:r>
        <w:rPr>
          <w:rFonts w:ascii="Arial" w:cs="Arial" w:eastAsia="Arial" w:hAnsi="Arial"/>
          <w:sz w:val="18"/>
          <w:szCs w:val="18"/>
          <w:color w:val="auto"/>
        </w:rPr>
        <w:t>Four patients (two with RET-fusion NSCLC, two with RET-mutant MTC) enrolled in the ARROW trial were previously treated with LOXO-292. Among them:</w:t>
      </w:r>
    </w:p>
    <w:p>
      <w:pPr>
        <w:spacing w:after="0" w:line="163" w:lineRule="exact"/>
        <w:rPr>
          <w:sz w:val="20"/>
          <w:szCs w:val="20"/>
          <w:color w:val="auto"/>
        </w:rPr>
      </w:pPr>
    </w:p>
    <w:p>
      <w:pPr>
        <w:ind w:left="720" w:right="279" w:hanging="284"/>
        <w:spacing w:after="0" w:line="250"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patients had a PR, one of which was confirmed as of the data cutoff date, and one of which was pending as of the data cutoff date and subsequently confirmed prior to the presentation.</w:t>
      </w:r>
    </w:p>
    <w:p>
      <w:pPr>
        <w:ind w:left="720" w:right="599" w:hanging="284"/>
        <w:spacing w:after="0" w:line="248"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One patient had stable disease with radiographic tumor reductions and remained on treatment as of the data cutoff date.</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Safety Data</w:t>
      </w:r>
    </w:p>
    <w:p>
      <w:pPr>
        <w:spacing w:after="0" w:line="209" w:lineRule="exact"/>
        <w:rPr>
          <w:sz w:val="20"/>
          <w:szCs w:val="20"/>
          <w:color w:val="auto"/>
        </w:rPr>
      </w:pPr>
    </w:p>
    <w:p>
      <w:pPr>
        <w:ind w:left="140" w:right="159"/>
        <w:spacing w:after="0" w:line="245" w:lineRule="auto"/>
        <w:rPr>
          <w:sz w:val="20"/>
          <w:szCs w:val="20"/>
          <w:color w:val="auto"/>
        </w:rPr>
      </w:pPr>
      <w:r>
        <w:rPr>
          <w:rFonts w:ascii="Arial" w:cs="Arial" w:eastAsia="Arial" w:hAnsi="Arial"/>
          <w:sz w:val="18"/>
          <w:szCs w:val="18"/>
          <w:color w:val="auto"/>
        </w:rPr>
        <w:t>As of the data cutoff date, 226 patients received a starting dose of 400 mg QD and were evaluable for safety. Across all patients, BLU-667 was well-tolerated and most adverse events (AEs) reported by investigators were Grade 1 or 2. Across all grades, the most common treatment-emergent AEs (regardless of relationship to BLU-667) reported by investigators (≥15 percent) were constipation, hypertension, increased aspartate aminotransferase, neutropenia, diarrhea, fatigue, anemia, increased alanine aminotransferase and increased blood creatinine. Investigator-reported Grade 3 or 4 treatment-related AEs (≥2 percent) included neutropenia, hypertension, anemia, increased blood creatine phosphokinase and leukopenia.</w:t>
      </w:r>
    </w:p>
    <w:p>
      <w:pPr>
        <w:spacing w:after="0" w:line="184" w:lineRule="exact"/>
        <w:rPr>
          <w:sz w:val="20"/>
          <w:szCs w:val="20"/>
          <w:color w:val="auto"/>
        </w:rPr>
      </w:pPr>
    </w:p>
    <w:p>
      <w:pPr>
        <w:jc w:val="both"/>
        <w:ind w:left="140" w:right="219"/>
        <w:spacing w:after="0" w:line="276" w:lineRule="auto"/>
        <w:rPr>
          <w:sz w:val="20"/>
          <w:szCs w:val="20"/>
          <w:color w:val="auto"/>
        </w:rPr>
      </w:pPr>
      <w:r>
        <w:rPr>
          <w:rFonts w:ascii="Arial" w:cs="Arial" w:eastAsia="Arial" w:hAnsi="Arial"/>
          <w:sz w:val="17"/>
          <w:szCs w:val="17"/>
          <w:color w:val="auto"/>
        </w:rPr>
        <w:t>Across all patients, only 4 percent of patients discontinued treatment with BLU-667 due to treatment-related AEs. Seven percent of patients with RET-fusion NSCLC discontinued treatment with BLU-667 due to treatment-related AEs, and no patients with RET-mutant MTC discontinued treatment with BLU-667 due to treatment-related AEs.</w:t>
      </w:r>
    </w:p>
    <w:p>
      <w:pPr>
        <w:spacing w:after="0" w:line="157" w:lineRule="exact"/>
        <w:rPr>
          <w:sz w:val="20"/>
          <w:szCs w:val="20"/>
          <w:color w:val="auto"/>
        </w:rPr>
      </w:pPr>
    </w:p>
    <w:p>
      <w:pPr>
        <w:ind w:left="140" w:right="179"/>
        <w:spacing w:after="0" w:line="247" w:lineRule="auto"/>
        <w:rPr>
          <w:sz w:val="20"/>
          <w:szCs w:val="20"/>
          <w:color w:val="auto"/>
        </w:rPr>
      </w:pPr>
      <w:r>
        <w:rPr>
          <w:rFonts w:ascii="Arial" w:cs="Arial" w:eastAsia="Arial" w:hAnsi="Arial"/>
          <w:sz w:val="18"/>
          <w:szCs w:val="18"/>
          <w:color w:val="auto"/>
        </w:rPr>
        <w:t>These updated data for BLU-667 were reported in two presentations at the ASCO 2019 Annual Meeting, including a poster presentation on trial results in thyroid cancer on Saturday, June 1 (Abstract Number: 6018) and an oral presentation on trial results in NSCLC on Monday, June 3 (Abstract Number: 9008). Copies of the data presentations are available in the “Science—Publications and Presentations” section of Blueprint Medicines’ website at www.BlueprintMedicines.com.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824865</wp:posOffset>
            </wp:positionV>
            <wp:extent cx="555117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331" w:right="1440" w:bottom="1440" w:gutter="0" w:footer="0" w:header="0"/>
        </w:sectPr>
      </w:pPr>
    </w:p>
    <w:bookmarkStart w:id="12" w:name="page13"/>
    <w:bookmarkEnd w:id="12"/>
    <w:p>
      <w:pPr>
        <w:ind w:left="140"/>
        <w:spacing w:after="0"/>
        <w:rPr>
          <w:sz w:val="20"/>
          <w:szCs w:val="20"/>
          <w:color w:val="auto"/>
        </w:rPr>
      </w:pPr>
      <w:r>
        <w:rPr>
          <w:rFonts w:ascii="Arial" w:cs="Arial" w:eastAsia="Arial" w:hAnsi="Arial"/>
          <w:sz w:val="18"/>
          <w:szCs w:val="18"/>
          <w:b w:val="1"/>
          <w:bCs w:val="1"/>
          <w:color w:val="auto"/>
        </w:rPr>
        <w:t>BLU-667 Clinical Development Update</w:t>
      </w:r>
    </w:p>
    <w:p>
      <w:pPr>
        <w:spacing w:after="0" w:line="212" w:lineRule="exact"/>
        <w:rPr>
          <w:sz w:val="20"/>
          <w:szCs w:val="20"/>
          <w:color w:val="auto"/>
        </w:rPr>
      </w:pPr>
    </w:p>
    <w:p>
      <w:pPr>
        <w:jc w:val="both"/>
        <w:ind w:left="140" w:right="359"/>
        <w:spacing w:after="0" w:line="249" w:lineRule="auto"/>
        <w:rPr>
          <w:sz w:val="20"/>
          <w:szCs w:val="20"/>
          <w:color w:val="auto"/>
        </w:rPr>
      </w:pPr>
      <w:r>
        <w:rPr>
          <w:rFonts w:ascii="Arial" w:cs="Arial" w:eastAsia="Arial" w:hAnsi="Arial"/>
          <w:sz w:val="18"/>
          <w:szCs w:val="18"/>
          <w:color w:val="auto"/>
        </w:rPr>
        <w:t>Based on encouraging clinical activity in patients with NSCLC naïve to prior systemic therapy and feedback from the FDA, Blueprint Medicines today announced plans to expand the enrollment target of the ongoing ARROW trial cohort for treatment-naïve patients with RET-fusion NSCLC, with the goal of supporting expedited development in first-line RET-fusion NSCLC.</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Event and Webcast Information</w:t>
      </w:r>
    </w:p>
    <w:p>
      <w:pPr>
        <w:spacing w:after="0" w:line="213" w:lineRule="exact"/>
        <w:rPr>
          <w:sz w:val="20"/>
          <w:szCs w:val="20"/>
          <w:color w:val="auto"/>
        </w:rPr>
      </w:pPr>
    </w:p>
    <w:p>
      <w:pPr>
        <w:ind w:left="140" w:right="139"/>
        <w:spacing w:after="0" w:line="244" w:lineRule="auto"/>
        <w:rPr>
          <w:sz w:val="20"/>
          <w:szCs w:val="20"/>
          <w:color w:val="auto"/>
        </w:rPr>
      </w:pPr>
      <w:r>
        <w:rPr>
          <w:rFonts w:ascii="Arial" w:cs="Arial" w:eastAsia="Arial" w:hAnsi="Arial"/>
          <w:sz w:val="18"/>
          <w:szCs w:val="18"/>
          <w:color w:val="auto"/>
        </w:rPr>
        <w:t>Blueprint Medicines will host an investor event on Monday, June 3, 2019 beginning at 6:00 p.m. CT (7:00 p.m. ET) in Chicago to provide a portfolio update, including a review of updated clinical data from the ongoing ARROW trial of BLU-667 in patients with RET-altered cancers and the ongoing registration-enabling NAVIGATOR trial in patients with PDGFRA Exon 18 mutant and fourth-line gastrointestinal stromal tumors (GIST). Formal presentations and the live webcast will begin at 6:30 p.m. CT (7:30 p.m. ET). The event will be webcast live and can be accessed under the “Investors &amp; Media—Events &amp; Presentations” section of Blueprint Medicines’ website at www.BlueprintMedicines.com. A replay of the webcast will be available approximately two hours after the event and will be available for 30 days following the event.</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the ARROW Trial</w:t>
      </w:r>
    </w:p>
    <w:p>
      <w:pPr>
        <w:spacing w:after="0" w:line="213" w:lineRule="exact"/>
        <w:rPr>
          <w:sz w:val="20"/>
          <w:szCs w:val="20"/>
          <w:color w:val="auto"/>
        </w:rPr>
      </w:pPr>
    </w:p>
    <w:p>
      <w:pPr>
        <w:ind w:left="140" w:right="319"/>
        <w:spacing w:after="0" w:line="259" w:lineRule="auto"/>
        <w:rPr>
          <w:sz w:val="20"/>
          <w:szCs w:val="20"/>
          <w:color w:val="auto"/>
        </w:rPr>
      </w:pPr>
      <w:r>
        <w:rPr>
          <w:rFonts w:ascii="Arial" w:cs="Arial" w:eastAsia="Arial" w:hAnsi="Arial"/>
          <w:sz w:val="17"/>
          <w:szCs w:val="17"/>
          <w:color w:val="auto"/>
        </w:rPr>
        <w:t>ARROW is a Phase 1 clinical trial designed to evaluate the safety, tolerability and efficacy of BLU-667 in multiple ascending doses in adults with RET-altered NSCLC, MTC and other advanced solid tumors. The trial consists of two parts: a dose escalation portion, which is now complete, and an expansion portion, in which enrollment is ongoing. The expansion portion consists of seven defined cohorts of patients treated with BLU-667 at the RP2D of 400 mg QD: (1) RET-fusion NSCLC patients previously treated with a platinum-based chemotherapy, (2) RET-fusion NSCLC patients who have not previously received a platinum-based chemotherapy, (3) RET-mutant MTC patients previously treated with cabozantinib or vandetanib, (4) RET-mutant MTC patients who have not previously received cabozantinib or vandetanib, (5) patients with other RET-fusion tumors, (6) patients with other RET-mutant tumors and (7) RET-altered solid tumor patients previously treated with a selective RET inhibitor. Trial objectives include assessing response, pharmacokinetics, pharmacodynamics and safety. The trial is enrolling patients at multiple sites in the United States, European Union and Asia.</w:t>
      </w:r>
    </w:p>
    <w:p>
      <w:pPr>
        <w:spacing w:after="0" w:line="174" w:lineRule="exact"/>
        <w:rPr>
          <w:sz w:val="20"/>
          <w:szCs w:val="20"/>
          <w:color w:val="auto"/>
        </w:rPr>
      </w:pPr>
    </w:p>
    <w:p>
      <w:pPr>
        <w:ind w:left="140" w:right="399"/>
        <w:spacing w:after="0" w:line="276" w:lineRule="auto"/>
        <w:rPr>
          <w:sz w:val="20"/>
          <w:szCs w:val="20"/>
          <w:color w:val="auto"/>
        </w:rPr>
      </w:pPr>
      <w:r>
        <w:rPr>
          <w:rFonts w:ascii="Arial" w:cs="Arial" w:eastAsia="Arial" w:hAnsi="Arial"/>
          <w:sz w:val="17"/>
          <w:szCs w:val="17"/>
          <w:color w:val="auto"/>
        </w:rPr>
        <w:t>Patients and physicians interested in the ARROW clinical trial can contact the Blueprint Medicines study director at arrow@blueprintmedicines.com or 1-617-714-6707. Additional details are available at www.BlueprintClinicalTrials.com/ARROW or www.clinicaltrials.gov (ClinicalTrials.gov Identifier: NCT03037385).</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RET-Altered Solid Tumors</w:t>
      </w:r>
    </w:p>
    <w:p>
      <w:pPr>
        <w:spacing w:after="0" w:line="213" w:lineRule="exact"/>
        <w:rPr>
          <w:sz w:val="20"/>
          <w:szCs w:val="20"/>
          <w:color w:val="auto"/>
        </w:rPr>
      </w:pPr>
    </w:p>
    <w:p>
      <w:pPr>
        <w:ind w:left="140" w:right="279"/>
        <w:spacing w:after="0" w:line="286" w:lineRule="auto"/>
        <w:rPr>
          <w:sz w:val="20"/>
          <w:szCs w:val="20"/>
          <w:color w:val="auto"/>
        </w:rPr>
      </w:pPr>
      <w:r>
        <w:rPr>
          <w:rFonts w:ascii="Arial" w:cs="Arial" w:eastAsia="Arial" w:hAnsi="Arial"/>
          <w:sz w:val="16"/>
          <w:szCs w:val="16"/>
          <w:color w:val="auto"/>
        </w:rPr>
        <w:t>RET activating fusions and mutations are key disease drivers in many cancer types, including NSCLC and MTC. RET fusions are implicated in approximately 1 to 2 percent of patients with NSCLC and approximately 10 to 20 percent of patients with PTC, while RET mutations are implicated in approximately 90 percent of patients with advanced MTC. In addition, oncogenic RET alterations are observed at low frequencies in colorectal, breast, pancreatic and other cancers, and RET fusions have been observed in patients with treatment-resistant, EGFR-mutant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805180</wp:posOffset>
            </wp:positionV>
            <wp:extent cx="555117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3" w:name="page14"/>
    <w:bookmarkEnd w:id="13"/>
    <w:p>
      <w:pPr>
        <w:ind w:left="140" w:right="139"/>
        <w:spacing w:after="0" w:line="247" w:lineRule="auto"/>
        <w:rPr>
          <w:sz w:val="20"/>
          <w:szCs w:val="20"/>
          <w:color w:val="auto"/>
        </w:rPr>
      </w:pPr>
      <w:r>
        <w:rPr>
          <w:rFonts w:ascii="Arial" w:cs="Arial" w:eastAsia="Arial" w:hAnsi="Arial"/>
          <w:sz w:val="18"/>
          <w:szCs w:val="18"/>
          <w:color w:val="auto"/>
        </w:rPr>
        <w:t>Currently, there are no approved therapies that selectively target RET-driven cancers, although there are several approved MKIs with RET activity being evaluated in clinical trials. To date, clinical activity attributable to RET inhibition has been uncertain for these approved MKIs, likely due to insufficient inhibition of RET and off-target toxicities. There is a need for precision therapies that provide durable clinical benefit by selectively targeting RET alterations and anticipated resistance mutations.</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BLU-667</w:t>
      </w:r>
    </w:p>
    <w:p>
      <w:pPr>
        <w:spacing w:after="0" w:line="213" w:lineRule="exact"/>
        <w:rPr>
          <w:sz w:val="20"/>
          <w:szCs w:val="20"/>
          <w:color w:val="auto"/>
        </w:rPr>
      </w:pPr>
    </w:p>
    <w:p>
      <w:pPr>
        <w:ind w:left="140" w:right="359"/>
        <w:spacing w:after="0" w:line="246" w:lineRule="auto"/>
        <w:rPr>
          <w:sz w:val="20"/>
          <w:szCs w:val="20"/>
          <w:color w:val="auto"/>
        </w:rPr>
      </w:pPr>
      <w:r>
        <w:rPr>
          <w:rFonts w:ascii="Arial" w:cs="Arial" w:eastAsia="Arial" w:hAnsi="Arial"/>
          <w:sz w:val="18"/>
          <w:szCs w:val="18"/>
          <w:color w:val="auto"/>
        </w:rPr>
        <w:t>BLU-667 is an investigational, once-daily oral precision therapy specifically designed for highly potent and selective targeting of oncogenic RET alterations. Blueprint Medicines is developing BLU-667 for the treatment of patients with RET-altered NSCLC, MTC and other solid tumors. The FDA has granted Breakthrough Therapy Designation to BLU-667 for the treatment of RET-fusion positive NSCLC that has progressed following platinum-based chemotherapy, and RET-mutation positive MTC that requires systemic treatment and for which there are no acceptable alternative treatments.</w:t>
      </w:r>
    </w:p>
    <w:p>
      <w:pPr>
        <w:spacing w:after="0" w:line="182" w:lineRule="exact"/>
        <w:rPr>
          <w:sz w:val="20"/>
          <w:szCs w:val="20"/>
          <w:color w:val="auto"/>
        </w:rPr>
      </w:pPr>
    </w:p>
    <w:p>
      <w:pPr>
        <w:ind w:left="140" w:right="179"/>
        <w:spacing w:after="0" w:line="262" w:lineRule="auto"/>
        <w:rPr>
          <w:sz w:val="20"/>
          <w:szCs w:val="20"/>
          <w:color w:val="auto"/>
        </w:rPr>
      </w:pPr>
      <w:r>
        <w:rPr>
          <w:rFonts w:ascii="Arial" w:cs="Arial" w:eastAsia="Arial" w:hAnsi="Arial"/>
          <w:sz w:val="17"/>
          <w:szCs w:val="17"/>
          <w:color w:val="auto"/>
        </w:rPr>
        <w:t>BLU-667 was designed by Blueprint Medicines’ research team, leveraging the company’s proprietary compound library. In preclinical studies, BLU-667 consistently demonstrated sub-nanomolar potency against the most common RET fusions, activating mutations and predicted resistance mutations. In addition, BLU-667 demonstrated markedly improved selectivity for RET compared to pharmacologically relevant kinases, including approximately 90-fold improved potency for RET versus VEGFR2. By suppressing primary and secondary mutants, BLU-667 has the potential to overcome and prevent the emergence of clinical resistance. Blueprint Medicines believes this approach will enable durable clinical responses across a diverse range of RET alterations, with a favorable safety profile.</w:t>
      </w:r>
    </w:p>
    <w:p>
      <w:pPr>
        <w:spacing w:after="0" w:line="169" w:lineRule="exact"/>
        <w:rPr>
          <w:sz w:val="20"/>
          <w:szCs w:val="20"/>
          <w:color w:val="auto"/>
        </w:rPr>
      </w:pPr>
    </w:p>
    <w:p>
      <w:pPr>
        <w:ind w:left="140" w:right="559"/>
        <w:spacing w:after="0" w:line="249"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BLU-667 and certain other drug candidates in Mainland China, Hong Kong, Macau and Taiwan. Blueprint Medicines retains development and commercial rights for BLU-667 in the rest of the world.</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About Blueprint Medicines</w:t>
      </w:r>
    </w:p>
    <w:p>
      <w:pPr>
        <w:spacing w:after="0" w:line="213" w:lineRule="exact"/>
        <w:rPr>
          <w:sz w:val="20"/>
          <w:szCs w:val="20"/>
          <w:color w:val="auto"/>
        </w:rPr>
      </w:pPr>
    </w:p>
    <w:p>
      <w:pPr>
        <w:ind w:left="140" w:right="319"/>
        <w:spacing w:after="0" w:line="283" w:lineRule="auto"/>
        <w:rPr>
          <w:sz w:val="20"/>
          <w:szCs w:val="20"/>
          <w:color w:val="auto"/>
        </w:rPr>
      </w:pPr>
      <w:r>
        <w:rPr>
          <w:rFonts w:ascii="Arial" w:cs="Arial" w:eastAsia="Arial" w:hAnsi="Arial"/>
          <w:sz w:val="16"/>
          <w:szCs w:val="16"/>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are currently advancing four investigational medicines in clinical development, along with multiple research programs. For more information, visit </w:t>
      </w:r>
      <w:r>
        <w:rPr>
          <w:rFonts w:ascii="Arial" w:cs="Arial" w:eastAsia="Arial" w:hAnsi="Arial"/>
          <w:sz w:val="16"/>
          <w:szCs w:val="16"/>
          <w:color w:val="006E96"/>
          <w:highlight w:val="white"/>
        </w:rPr>
        <w:t>www.BlueprintMedicines.com</w:t>
      </w:r>
      <w:r>
        <w:rPr>
          <w:rFonts w:ascii="Arial" w:cs="Arial" w:eastAsia="Arial" w:hAnsi="Arial"/>
          <w:sz w:val="16"/>
          <w:szCs w:val="16"/>
          <w:color w:val="auto"/>
        </w:rPr>
        <w:t xml:space="preserve"> </w:t>
      </w:r>
      <w:r>
        <w:rPr>
          <w:rFonts w:ascii="Arial" w:cs="Arial" w:eastAsia="Arial" w:hAnsi="Arial"/>
          <w:sz w:val="16"/>
          <w:szCs w:val="16"/>
          <w:color w:val="0A0A0A"/>
          <w:highlight w:val="white"/>
        </w:rPr>
        <w:t>and follow us on</w:t>
      </w:r>
      <w:r>
        <w:rPr>
          <w:rFonts w:ascii="Arial" w:cs="Arial" w:eastAsia="Arial" w:hAnsi="Arial"/>
          <w:sz w:val="16"/>
          <w:szCs w:val="16"/>
          <w:color w:val="auto"/>
        </w:rPr>
        <w:t xml:space="preserve"> </w:t>
      </w:r>
      <w:r>
        <w:rPr>
          <w:rFonts w:ascii="Arial" w:cs="Arial" w:eastAsia="Arial" w:hAnsi="Arial"/>
          <w:sz w:val="16"/>
          <w:szCs w:val="16"/>
          <w:color w:val="auto"/>
          <w:highlight w:val="white"/>
        </w:rPr>
        <w:t>Twitter</w:t>
      </w:r>
      <w:r>
        <w:rPr>
          <w:rFonts w:ascii="Arial" w:cs="Arial" w:eastAsia="Arial" w:hAnsi="Arial"/>
          <w:sz w:val="16"/>
          <w:szCs w:val="16"/>
          <w:color w:val="auto"/>
        </w:rPr>
        <w:t xml:space="preserve"> </w:t>
      </w:r>
      <w:r>
        <w:rPr>
          <w:rFonts w:ascii="Arial" w:cs="Arial" w:eastAsia="Arial" w:hAnsi="Arial"/>
          <w:sz w:val="16"/>
          <w:szCs w:val="16"/>
          <w:color w:val="0A0A0A"/>
          <w:highlight w:val="white"/>
        </w:rPr>
        <w:t>(@BlueprintMeds) and</w:t>
      </w:r>
      <w:r>
        <w:rPr>
          <w:rFonts w:ascii="Arial" w:cs="Arial" w:eastAsia="Arial" w:hAnsi="Arial"/>
          <w:sz w:val="16"/>
          <w:szCs w:val="16"/>
          <w:color w:val="auto"/>
        </w:rPr>
        <w:t xml:space="preserve"> </w:t>
      </w:r>
      <w:r>
        <w:rPr>
          <w:rFonts w:ascii="Arial" w:cs="Arial" w:eastAsia="Arial" w:hAnsi="Arial"/>
          <w:sz w:val="16"/>
          <w:szCs w:val="16"/>
          <w:color w:val="006E96"/>
          <w:highlight w:val="white"/>
        </w:rPr>
        <w:t>LinkedIn</w:t>
      </w:r>
      <w:r>
        <w:rPr>
          <w:rFonts w:ascii="Arial" w:cs="Arial" w:eastAsia="Arial" w:hAnsi="Arial"/>
          <w:sz w:val="16"/>
          <w:szCs w:val="16"/>
          <w:color w:val="0A0A0A"/>
          <w:highlight w:val="white"/>
        </w:rPr>
        <w:t>.</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3" w:lineRule="exact"/>
        <w:rPr>
          <w:sz w:val="20"/>
          <w:szCs w:val="20"/>
          <w:color w:val="auto"/>
        </w:rPr>
      </w:pPr>
    </w:p>
    <w:p>
      <w:pPr>
        <w:ind w:left="140" w:right="219"/>
        <w:spacing w:after="0" w:line="246"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the clinical development of BLU-667; expectations regarding the potential benefits of BLU-667 in treating patients with RET-fusion NSCLC, RET-mutant MTC and other RET-altered cancers; plans and timelines for submitting an NDA to the FDA for BLU-667 for the treatment of RET-fusion NSCLC and RET-mutant MTC; plans, timelines and expectations for interactions with global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692785</wp:posOffset>
            </wp:positionV>
            <wp:extent cx="555117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4" w:name="page15"/>
    <w:bookmarkEnd w:id="14"/>
    <w:p>
      <w:pPr>
        <w:ind w:left="140" w:right="139"/>
        <w:spacing w:after="0" w:line="273" w:lineRule="auto"/>
        <w:rPr>
          <w:sz w:val="20"/>
          <w:szCs w:val="20"/>
          <w:color w:val="auto"/>
        </w:rPr>
      </w:pPr>
      <w:r>
        <w:rPr>
          <w:rFonts w:ascii="Arial" w:cs="Arial" w:eastAsia="Arial" w:hAnsi="Arial"/>
          <w:sz w:val="16"/>
          <w:szCs w:val="16"/>
          <w:color w:val="auto"/>
        </w:rPr>
        <w:t>authorities; plans to expand the enrollment target of the ongoing ARROW trial cohort for treatment-naïve RET-fusion NSCLC patients; expectations regarding the expedited development of BLU-667 in first-line RET-fusion NSCLC; plans to initiate a Phase 3 trial of BLU-667 in first-line RET-fusion NSCLC; and Blueprint Medicines’ strategy, goals and anticipated milestones,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BLU-667, BLU-554 and BLU-782;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period ended March 31, 2019, as filed with the Securities and Exchange Commission (SEC) on May 9, 2019,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37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Investor Relations Contact</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Kristin Hodous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ir@blueprintmedicines.com</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Media Relations Contact</w:t>
      </w:r>
    </w:p>
    <w:p>
      <w:pPr>
        <w:spacing w:after="0" w:line="21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Andrew Law</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617-844-8205</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699770</wp:posOffset>
            </wp:positionV>
            <wp:extent cx="555117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51170" cy="2349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15" w:name="page16"/>
    <w:bookmarkEnd w:id="15"/>
    <w:p>
      <w:pPr>
        <w:ind w:left="9380"/>
        <w:spacing w:after="0"/>
        <w:rPr>
          <w:sz w:val="20"/>
          <w:szCs w:val="20"/>
          <w:color w:val="auto"/>
        </w:rPr>
      </w:pPr>
      <w:r>
        <w:rPr>
          <w:rFonts w:ascii="Arial" w:cs="Arial" w:eastAsia="Arial" w:hAnsi="Arial"/>
          <w:sz w:val="15"/>
          <w:szCs w:val="15"/>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4427220</wp:posOffset>
            </wp:positionV>
            <wp:extent cx="6871335"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71335" cy="23495"/>
                    </a:xfrm>
                    <a:prstGeom prst="rect">
                      <a:avLst/>
                    </a:prstGeom>
                    <a:noFill/>
                  </pic:spPr>
                </pic:pic>
              </a:graphicData>
            </a:graphic>
          </wp:anchor>
        </w:drawing>
        <w:drawing>
          <wp:anchor simplePos="0" relativeHeight="251657728" behindDoc="1" locked="0" layoutInCell="0" allowOverlap="1">
            <wp:simplePos x="0" y="0"/>
            <wp:positionH relativeFrom="column">
              <wp:posOffset>-700405</wp:posOffset>
            </wp:positionH>
            <wp:positionV relativeFrom="paragraph">
              <wp:posOffset>25400</wp:posOffset>
            </wp:positionV>
            <wp:extent cx="6987540" cy="3455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87540" cy="345503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6" w:name="page17"/>
    <w:bookmarkEnd w:id="16"/>
    <w:p>
      <w:pPr>
        <w:ind w:left="9380"/>
        <w:spacing w:after="0"/>
        <w:rPr>
          <w:sz w:val="20"/>
          <w:szCs w:val="20"/>
          <w:color w:val="auto"/>
        </w:rPr>
      </w:pPr>
      <w:r>
        <w:rPr>
          <w:rFonts w:ascii="Arial" w:cs="Arial" w:eastAsia="Arial" w:hAnsi="Arial"/>
          <w:sz w:val="15"/>
          <w:szCs w:val="15"/>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25400</wp:posOffset>
            </wp:positionV>
            <wp:extent cx="7003415" cy="4013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213360</wp:posOffset>
            </wp:positionH>
            <wp:positionV relativeFrom="page">
              <wp:posOffset>88900</wp:posOffset>
            </wp:positionV>
            <wp:extent cx="7003415" cy="40138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4013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o"/>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2019-12-28T11:24:38Z</dcterms:created>
  <dcterms:modified xsi:type="dcterms:W3CDTF">2019-12-28T11:24:38Z</dcterms:modified>
</cp:coreProperties>
</file>