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320288d1_8k.htm"/>
      <w:bookmarkStart w:id="1" w:name="kstm232028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30630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June 30, 2023</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3"/>
      <w:bookmarkEnd w:id="4"/>
      <w:r>
        <w:rPr>
          <w:rFonts w:ascii="Times New Roman;Times;Serif" w:hAnsi="Times New Roman;Times;Serif"/>
          <w:b/>
          <w:i w:val="false"/>
          <w:caps w:val="false"/>
          <w:smallCaps w:val="false"/>
          <w:sz w:val="36"/>
        </w:rPr>
        <w:t>Blueprint Medicines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30630"/>
            <w:bookmarkEnd w:id="6"/>
            <w:r>
              <w:rPr>
                <w:rFonts w:ascii="Times New Roman;Times;Serif" w:hAnsi="Times New Roman;Times;Serif"/>
                <w:b/>
                <w:i w:val="false"/>
                <w:caps w:val="false"/>
                <w:smallCaps w:val="false"/>
                <w:sz w:val="20"/>
              </w:rPr>
              <w:t>001-37359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26-3632015</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45 Sidney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Cambridge, </w:t>
            </w:r>
            <w:bookmarkStart w:id="10" w:name="xdx_909_edei--EntityAddressStateOrProvin"/>
            <w:bookmarkEnd w:id="10"/>
            <w:r>
              <w:rPr>
                <w:rFonts w:ascii="Times New Roman;Times;Serif" w:hAnsi="Times New Roman;Times;Serif"/>
                <w:b/>
                <w:i w:val="false"/>
                <w:caps w:val="false"/>
                <w:smallCaps w:val="false"/>
                <w:sz w:val="20"/>
              </w:rPr>
              <w:t>Massachusetts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7_edei--EntityAddressPostalZipCode"/>
            <w:bookmarkEnd w:id="11"/>
            <w:r>
              <w:rPr>
                <w:rFonts w:ascii="Times New Roman;Times;Serif" w:hAnsi="Times New Roman;Times;Serif"/>
                <w:b/>
                <w:i w:val="false"/>
                <w:caps w:val="false"/>
                <w:smallCaps w:val="false"/>
                <w:sz w:val="20"/>
              </w:rPr>
              <w:t>02139</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C_edei--CityAreaCode_c20230630__20"/>
      <w:bookmarkEnd w:id="12"/>
      <w:r>
        <w:rPr>
          <w:rFonts w:ascii="Times New Roman;Times;Serif" w:hAnsi="Times New Roman;Times;Serif"/>
          <w:b/>
          <w:i w:val="false"/>
          <w:caps w:val="false"/>
          <w:smallCaps w:val="false"/>
          <w:sz w:val="20"/>
        </w:rPr>
        <w:t xml:space="preserve">617) </w:t>
      </w:r>
      <w:bookmarkStart w:id="13" w:name="xdx_908_edei--LocalPhoneNumber_c20230630"/>
      <w:bookmarkEnd w:id="13"/>
      <w:r>
        <w:rPr>
          <w:rFonts w:ascii="Times New Roman;Times;Serif" w:hAnsi="Times New Roman;Times;Serif"/>
          <w:b/>
          <w:i w:val="false"/>
          <w:caps w:val="false"/>
          <w:smallCaps w:val="false"/>
          <w:sz w:val="20"/>
        </w:rPr>
        <w:t>374-7580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4" w:name="xdx_901_edei--WrittenCommunications_c202"/>
            <w:bookmarkEnd w:id="14"/>
            <w:r>
              <w:rPr>
                <w:caps w:val="false"/>
                <w:smallCaps w:val="false"/>
              </w:rPr>
              <w:t>☐</w:t>
            </w:r>
          </w:p>
        </w:tc>
        <w:tc>
          <w:tcPr>
            <w:tcW w:w="990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C_edei--SolicitingMaterial_c202306"/>
            <w:bookmarkEnd w:id="15"/>
            <w:r>
              <w:rPr/>
              <w:t>☐</w:t>
            </w:r>
          </w:p>
        </w:tc>
        <w:tc>
          <w:tcPr>
            <w:tcW w:w="9900" w:type="dxa"/>
            <w:tcBorders/>
            <w:vAlign w:val="center"/>
          </w:tcPr>
          <w:p>
            <w:pPr>
              <w:pStyle w:val="TableContents"/>
              <w:bidi w:val="0"/>
              <w:spacing w:before="0" w:after="283"/>
              <w:jc w:val="both"/>
              <w:rPr/>
            </w:pPr>
            <w:r>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D_edei--PreCommencementTenderOffer"/>
            <w:bookmarkEnd w:id="16"/>
            <w:r>
              <w:rPr/>
              <w:t>☐</w:t>
            </w:r>
          </w:p>
        </w:tc>
        <w:tc>
          <w:tcPr>
            <w:tcW w:w="990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9_edei--PreCommencementIssuerTende"/>
            <w:bookmarkEnd w:id="17"/>
            <w:r>
              <w:rPr/>
              <w:t>☐</w:t>
            </w:r>
          </w:p>
        </w:tc>
        <w:tc>
          <w:tcPr>
            <w:tcW w:w="990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A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10" w:type="dxa"/>
        <w:tblLayout w:type="fixed"/>
        <w:tblCellMar>
          <w:top w:w="28" w:type="dxa"/>
          <w:left w:w="108" w:type="dxa"/>
          <w:bottom w:w="28" w:type="dxa"/>
          <w:right w:w="108" w:type="dxa"/>
        </w:tblCellMar>
      </w:tblPr>
      <w:tblGrid>
        <w:gridCol w:w="3485"/>
        <w:gridCol w:w="1505"/>
        <w:gridCol w:w="2750"/>
      </w:tblGrid>
      <w:tr>
        <w:trPr/>
        <w:tc>
          <w:tcPr>
            <w:tcW w:w="34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27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34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30630"/>
            <w:bookmarkEnd w:id="19"/>
            <w:r>
              <w:rPr>
                <w:rFonts w:ascii="Times New Roman;Times;Serif" w:hAnsi="Times New Roman;Times;Serif"/>
                <w:b w:val="false"/>
                <w:i w:val="false"/>
                <w:caps w:val="false"/>
                <w:smallCaps w:val="false"/>
                <w:sz w:val="20"/>
              </w:rPr>
              <w:t>Common stock, par value $0.001 per share</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30630__2"/>
            <w:bookmarkEnd w:id="20"/>
            <w:r>
              <w:rPr>
                <w:rFonts w:ascii="Times New Roman;Times;Serif" w:hAnsi="Times New Roman;Times;Serif"/>
                <w:b w:val="false"/>
                <w:i w:val="false"/>
                <w:caps w:val="false"/>
                <w:smallCaps w:val="false"/>
                <w:sz w:val="20"/>
              </w:rPr>
              <w:t>BPMC</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ExchangeName_c2023"/>
            <w:bookmarkEnd w:id="21"/>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Genentech, Inc. (“Genentech”), a member of the Roche Group, today announced the voluntary withdrawal of the U.S. indication of GAVRETO® (pralsetinib) for the treatment of adult and pediatric patients 12 years of age and older with advanced or metastatic rearranged during transfection (RET)-mutant medullary thyroid cancer (“MTC”) who require systemic therapy. Genentech stated that its decision to withdraw the indication is not due to any new safety or efficacy data for GAVRETO or a product safety or quality issue, and other approved indications for GAVRETO in the United States are unaffected. Under Blueprint Medicines Corporation’s (the “Company,” “our” or “we”) collaboration, Genentech remains the New Drug Application sponsor in the United States.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decision was made in consultation with the U.S. Food and Drug Administration (“FDA”), in accordance with the requirements of the FDA’s Accelerated Approval Program. Specifically, AcceleRET-MTC, a Phase III clinical trial required by the FDA to convert the accelerated approval of GAVRETO for MTC to a full approval, will no longer be pursued due to feasibility. The confirmatory studies to meet the commitments required to convert the remaining indications for GAVRETO, also approved under accelerated approval, to full approval, are ongoing.</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Genentech has previously disclosed that the MTC indication contributes a small fraction of its annual GAVRETO revenues in the United States. The Company anticipates that this decision will have no impact to its 2023 collaboration revenue guidance of $40 to $50 million. In February 2023, Roche provided written notification of their decision to terminate the collaboration agreement, which will become effective in February 2024.</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partnership with Genentech, remains committed to supporting appropriate treatment continuity for MTC patients in the United States who are currently treated with GAVRETO, and to supporting patients and healthcare practitioners navigate the near-term impacts of this update.</w:t>
      </w:r>
    </w:p>
    <w:p>
      <w:pPr>
        <w:pStyle w:val="TextBody"/>
        <w:shd w:fill="FFFFFF" w:val="clear"/>
        <w:bidi w:val="0"/>
        <w:spacing w:before="0" w:after="0"/>
        <w:ind w:left="0" w:right="0" w:firstLine="72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84" w:type="dxa"/>
        <w:jc w:val="left"/>
        <w:tblInd w:w="0" w:type="dxa"/>
        <w:tblLayout w:type="fixed"/>
        <w:tblCellMar>
          <w:top w:w="0" w:type="dxa"/>
          <w:left w:w="0" w:type="dxa"/>
          <w:bottom w:w="0" w:type="dxa"/>
          <w:right w:w="0" w:type="dxa"/>
        </w:tblCellMar>
      </w:tblPr>
      <w:tblGrid>
        <w:gridCol w:w="1655"/>
        <w:gridCol w:w="538"/>
        <w:gridCol w:w="3291"/>
      </w:tblGrid>
      <w:tr>
        <w:trPr/>
        <w:tc>
          <w:tcPr>
            <w:tcW w:w="165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BLUEPRINT MEDICINES CORPORATION</w:t>
            </w:r>
          </w:p>
        </w:tc>
      </w:tr>
      <w:tr>
        <w:trPr/>
        <w:tc>
          <w:tcPr>
            <w:tcW w:w="165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30, 2023</w:t>
            </w:r>
          </w:p>
        </w:tc>
        <w:tc>
          <w:tcPr>
            <w:tcW w:w="5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91"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Kathryn Haviland</w:t>
            </w:r>
          </w:p>
        </w:tc>
      </w:tr>
      <w:tr>
        <w:trPr/>
        <w:tc>
          <w:tcPr>
            <w:tcW w:w="165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3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Kathryn Haviland</w:t>
            </w:r>
          </w:p>
        </w:tc>
      </w:tr>
      <w:tr>
        <w:trPr/>
        <w:tc>
          <w:tcPr>
            <w:tcW w:w="165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3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648</Words>
  <Characters>3699</Characters>
  <CharactersWithSpaces>4351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