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Dorsch Marion</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500" w:type="dxa"/>
            <w:vAlign w:val="bottom"/>
            <w:tcBorders>
              <w:top w:val="single" w:sz="8" w:color="0000EE"/>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11/21/2017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Chief Scientific Officer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40" w:type="dxa"/>
            <w:vAlign w:val="bottom"/>
            <w:gridSpan w:val="6"/>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tcPr>
          <w:p>
            <w:pPr>
              <w:ind w:left="3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11/22/2017</w:t>
            </w: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w w:val="97"/>
              </w:rPr>
              <w:t>11/21/2017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500</w:t>
            </w:r>
            <w:r>
              <w:rPr>
                <w:rFonts w:ascii="Arial" w:cs="Arial" w:eastAsia="Arial" w:hAnsi="Arial"/>
                <w:sz w:val="22"/>
                <w:szCs w:val="22"/>
                <w:color w:val="008000"/>
                <w:vertAlign w:val="superscript"/>
              </w:rPr>
              <w:t>(2)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64.44</w:t>
            </w:r>
            <w:r>
              <w:rPr>
                <w:rFonts w:ascii="Arial" w:cs="Arial" w:eastAsia="Arial" w:hAnsi="Arial"/>
                <w:sz w:val="22"/>
                <w:szCs w:val="22"/>
                <w:color w:val="008000"/>
                <w:w w:val="93"/>
                <w:vertAlign w:val="superscript"/>
              </w:rPr>
              <w:t>(3)</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0"/>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on this Form 4/A were effected pursuant to a trading plan adopted on June 22, 2017 pursuant to Rule 10b5-1 under the Securities Exchange Act of 1934, as amended.</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amendment is being filed solely to correct the fact that the original filing inadvertently stated that these securities were acquired, rather than disposed of.</w:t>
      </w:r>
    </w:p>
    <w:p>
      <w:pPr>
        <w:spacing w:after="0" w:line="41"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$64.42 to $64.51 per share. The Reporting Person undertakes to provide to the Issuer, any security holder of the Issuer or the staff of the Securities and Exchange Commission, upon request, full information regarding the number of shares sold at each separate price within the ranges.</w:t>
      </w:r>
    </w:p>
    <w:tbl>
      <w:tblPr>
        <w:tblLayout w:type="fixed"/>
        <w:tblInd w:w="6860" w:type="dxa"/>
        <w:tblCellMar>
          <w:top w:w="0" w:type="dxa"/>
          <w:left w:w="0" w:type="dxa"/>
          <w:bottom w:w="0" w:type="dxa"/>
          <w:right w:w="0" w:type="dxa"/>
        </w:tblCellMar>
      </w:tblPr>
      <w:tr>
        <w:trPr>
          <w:trHeight w:val="199"/>
        </w:trPr>
        <w:tc>
          <w:tcPr>
            <w:tcW w:w="204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11/24/2017</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46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2019-12-04T02:29:38Z</dcterms:created>
  <dcterms:modified xsi:type="dcterms:W3CDTF">2019-12-04T02:29:38Z</dcterms:modified>
</cp:coreProperties>
</file>