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259080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251460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2"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2"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February 17, 2021, Blueprint Medicines Corporation (the “Company”) announced its financial results for the quarter and year ended December 31, 2020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14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1"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issued by Blueprint Medicines Corporation on February 17, 2021</w:t>
              </w:r>
            </w:hyperlink>
          </w:p>
        </w:tc>
      </w:tr>
      <w:tr>
        <w:trPr>
          <w:trHeight w:val="216"/>
        </w:trPr>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Cover Page Interactive Data File </w:t>
            </w:r>
            <w:r>
              <w:rPr>
                <w:rFonts w:ascii="Times New Roman" w:cs="Times New Roman" w:eastAsia="Times New Roman" w:hAnsi="Times New Roman"/>
                <w:sz w:val="18"/>
                <w:szCs w:val="18"/>
                <w:color w:val="212529"/>
              </w:rPr>
              <w:t>(embedded within the Inline XBRL document and incorporated as Exhibit</w:t>
            </w:r>
          </w:p>
        </w:tc>
      </w:tr>
      <w:tr>
        <w:trPr>
          <w:trHeight w:val="234"/>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212529"/>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1" w:right="9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17145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17"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Reports Fourth Quarter and Full Year 2020 Financial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w:t>
      </w:r>
      <w:r>
        <w:rPr>
          <w:rFonts w:ascii="Arial" w:cs="Arial" w:eastAsia="Arial" w:hAnsi="Arial"/>
          <w:sz w:val="18"/>
          <w:szCs w:val="18"/>
          <w:i w:val="1"/>
          <w:iCs w:val="1"/>
          <w:color w:val="auto"/>
        </w:rPr>
        <w:t>upplemental NDA accepted by FDA for AYVAKIT™ (avapritinib) for advanced systemic mastocytosis</w:t>
      </w:r>
      <w:r>
        <w:rPr>
          <w:rFonts w:ascii="Arial" w:cs="Arial" w:eastAsia="Arial" w:hAnsi="Arial"/>
          <w:sz w:val="18"/>
          <w:szCs w:val="18"/>
          <w:color w:val="auto"/>
        </w:rPr>
        <w:t xml:space="preserve"> --</w:t>
      </w:r>
    </w:p>
    <w:p>
      <w:pPr>
        <w:spacing w:after="0" w:line="18" w:lineRule="exact"/>
        <w:rPr>
          <w:sz w:val="20"/>
          <w:szCs w:val="20"/>
          <w:color w:val="auto"/>
        </w:rPr>
      </w:pPr>
    </w:p>
    <w:p>
      <w:pPr>
        <w:ind w:left="420" w:hanging="174"/>
        <w:spacing w:after="0"/>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Type II variation MAA submitted to EMA for AYVAKYT</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(avapritinib) for advanced systemic mastocytosis</w:t>
      </w:r>
    </w:p>
    <w:p>
      <w:pPr>
        <w:spacing w:after="0" w:line="7" w:lineRule="exact"/>
        <w:rPr>
          <w:rFonts w:ascii="Arial" w:cs="Arial" w:eastAsia="Arial" w:hAnsi="Arial"/>
          <w:sz w:val="17"/>
          <w:szCs w:val="17"/>
          <w:color w:val="auto"/>
        </w:rPr>
      </w:pPr>
    </w:p>
    <w:p>
      <w:pPr>
        <w:ind w:left="4440"/>
        <w:spacing w:after="0" w:line="234" w:lineRule="auto"/>
        <w:rPr>
          <w:rFonts w:ascii="Arial" w:cs="Arial" w:eastAsia="Arial" w:hAnsi="Arial"/>
          <w:sz w:val="17"/>
          <w:szCs w:val="17"/>
          <w:color w:val="auto"/>
        </w:rPr>
      </w:pPr>
      <w:r>
        <w:rPr>
          <w:rFonts w:ascii="Arial" w:cs="Arial" w:eastAsia="Arial" w:hAnsi="Arial"/>
          <w:sz w:val="18"/>
          <w:szCs w:val="18"/>
          <w:color w:val="auto"/>
        </w:rPr>
        <w:t>--</w:t>
      </w:r>
    </w:p>
    <w:p>
      <w:pPr>
        <w:jc w:val="center"/>
        <w:ind w:left="2500" w:right="519" w:hanging="2001"/>
        <w:spacing w:after="0" w:line="234" w:lineRule="auto"/>
        <w:tabs>
          <w:tab w:leader="none" w:pos="668"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a potential best-in-class research program targeting CDK2 for the treatment of multiple cancers with tumor-associated cell cycle defects --</w:t>
      </w:r>
    </w:p>
    <w:p>
      <w:pPr>
        <w:spacing w:after="0" w:line="1" w:lineRule="exact"/>
        <w:rPr>
          <w:rFonts w:ascii="Arial" w:cs="Arial" w:eastAsia="Arial" w:hAnsi="Arial"/>
          <w:sz w:val="18"/>
          <w:szCs w:val="18"/>
          <w:i w:val="1"/>
          <w:iCs w:val="1"/>
          <w:color w:val="auto"/>
        </w:rPr>
      </w:pPr>
    </w:p>
    <w:p>
      <w:pPr>
        <w:ind w:left="440" w:hanging="176"/>
        <w:spacing w:after="0" w:line="234" w:lineRule="auto"/>
        <w:tabs>
          <w:tab w:leader="none" w:pos="44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Plan to provide updates across multiple clinical and research programs at AACR 2021 Annual Meeting --</w:t>
      </w:r>
    </w:p>
    <w:p>
      <w:pPr>
        <w:ind w:left="2480" w:hanging="166"/>
        <w:spacing w:after="0"/>
        <w:tabs>
          <w:tab w:leader="none" w:pos="2480" w:val="left"/>
        </w:tabs>
        <w:numPr>
          <w:ilvl w:val="3"/>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Ended 2020 with approximately $1.5 billion in cash --</w:t>
      </w:r>
    </w:p>
    <w:p>
      <w:pPr>
        <w:spacing w:after="0" w:line="176" w:lineRule="exact"/>
        <w:rPr>
          <w:sz w:val="20"/>
          <w:szCs w:val="20"/>
          <w:color w:val="auto"/>
        </w:rPr>
      </w:pPr>
    </w:p>
    <w:p>
      <w:pPr>
        <w:ind w:left="200" w:right="819"/>
        <w:spacing w:after="0" w:line="255" w:lineRule="auto"/>
        <w:rPr>
          <w:sz w:val="20"/>
          <w:szCs w:val="20"/>
          <w:color w:val="auto"/>
        </w:rPr>
      </w:pPr>
      <w:r>
        <w:rPr>
          <w:rFonts w:ascii="Arial" w:cs="Arial" w:eastAsia="Arial" w:hAnsi="Arial"/>
          <w:sz w:val="18"/>
          <w:szCs w:val="18"/>
          <w:color w:val="auto"/>
        </w:rPr>
        <w:t>CAMBRIDGE, Mass., February 17, 2021 – Blueprint Medicines Corporation (NASDAQ:BPMC) today reported financial results and provided a business update for the fourth quarter and full year ended December 31, 2020.</w:t>
      </w:r>
    </w:p>
    <w:p>
      <w:pPr>
        <w:spacing w:after="0" w:line="150"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“Last year was transformational for Blueprint Medicines, with four regulatory approvals in the United States and Europe, as we executed on our foundational mission of delivering innovative precision medicines to patients globally,” said Jeff Albers, Chief Executive Officer of Blueprint Medicines. “In 2021, as we accelerate ongoing efforts to drive the global adoption of AYVAKIT and GAVRETO, we look forward to a potential U.S. approval for AYVAKIT for the most advanced and deadly form of systemic mastocytosis for which no other precision medicines are currently available. We also continue to focus on our next wave of therapeutic candidates, including our two EGFR inhibitors, which we anticipate will enter the clinic this year with the goal of achieving rapid clinical proof-of-concept. In addition, we continue to expand our research pipeline with new assets that leverage our kinase inhibition expertise, and today, we are excited to announce our newest research program that selectively targets CDK2, a kinase involved in driving multiple cancers.”</w:t>
      </w:r>
    </w:p>
    <w:p>
      <w:pPr>
        <w:spacing w:after="0" w:line="161" w:lineRule="exact"/>
        <w:rPr>
          <w:sz w:val="20"/>
          <w:szCs w:val="20"/>
          <w:color w:val="auto"/>
        </w:rPr>
      </w:pPr>
    </w:p>
    <w:p>
      <w:pPr>
        <w:ind w:left="200" w:right="3259"/>
        <w:spacing w:after="0" w:line="387" w:lineRule="auto"/>
        <w:rPr>
          <w:sz w:val="20"/>
          <w:szCs w:val="20"/>
          <w:color w:val="auto"/>
        </w:rPr>
      </w:pPr>
      <w:r>
        <w:rPr>
          <w:rFonts w:ascii="Arial" w:cs="Arial" w:eastAsia="Arial" w:hAnsi="Arial"/>
          <w:sz w:val="17"/>
          <w:szCs w:val="17"/>
          <w:b w:val="1"/>
          <w:bCs w:val="1"/>
          <w:color w:val="auto"/>
        </w:rPr>
        <w:t>Fourth Quarter 2020 Highlights and Recent Progress AYVAKIT™/AYVAKYT® (avapritinib): systemic mastocytosis (SM)</w:t>
      </w:r>
    </w:p>
    <w:p>
      <w:pPr>
        <w:spacing w:after="0" w:line="1" w:lineRule="exact"/>
        <w:rPr>
          <w:sz w:val="20"/>
          <w:szCs w:val="20"/>
          <w:color w:val="auto"/>
        </w:rPr>
      </w:pPr>
    </w:p>
    <w:p>
      <w:pPr>
        <w:ind w:left="860" w:right="439" w:hanging="327"/>
        <w:spacing w:after="0" w:line="248" w:lineRule="auto"/>
        <w:tabs>
          <w:tab w:leader="none" w:pos="8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Today announced the U.S. Food and Drug Administration (FDA) has accepted our supplemental new drug application for AYVAKIT for advanced systemic mastocytosis (SM). The FDA granted priority review and set an action date of June 16, 2021 under the Prescription Drug User Fee Act.</w:t>
      </w:r>
    </w:p>
    <w:p>
      <w:pPr>
        <w:jc w:val="both"/>
        <w:ind w:left="860" w:right="499" w:hanging="327"/>
        <w:spacing w:after="0" w:line="248" w:lineRule="auto"/>
        <w:tabs>
          <w:tab w:leader="none" w:pos="8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Today announced the submission of a Type II variation marketing authorization application to the European Medicines Agency for AYVAKYT for the treatment of adult patients with advanced SM.</w:t>
      </w:r>
    </w:p>
    <w:p>
      <w:pPr>
        <w:jc w:val="both"/>
        <w:ind w:left="860" w:right="399" w:hanging="327"/>
        <w:spacing w:after="0" w:line="259" w:lineRule="auto"/>
        <w:tabs>
          <w:tab w:leader="none" w:pos="8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Received breakthrough therapy designation from the FDA for the treatment of moderate to severe indolent SM, which encompasses the majority of patients with SM. Avapritinib has also previously received breakthrough therapy designation for the treatment of patients with advanced SM.</w:t>
      </w:r>
    </w:p>
    <w:p>
      <w:pPr>
        <w:ind w:left="860" w:right="479" w:hanging="327"/>
        <w:spacing w:after="0" w:line="219" w:lineRule="auto"/>
        <w:tabs>
          <w:tab w:leader="none" w:pos="8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Presented new data at the virtual 62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American Society of Hematology (ASH) Annual Meeting highlighting new proposed response criteria for advanced SM, the potential of highly sensitive droplet digital PCR-based KIT D816V testing to accelerate diagnosis across the spectrum of SM, and data from patients and healthcare providers characterizing the significant disease burden across the full spectrum of SM. Read the press release here.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AYVAKIT™/AYVAKYT® (avapritinib): gastrointestinal stromal tumor (GIST)</w:t>
      </w:r>
    </w:p>
    <w:p>
      <w:pPr>
        <w:spacing w:after="0" w:line="20" w:lineRule="exact"/>
        <w:rPr>
          <w:sz w:val="20"/>
          <w:szCs w:val="20"/>
          <w:color w:val="auto"/>
        </w:rPr>
      </w:pPr>
    </w:p>
    <w:p>
      <w:pPr>
        <w:ind w:left="860" w:right="399" w:hanging="327"/>
        <w:spacing w:after="0" w:line="238" w:lineRule="auto"/>
        <w:tabs>
          <w:tab w:leader="none" w:pos="8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Recorded $6.0 million in net product revenue during the fourth quarter of 2020 for AYVAKIT/AYVAKYT, which was approved by the FDA in January 2020 for the treatment of adults with unresectable or metastatic GIST harboring a PDGFRA exon 18 mutation, including PDGFRA D842V mutations, and by the European Commission in September 2020 for the treatment of adult patients with unresectable or metastatic GIST harboring the PDGFRA D842V mutation.</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GAVRETO™ (pralsetinib): RET-altered cancers</w:t>
      </w:r>
    </w:p>
    <w:p>
      <w:pPr>
        <w:spacing w:after="0" w:line="20" w:lineRule="exact"/>
        <w:rPr>
          <w:sz w:val="20"/>
          <w:szCs w:val="20"/>
          <w:color w:val="auto"/>
        </w:rPr>
      </w:pPr>
    </w:p>
    <w:p>
      <w:pPr>
        <w:ind w:left="860" w:right="499" w:hanging="327"/>
        <w:spacing w:after="0" w:line="238" w:lineRule="auto"/>
        <w:tabs>
          <w:tab w:leader="none" w:pos="8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Recorded $0.7 million in net product revenue during the fourth quarter of 2020 for GAVRETO, which was approved by the FDA in September 2020 for the treatment of adult patients with metastatic RET fusion-positive non-small cell lung cancer (NSCLC) as detected by an FDA approved test and in December 2020 for the treatment of patients 12 years of age and older with advanced or metastatic RET-mutant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860" w:right="239"/>
        <w:spacing w:after="0" w:line="248" w:lineRule="auto"/>
        <w:rPr>
          <w:sz w:val="20"/>
          <w:szCs w:val="20"/>
          <w:color w:val="auto"/>
        </w:rPr>
      </w:pPr>
      <w:r>
        <w:rPr>
          <w:rFonts w:ascii="Arial" w:cs="Arial" w:eastAsia="Arial" w:hAnsi="Arial"/>
          <w:sz w:val="18"/>
          <w:szCs w:val="18"/>
          <w:color w:val="auto"/>
        </w:rPr>
        <w:t>medullary thyroid cancer (MTC) and RET fusion-positive thyroid cancer. Blueprint Medicines is commercializing GAVRETO in the U.S. together with Genentech, Inc., a member of the Roche Group. Read the press release announcing the expansion of the FDA label for GAVRETO into RET-mutant MTC and RET fusion-positive thyroid cancer here.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BLU-263: systemic mastocytosis</w:t>
      </w:r>
    </w:p>
    <w:p>
      <w:pPr>
        <w:spacing w:after="0" w:line="20" w:lineRule="exact"/>
        <w:rPr>
          <w:sz w:val="20"/>
          <w:szCs w:val="20"/>
          <w:color w:val="auto"/>
        </w:rPr>
      </w:pPr>
    </w:p>
    <w:p>
      <w:pPr>
        <w:ind w:left="860" w:right="359" w:hanging="327"/>
        <w:spacing w:after="0" w:line="242"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Reported positive top-line results from a Phase 1 trial in healthy volunteers, showing that BLU-263 was well-tolerated across a range of single- and multiple-ascending doses predicted to potently inhibit D816V mutant KIT, the underlying SM disease driver.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Portfolio:</w:t>
      </w:r>
    </w:p>
    <w:p>
      <w:pPr>
        <w:spacing w:after="0" w:line="20" w:lineRule="exact"/>
        <w:rPr>
          <w:sz w:val="20"/>
          <w:szCs w:val="20"/>
          <w:color w:val="auto"/>
        </w:rPr>
      </w:pPr>
    </w:p>
    <w:p>
      <w:pPr>
        <w:ind w:left="860" w:right="319" w:hanging="327"/>
        <w:spacing w:after="0" w:line="237"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Today announced a highly selective and potent research program with best-in-class potential targeting CDK2. CDK2, a cyclin-dependent kinase involved in cell cycle biology, is activated by its regulatory partner Cyclin E, and can drive cancer cell proliferation when Cyclin E is aberrantly expressed. Dysregulated Cyclin E is associated with multiple malignancies and has been shown to be a mechanism of resistance to targeted therapies, including CDK4/6 inhibitors.</w:t>
      </w:r>
    </w:p>
    <w:p>
      <w:pPr>
        <w:spacing w:after="0" w:line="3" w:lineRule="exact"/>
        <w:rPr>
          <w:rFonts w:ascii="Times New Roman" w:cs="Times New Roman" w:eastAsia="Times New Roman" w:hAnsi="Times New Roman"/>
          <w:sz w:val="18"/>
          <w:szCs w:val="18"/>
          <w:color w:val="auto"/>
        </w:rPr>
      </w:pPr>
    </w:p>
    <w:p>
      <w:pPr>
        <w:ind w:left="860" w:right="299" w:hanging="327"/>
        <w:spacing w:after="0" w:line="257"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Nominated BLU-701, a potential first-in-class, selective, brain-penetrant development candidate for treatment-resistant double-mutant EGFR-driven NSCLC.</w:t>
      </w:r>
    </w:p>
    <w:p>
      <w:pPr>
        <w:spacing w:after="0" w:line="1" w:lineRule="exact"/>
        <w:rPr>
          <w:rFonts w:ascii="Times New Roman" w:cs="Times New Roman" w:eastAsia="Times New Roman" w:hAnsi="Times New Roman"/>
          <w:sz w:val="18"/>
          <w:szCs w:val="18"/>
          <w:color w:val="auto"/>
        </w:rPr>
      </w:pPr>
    </w:p>
    <w:p>
      <w:pPr>
        <w:ind w:left="860" w:right="239" w:hanging="327"/>
        <w:spacing w:after="0" w:line="242"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Nominated a potential best-in-class development candidate targeting MAP4K1, a kinase believed to play a role in T-cell regulation, under the company’s cancer immunotherapy collaboration with Roche.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w:t>
      </w:r>
    </w:p>
    <w:p>
      <w:pPr>
        <w:spacing w:after="0" w:line="20" w:lineRule="exact"/>
        <w:rPr>
          <w:sz w:val="20"/>
          <w:szCs w:val="20"/>
          <w:color w:val="auto"/>
        </w:rPr>
      </w:pPr>
    </w:p>
    <w:p>
      <w:pPr>
        <w:ind w:left="860" w:right="259" w:hanging="327"/>
        <w:spacing w:after="0" w:line="278" w:lineRule="auto"/>
        <w:tabs>
          <w:tab w:leader="none" w:pos="8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Announced leadership transitions for the company’s research and development organization, including the promotion of Becker Hewes, M.D. to Chief Medical Officer, effective January 11, 2021.</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Upcoming Milestones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plans to achieve the following milestones by mid-2021:</w:t>
      </w:r>
    </w:p>
    <w:p>
      <w:pPr>
        <w:spacing w:after="0" w:line="198" w:lineRule="exact"/>
        <w:rPr>
          <w:sz w:val="20"/>
          <w:szCs w:val="20"/>
          <w:color w:val="auto"/>
        </w:rPr>
      </w:pPr>
    </w:p>
    <w:p>
      <w:pPr>
        <w:ind w:left="860" w:hanging="327"/>
        <w:spacing w:after="0"/>
        <w:tabs>
          <w:tab w:leader="none" w:pos="86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Provide portfolio updates across clinical and research programs at the AACR 2021 Annual Meeting.</w:t>
      </w:r>
    </w:p>
    <w:p>
      <w:pPr>
        <w:spacing w:after="0" w:line="28" w:lineRule="exact"/>
        <w:rPr>
          <w:rFonts w:ascii="Times New Roman" w:cs="Times New Roman" w:eastAsia="Times New Roman" w:hAnsi="Times New Roman"/>
          <w:sz w:val="17"/>
          <w:szCs w:val="17"/>
          <w:color w:val="auto"/>
        </w:rPr>
      </w:pPr>
    </w:p>
    <w:p>
      <w:pPr>
        <w:ind w:left="860" w:right="419" w:hanging="327"/>
        <w:spacing w:after="0" w:line="234"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Obtain regulatory approval from the European Commission and launch GAVRETO in RET fusion-positive NSCLC in Europe in the first half of 2021, under the ongoing global collaboration with Roche.</w:t>
      </w:r>
    </w:p>
    <w:p>
      <w:pPr>
        <w:spacing w:after="0" w:line="1" w:lineRule="exact"/>
        <w:rPr>
          <w:rFonts w:ascii="Times New Roman" w:cs="Times New Roman" w:eastAsia="Times New Roman" w:hAnsi="Times New Roman"/>
          <w:sz w:val="18"/>
          <w:szCs w:val="18"/>
          <w:color w:val="auto"/>
        </w:rPr>
      </w:pPr>
    </w:p>
    <w:p>
      <w:pPr>
        <w:ind w:left="860" w:right="839" w:hanging="327"/>
        <w:spacing w:after="0" w:line="234"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 Phase 1 trial of BLU-945, a triple-mutant EGFR inhibitor, in patients with treatment-resistant EGFR-driven NSCLC in the first half of 2021.</w:t>
      </w:r>
    </w:p>
    <w:p>
      <w:pPr>
        <w:ind w:left="860" w:hanging="327"/>
        <w:spacing w:after="0"/>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Obtain FDA approval and launch AYVAKIT in advanced SM in the U.S. in the first half of 2021.</w:t>
      </w:r>
    </w:p>
    <w:p>
      <w:pPr>
        <w:spacing w:after="0" w:line="8" w:lineRule="exact"/>
        <w:rPr>
          <w:rFonts w:ascii="Times New Roman" w:cs="Times New Roman" w:eastAsia="Times New Roman" w:hAnsi="Times New Roman"/>
          <w:sz w:val="18"/>
          <w:szCs w:val="18"/>
          <w:color w:val="auto"/>
        </w:rPr>
      </w:pPr>
    </w:p>
    <w:p>
      <w:pPr>
        <w:ind w:left="860" w:right="499" w:hanging="327"/>
        <w:spacing w:after="0" w:line="257"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Complete enrollment of the registration-enabling Part 2 of the PIONEER trial of AYVAKIT in non-advanced SM in mid-2021.</w:t>
      </w:r>
    </w:p>
    <w:p>
      <w:pPr>
        <w:spacing w:after="0" w:line="1" w:lineRule="exact"/>
        <w:rPr>
          <w:rFonts w:ascii="Times New Roman" w:cs="Times New Roman" w:eastAsia="Times New Roman" w:hAnsi="Times New Roman"/>
          <w:sz w:val="18"/>
          <w:szCs w:val="18"/>
          <w:color w:val="auto"/>
        </w:rPr>
      </w:pPr>
    </w:p>
    <w:p>
      <w:pPr>
        <w:ind w:left="860" w:right="299" w:hanging="327"/>
        <w:spacing w:after="0" w:line="249"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Initiate the Phase 2 HARBOR trial of BLU-263, a next-generation KIT inhibitor, in patients with non-advanced SM in mid-2021.</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Fourth Quarter and Year End 2020 Financial Results</w:t>
      </w:r>
    </w:p>
    <w:p>
      <w:pPr>
        <w:spacing w:after="0" w:line="20" w:lineRule="exact"/>
        <w:rPr>
          <w:sz w:val="20"/>
          <w:szCs w:val="20"/>
          <w:color w:val="auto"/>
        </w:rPr>
      </w:pPr>
    </w:p>
    <w:p>
      <w:pPr>
        <w:ind w:left="860" w:right="239" w:hanging="327"/>
        <w:spacing w:after="0" w:line="236" w:lineRule="auto"/>
        <w:tabs>
          <w:tab w:leader="none" w:pos="8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$34.1 million for the fourth quarter of 2020, including $6.0 million of net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revenues from sales of AYVAKIT, $0.7 million of net product revenues from sales of GAVRETO and $27.4 million in collaboration revenues. Revenues for the year ended December 31, 2020 were $793.7 million, including $21.2 million of net product revenues from sales of AYVAKIT, $0.9 million of net product revenues from sales of GAVRETO and $771.6 million in collaboration revenues. Blueprint Medicines recorded $51.5 million and $66.5 million in collaboration revenues in the fourth quarter and year ended December 31, 2019, respectively.</w:t>
      </w:r>
    </w:p>
    <w:p>
      <w:pPr>
        <w:spacing w:after="0" w:line="5" w:lineRule="exact"/>
        <w:rPr>
          <w:rFonts w:ascii="Times New Roman" w:cs="Times New Roman" w:eastAsia="Times New Roman" w:hAnsi="Times New Roman"/>
          <w:sz w:val="18"/>
          <w:szCs w:val="18"/>
          <w:color w:val="auto"/>
        </w:rPr>
      </w:pPr>
    </w:p>
    <w:p>
      <w:pPr>
        <w:ind w:left="860" w:right="259" w:hanging="327"/>
        <w:spacing w:after="0" w:line="250" w:lineRule="auto"/>
        <w:tabs>
          <w:tab w:leader="none" w:pos="8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$0.1 million for the fourth quarter of 2020 and $0.4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2020. Blueprint Medicines did not incur cost of sales in the fourth quarter or year ended December 31, 2019, as no product sales were generated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472440</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-418465</wp:posOffset>
            </wp:positionV>
            <wp:extent cx="2603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13716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 w:name="page6"/>
    <w:bookmarkEnd w:id="5"/>
    <w:p>
      <w:pPr>
        <w:ind w:left="860" w:right="259" w:hanging="327"/>
        <w:spacing w:after="0" w:line="241" w:lineRule="auto"/>
        <w:tabs>
          <w:tab w:leader="none" w:pos="8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R&amp;D Expenses:</w:t>
      </w:r>
      <w:r>
        <w:rPr>
          <w:rFonts w:ascii="Times New Roman" w:cs="Times New Roman" w:eastAsia="Times New Roman" w:hAnsi="Times New Roman"/>
          <w:sz w:val="1"/>
          <w:szCs w:val="1"/>
          <w:color w:val="auto"/>
        </w:rPr>
        <w:drawing>
          <wp:inline distT="0" distB="0" distL="0" distR="0">
            <wp:extent cx="34290" cy="11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8"/>
          <w:szCs w:val="18"/>
          <w:color w:val="auto"/>
        </w:rPr>
        <w:t>Research and development expenses were $77.4 million for the fourth quarter of 2020 and $326.9 million for the year ended December 31, 2020, as compared to $88.6 million for the fourth quarter of 2019 and $331.5 million for the year ended December 31, 2019. This decrease was primarily due to reimbursement from the global development cost sharing arrangement under the collaboration with Roche for pralsetinib. Research and development expenses included $8.5 million in stock-based compensation expenses for the fourth quarter of 2020 and $33.6 million in stock-based compensation for the year ended December 31, 2020.</w:t>
      </w:r>
    </w:p>
    <w:p>
      <w:pPr>
        <w:spacing w:after="0" w:line="1" w:lineRule="exact"/>
        <w:rPr>
          <w:rFonts w:ascii="Times New Roman" w:cs="Times New Roman" w:eastAsia="Times New Roman" w:hAnsi="Times New Roman"/>
          <w:sz w:val="18"/>
          <w:szCs w:val="18"/>
          <w:color w:val="auto"/>
        </w:rPr>
      </w:pPr>
    </w:p>
    <w:p>
      <w:pPr>
        <w:ind w:left="860" w:right="319" w:hanging="327"/>
        <w:spacing w:after="0" w:line="241" w:lineRule="auto"/>
        <w:tabs>
          <w:tab w:leader="none" w:pos="8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$42.5 million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and $157.7 million for the year ended December 31, 2020, as compared to $32.3 million for the fourth quarter of 2019 and $96.4 million for the year ended December 31, 2019. This increase was primarily due to increased costs and personnel expenses associated with building Blueprint Medicines’ commercial infrastructure for AYVAKIT/AYVAKYT and GAVRETO, partially offset by reimbursement under the collaboration with Roche for pralsetinib in connection with the commercialization of GAVRETO in the U.S.. Selling, general and administrative expenses included $11.0 million in stock-based compensation expenses for the fourth quarter of 2020 and $41.9 million in stock-based compensation for the year ended December 31, 2020.</w:t>
      </w:r>
    </w:p>
    <w:p>
      <w:pPr>
        <w:spacing w:after="0" w:line="5" w:lineRule="exact"/>
        <w:rPr>
          <w:rFonts w:ascii="Times New Roman" w:cs="Times New Roman" w:eastAsia="Times New Roman" w:hAnsi="Times New Roman"/>
          <w:sz w:val="18"/>
          <w:szCs w:val="18"/>
          <w:color w:val="auto"/>
        </w:rPr>
      </w:pPr>
    </w:p>
    <w:p>
      <w:pPr>
        <w:ind w:left="860" w:right="399" w:hanging="327"/>
        <w:spacing w:after="0" w:line="237" w:lineRule="auto"/>
        <w:tabs>
          <w:tab w:leader="none" w:pos="8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loss was $85.7 million for the fourth quarter of 2020 and net income was</w:t>
      </w:r>
      <w:r>
        <w:rPr>
          <w:rFonts w:ascii="Arial" w:cs="Arial" w:eastAsia="Arial" w:hAnsi="Arial"/>
          <w:sz w:val="18"/>
          <w:szCs w:val="18"/>
          <w:b w:val="1"/>
          <w:bCs w:val="1"/>
          <w:color w:val="auto"/>
        </w:rPr>
        <w:t xml:space="preserve"> </w:t>
      </w:r>
      <w:r>
        <w:rPr>
          <w:rFonts w:ascii="Arial" w:cs="Arial" w:eastAsia="Arial" w:hAnsi="Arial"/>
          <w:sz w:val="18"/>
          <w:szCs w:val="18"/>
          <w:color w:val="auto"/>
        </w:rPr>
        <w:t>$313.9 million for the year ended December 31, 2020, or a diluted net loss per share of $1.53 and diluted net income per share of $5.59, respectively, as compared to a net loss of $66.3 million for the fourth quarter of 2019 and a net loss of $347.7 million for the year ended December 31, 2019, or a diluted net loss per share of $1.35 and $7.27, respectively.</w:t>
      </w:r>
    </w:p>
    <w:p>
      <w:pPr>
        <w:spacing w:after="0" w:line="3" w:lineRule="exact"/>
        <w:rPr>
          <w:rFonts w:ascii="Times New Roman" w:cs="Times New Roman" w:eastAsia="Times New Roman" w:hAnsi="Times New Roman"/>
          <w:sz w:val="18"/>
          <w:szCs w:val="18"/>
          <w:color w:val="auto"/>
        </w:rPr>
      </w:pPr>
    </w:p>
    <w:p>
      <w:pPr>
        <w:ind w:left="860" w:right="359" w:hanging="327"/>
        <w:spacing w:after="0" w:line="237" w:lineRule="auto"/>
        <w:tabs>
          <w:tab w:leader="none" w:pos="8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2020, cash, cash equivalents and marketable securities were</w:t>
      </w:r>
      <w:r>
        <w:rPr>
          <w:rFonts w:ascii="Arial" w:cs="Arial" w:eastAsia="Arial" w:hAnsi="Arial"/>
          <w:sz w:val="18"/>
          <w:szCs w:val="18"/>
          <w:b w:val="1"/>
          <w:bCs w:val="1"/>
          <w:color w:val="auto"/>
        </w:rPr>
        <w:t xml:space="preserve"> </w:t>
      </w:r>
      <w:r>
        <w:rPr>
          <w:rFonts w:ascii="Arial" w:cs="Arial" w:eastAsia="Arial" w:hAnsi="Arial"/>
          <w:sz w:val="18"/>
          <w:szCs w:val="18"/>
          <w:color w:val="auto"/>
        </w:rPr>
        <w:t>$1,549.7 million, as compared to $548.0 million as of December 31, 2019. This increase was primarily related to upfront payments of $775.0 million received in the third quarter of 2020 under Blueprint Medicines' collaboration with Roche for pralsetinib, $308.4 million in net proceeds received from Blueprint Medicines' January 2020 follow-on underwritten public offering and $194.7 million in net proceeds received in the fourth quarter of 2020 from Blueprint Medicines’ “at the market” stock offering program, partially offset by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-2759710</wp:posOffset>
            </wp:positionV>
            <wp:extent cx="2540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13716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-1567815</wp:posOffset>
            </wp:positionV>
            <wp:extent cx="254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00" w:lineRule="exact"/>
        <w:rPr>
          <w:sz w:val="20"/>
          <w:szCs w:val="20"/>
          <w:color w:val="auto"/>
        </w:rPr>
      </w:pPr>
    </w:p>
    <w:p>
      <w:pPr>
        <w:ind w:left="200" w:right="639"/>
        <w:spacing w:after="0" w:line="241" w:lineRule="auto"/>
        <w:rPr>
          <w:sz w:val="20"/>
          <w:szCs w:val="20"/>
          <w:color w:val="auto"/>
        </w:rPr>
      </w:pPr>
      <w:r>
        <w:rPr>
          <w:rFonts w:ascii="Arial" w:cs="Arial" w:eastAsia="Arial" w:hAnsi="Arial"/>
          <w:sz w:val="18"/>
          <w:szCs w:val="18"/>
          <w:color w:val="auto"/>
        </w:rPr>
        <w:t>Blueprint Medicines will host a live conference call and webcast at 8:30 a.m. ET today to discuss fourth quarter and full year 2020 financial results and recent business activities. The conference call may be accessed by dialing (855) 728-4793 (domestic) or (503) 343-6666 (international), and referring to conference ID 4844138. A webcast of the call will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Upcoming Investor Conferences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Blueprint Medicines will participate in three upcoming investor conferences:</w:t>
      </w:r>
    </w:p>
    <w:p>
      <w:pPr>
        <w:spacing w:after="0" w:line="196" w:lineRule="exact"/>
        <w:rPr>
          <w:sz w:val="20"/>
          <w:szCs w:val="20"/>
          <w:color w:val="auto"/>
        </w:rPr>
      </w:pPr>
    </w:p>
    <w:p>
      <w:pPr>
        <w:ind w:left="900" w:right="239" w:hanging="327"/>
        <w:spacing w:after="0" w:line="203"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Annual SVB Leerink Global Healthcare Conference </w:t>
      </w:r>
      <w:r>
        <w:rPr>
          <w:rFonts w:ascii="Arial" w:cs="Arial" w:eastAsia="Arial" w:hAnsi="Arial"/>
          <w:sz w:val="18"/>
          <w:szCs w:val="18"/>
          <w:color w:val="auto"/>
        </w:rPr>
        <w:t>on Thursday, February 25, 2021 at</w:t>
      </w:r>
      <w:r>
        <w:rPr>
          <w:rFonts w:ascii="Arial" w:cs="Arial" w:eastAsia="Arial" w:hAnsi="Arial"/>
          <w:sz w:val="18"/>
          <w:szCs w:val="18"/>
          <w:b w:val="1"/>
          <w:bCs w:val="1"/>
          <w:color w:val="auto"/>
        </w:rPr>
        <w:t xml:space="preserve"> </w:t>
      </w:r>
      <w:r>
        <w:rPr>
          <w:rFonts w:ascii="Arial" w:cs="Arial" w:eastAsia="Arial" w:hAnsi="Arial"/>
          <w:sz w:val="18"/>
          <w:szCs w:val="18"/>
          <w:color w:val="auto"/>
        </w:rPr>
        <w:t>11:20 a.m. ET.</w:t>
      </w:r>
    </w:p>
    <w:p>
      <w:pPr>
        <w:spacing w:after="0" w:line="1" w:lineRule="exact"/>
        <w:rPr>
          <w:rFonts w:ascii="Times New Roman" w:cs="Times New Roman" w:eastAsia="Times New Roman" w:hAnsi="Times New Roman"/>
          <w:sz w:val="18"/>
          <w:szCs w:val="18"/>
          <w:color w:val="auto"/>
        </w:rPr>
      </w:pPr>
    </w:p>
    <w:p>
      <w:pPr>
        <w:ind w:left="900" w:hanging="327"/>
        <w:spacing w:after="0" w:line="233"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Cowen 41st Annual Health Care Conference </w:t>
      </w:r>
      <w:r>
        <w:rPr>
          <w:rFonts w:ascii="Arial" w:cs="Arial" w:eastAsia="Arial" w:hAnsi="Arial"/>
          <w:sz w:val="18"/>
          <w:szCs w:val="18"/>
          <w:color w:val="auto"/>
        </w:rPr>
        <w:t>on Wednesday, March 3, 2021 at 3:20 p.m. ET.</w:t>
      </w:r>
    </w:p>
    <w:p>
      <w:pPr>
        <w:ind w:left="900" w:hanging="327"/>
        <w:spacing w:after="0"/>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Barclays Global Healthcare Conference </w:t>
      </w:r>
      <w:r>
        <w:rPr>
          <w:rFonts w:ascii="Arial" w:cs="Arial" w:eastAsia="Arial" w:hAnsi="Arial"/>
          <w:sz w:val="18"/>
          <w:szCs w:val="18"/>
          <w:color w:val="auto"/>
        </w:rPr>
        <w:t>on Wednesday, March 10, 2021 at 9:10 a.m. ET.</w:t>
      </w:r>
    </w:p>
    <w:p>
      <w:pPr>
        <w:spacing w:after="0" w:line="202"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18"/>
          <w:szCs w:val="18"/>
          <w:color w:val="auto"/>
        </w:rPr>
        <w:t>A live webcast of each presentation will be available by visiting the Investors &amp; Media section of Blueprint Medicines' website at http://ir.blueprintmedicines.com. A replay of the webcasts will be archived on Blueprint Medicines' website for 30 days following each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598805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00"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w:t>
      </w:r>
    </w:p>
    <w:p>
      <w:pPr>
        <w:ind w:left="200" w:right="679"/>
        <w:spacing w:after="0" w:line="234" w:lineRule="auto"/>
        <w:rPr>
          <w:sz w:val="20"/>
          <w:szCs w:val="20"/>
          <w:color w:val="auto"/>
        </w:rPr>
      </w:pPr>
      <w:r>
        <w:rPr>
          <w:rFonts w:ascii="Arial" w:cs="Arial" w:eastAsia="Arial" w:hAnsi="Arial"/>
          <w:sz w:val="18"/>
          <w:szCs w:val="18"/>
          <w:color w:val="auto"/>
        </w:rPr>
        <w:t>States and Europe, and we are globally advancing multiple programs for genomically defined cancers, systemic mastocytosis, and cancer immunotherapy. For more information,</w:t>
      </w:r>
    </w:p>
    <w:p>
      <w:pPr>
        <w:spacing w:after="0" w:line="1" w:lineRule="exact"/>
        <w:rPr>
          <w:sz w:val="20"/>
          <w:szCs w:val="20"/>
          <w:color w:val="auto"/>
        </w:rPr>
      </w:pPr>
    </w:p>
    <w:p>
      <w:pPr>
        <w:ind w:left="200" w:right="1559"/>
        <w:spacing w:after="0" w:line="456" w:lineRule="auto"/>
        <w:rPr>
          <w:sz w:val="20"/>
          <w:szCs w:val="20"/>
          <w:color w:val="auto"/>
        </w:rPr>
      </w:pPr>
      <w:r>
        <w:rPr>
          <w:rFonts w:ascii="Arial" w:cs="Arial" w:eastAsia="Arial" w:hAnsi="Arial"/>
          <w:sz w:val="18"/>
          <w:szCs w:val="18"/>
          <w:color w:val="auto"/>
        </w:rPr>
        <w:t xml:space="preserve">visit www.BlueprintMedicines.com and follow us on Twitter (@BlueprintMeds) and LinkedIn. </w:t>
      </w:r>
      <w:r>
        <w:rPr>
          <w:rFonts w:ascii="Arial" w:cs="Arial" w:eastAsia="Arial" w:hAnsi="Arial"/>
          <w:sz w:val="18"/>
          <w:szCs w:val="18"/>
          <w:b w:val="1"/>
          <w:bCs w:val="1"/>
          <w:color w:val="auto"/>
        </w:rPr>
        <w:t>Cautionary Note Regarding Forward-Looking Statements</w:t>
      </w:r>
    </w:p>
    <w:p>
      <w:pPr>
        <w:spacing w:after="0" w:line="1" w:lineRule="exact"/>
        <w:rPr>
          <w:sz w:val="20"/>
          <w:szCs w:val="20"/>
          <w:color w:val="auto"/>
        </w:rPr>
      </w:pPr>
    </w:p>
    <w:p>
      <w:pPr>
        <w:ind w:left="200" w:right="219"/>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 with Roche and Genentech for pralsetinib;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498475</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4" w:right="1440" w:bottom="1440" w:gutter="0" w:footer="0" w:header="0"/>
        </w:sectPr>
      </w:pPr>
    </w:p>
    <w:bookmarkStart w:id="7" w:name="page8"/>
    <w:bookmarkEnd w:id="7"/>
    <w:p>
      <w:pPr>
        <w:ind w:left="200" w:right="379"/>
        <w:spacing w:after="0" w:line="276" w:lineRule="auto"/>
        <w:rPr>
          <w:sz w:val="20"/>
          <w:szCs w:val="20"/>
          <w:color w:val="auto"/>
        </w:rPr>
      </w:pPr>
      <w:r>
        <w:rPr>
          <w:rFonts w:ascii="Arial" w:cs="Arial" w:eastAsia="Arial" w:hAnsi="Arial"/>
          <w:sz w:val="18"/>
          <w:szCs w:val="18"/>
          <w:color w:val="auto"/>
        </w:rPr>
        <w:t>representing its views as of any subsequent date. Except as required by law, Blueprint Medicines explicitly disclaims any obligation to update any forward-looking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-123825</wp:posOffset>
            </wp:positionV>
            <wp:extent cx="545211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531495"/>
                    </a:xfrm>
                    <a:prstGeom prst="rect">
                      <a:avLst/>
                    </a:prstGeom>
                    <a:noFill/>
                  </pic:spPr>
                </pic:pic>
              </a:graphicData>
            </a:graphic>
          </wp:anchor>
        </w:drawing>
      </w:r>
    </w:p>
    <w:p>
      <w:pPr>
        <w:spacing w:after="0" w:line="153" w:lineRule="exact"/>
        <w:rPr>
          <w:sz w:val="20"/>
          <w:szCs w:val="20"/>
          <w:color w:val="auto"/>
        </w:rPr>
      </w:pPr>
    </w:p>
    <w:p>
      <w:pPr>
        <w:ind w:left="200" w:right="619"/>
        <w:spacing w:after="0" w:line="307" w:lineRule="auto"/>
        <w:rPr>
          <w:sz w:val="20"/>
          <w:szCs w:val="20"/>
          <w:color w:val="auto"/>
        </w:rPr>
      </w:pPr>
      <w:r>
        <w:rPr>
          <w:rFonts w:ascii="Arial" w:cs="Arial" w:eastAsia="Arial" w:hAnsi="Arial"/>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664210</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Selected Condensed Consolidated Balance Sheet Data</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8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3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1,549,722</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547,960</w:t>
            </w: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Working capital (1)</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796,957</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410,304</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1,718,393</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707,694</w:t>
            </w: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41,158</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46,073</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248,305</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243,335</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1,470,088</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464,359</w:t>
            </w:r>
          </w:p>
        </w:tc>
      </w:tr>
    </w:tbl>
    <w:p>
      <w:pPr>
        <w:spacing w:after="0" w:line="220" w:lineRule="exact"/>
        <w:rPr>
          <w:sz w:val="20"/>
          <w:szCs w:val="20"/>
          <w:color w:val="auto"/>
        </w:rPr>
      </w:pPr>
    </w:p>
    <w:p>
      <w:pPr>
        <w:ind w:left="620" w:hanging="411"/>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78" w:lineRule="exact"/>
        <w:rPr>
          <w:sz w:val="20"/>
          <w:szCs w:val="20"/>
          <w:color w:val="auto"/>
        </w:rPr>
      </w:pPr>
    </w:p>
    <w:p>
      <w:pPr>
        <w:jc w:val="center"/>
        <w:ind w:left="1660" w:right="19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Blueprint Medicines Corporation Condensed Consolidated Statements of Operations Data (in thousands, except per share data) </w:t>
      </w:r>
      <w:r>
        <w:rPr>
          <w:rFonts w:ascii="Times New Roman" w:cs="Times New Roman" w:eastAsia="Times New Roman" w:hAnsi="Times New Roman"/>
          <w:sz w:val="20"/>
          <w:szCs w:val="20"/>
          <w:b w:val="1"/>
          <w:bCs w:val="1"/>
          <w:i w:val="1"/>
          <w:i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60"/>
              <w:spacing w:after="0"/>
              <w:rPr>
                <w:sz w:val="20"/>
                <w:szCs w:val="20"/>
                <w:color w:val="auto"/>
              </w:rPr>
            </w:pPr>
            <w:r>
              <w:rPr>
                <w:rFonts w:ascii="Arial" w:cs="Arial" w:eastAsia="Arial" w:hAnsi="Arial"/>
                <w:sz w:val="16"/>
                <w:szCs w:val="16"/>
                <w:color w:val="auto"/>
              </w:rPr>
              <w:t>Product revenue, net</w:t>
            </w:r>
          </w:p>
        </w:tc>
        <w:tc>
          <w:tcPr>
            <w:tcW w:w="4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6,688</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4"/>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22,134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Collaboration revenue</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51,533</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771,601</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66,512</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34,107</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51,533</w:t>
            </w:r>
          </w:p>
        </w:tc>
        <w:tc>
          <w:tcPr>
            <w:tcW w:w="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793,735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66,512</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Cost and operating expenses: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6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88,646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326,860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331,450</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32,265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157,743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96,388</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Total cost and operating expenses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120,074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120,911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485,028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427,838</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income, net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13,732</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13,632</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(84,981)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(66,331)</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314,940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(347,694)</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(66,331)</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313,882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(347,694)</w:t>
            </w: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Net income (loss) per share applicable to common</w:t>
            </w:r>
          </w:p>
        </w:tc>
        <w:tc>
          <w:tcPr>
            <w:tcW w:w="44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gridSpan w:val="2"/>
            <w:vMerge w:val="restart"/>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stockholders — basic</w:t>
            </w:r>
          </w:p>
        </w:tc>
        <w:tc>
          <w:tcPr>
            <w:tcW w:w="44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line="165" w:lineRule="exact"/>
              <w:rPr>
                <w:sz w:val="20"/>
                <w:szCs w:val="20"/>
                <w:color w:val="auto"/>
              </w:rPr>
            </w:pPr>
            <w:r>
              <w:rPr>
                <w:rFonts w:ascii="Arial" w:cs="Arial" w:eastAsia="Arial" w:hAnsi="Arial"/>
                <w:sz w:val="16"/>
                <w:szCs w:val="16"/>
                <w:color w:val="auto"/>
              </w:rPr>
              <w:t>Net income (loss) per share applicable to common</w:t>
            </w: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120" w:type="dxa"/>
            <w:vAlign w:val="bottom"/>
            <w:vMerge w:val="continue"/>
          </w:tcPr>
          <w:p>
            <w:pPr>
              <w:spacing w:after="0"/>
              <w:rPr>
                <w:sz w:val="10"/>
                <w:szCs w:val="10"/>
                <w:color w:val="auto"/>
              </w:rPr>
            </w:pPr>
          </w:p>
        </w:tc>
        <w:tc>
          <w:tcPr>
            <w:tcW w:w="440" w:type="dxa"/>
            <w:vAlign w:val="bottom"/>
            <w:gridSpan w:val="2"/>
            <w:vMerge w:val="restart"/>
          </w:tcPr>
          <w:p>
            <w:pPr>
              <w:jc w:val="right"/>
              <w:ind w:right="23"/>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0"/>
                <w:szCs w:val="10"/>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(1.35)</w:t>
            </w:r>
          </w:p>
        </w:tc>
        <w:tc>
          <w:tcPr>
            <w:tcW w:w="22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5.59</w:t>
            </w:r>
          </w:p>
        </w:tc>
        <w:tc>
          <w:tcPr>
            <w:tcW w:w="3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34"/>
        </w:trPr>
        <w:tc>
          <w:tcPr>
            <w:tcW w:w="4120" w:type="dxa"/>
            <w:vAlign w:val="bottom"/>
          </w:tcPr>
          <w:p>
            <w:pPr>
              <w:ind w:left="220"/>
              <w:spacing w:after="0"/>
              <w:rPr>
                <w:sz w:val="20"/>
                <w:szCs w:val="20"/>
                <w:color w:val="auto"/>
              </w:rPr>
            </w:pPr>
            <w:r>
              <w:rPr>
                <w:rFonts w:ascii="Arial" w:cs="Arial" w:eastAsia="Arial" w:hAnsi="Arial"/>
                <w:sz w:val="16"/>
                <w:szCs w:val="16"/>
                <w:color w:val="auto"/>
              </w:rPr>
              <w:t>stockholders —diluted</w:t>
            </w:r>
          </w:p>
        </w:tc>
        <w:tc>
          <w:tcPr>
            <w:tcW w:w="44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412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Weighted-average number of common shares used in</w:t>
            </w:r>
          </w:p>
        </w:tc>
        <w:tc>
          <w:tcPr>
            <w:tcW w:w="2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 per share applicable to</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56,072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49,218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54,534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47,829</w:t>
            </w:r>
          </w:p>
        </w:tc>
        <w:tc>
          <w:tcPr>
            <w:tcW w:w="0" w:type="dxa"/>
            <w:vAlign w:val="bottom"/>
          </w:tcPr>
          <w:p>
            <w:pPr>
              <w:spacing w:after="0"/>
              <w:rPr>
                <w:sz w:val="1"/>
                <w:szCs w:val="1"/>
                <w:color w:val="auto"/>
              </w:rPr>
            </w:pPr>
          </w:p>
        </w:tc>
      </w:tr>
      <w:tr>
        <w:trPr>
          <w:trHeight w:val="194"/>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common stockholders — basic</w:t>
            </w: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65" w:lineRule="exact"/>
              <w:rPr>
                <w:sz w:val="20"/>
                <w:szCs w:val="20"/>
                <w:color w:val="auto"/>
              </w:rPr>
            </w:pPr>
            <w:r>
              <w:rPr>
                <w:rFonts w:ascii="Arial" w:cs="Arial" w:eastAsia="Arial" w:hAnsi="Arial"/>
                <w:sz w:val="16"/>
                <w:szCs w:val="16"/>
                <w:color w:val="auto"/>
              </w:rPr>
              <w:t>Weighted-average number of common shares used in</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20"/>
              <w:spacing w:after="0"/>
              <w:rPr>
                <w:sz w:val="20"/>
                <w:szCs w:val="20"/>
                <w:color w:val="auto"/>
              </w:rPr>
            </w:pPr>
            <w:r>
              <w:rPr>
                <w:rFonts w:ascii="Arial" w:cs="Arial" w:eastAsia="Arial" w:hAnsi="Arial"/>
                <w:sz w:val="16"/>
                <w:szCs w:val="16"/>
                <w:color w:val="auto"/>
              </w:rPr>
              <w:t>net income (loss) per share applicable to</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56,072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49,218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56,168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47,829</w:t>
            </w:r>
          </w:p>
        </w:tc>
        <w:tc>
          <w:tcPr>
            <w:tcW w:w="0" w:type="dxa"/>
            <w:vAlign w:val="bottom"/>
          </w:tcPr>
          <w:p>
            <w:pPr>
              <w:spacing w:after="0"/>
              <w:rPr>
                <w:sz w:val="1"/>
                <w:szCs w:val="1"/>
                <w:color w:val="auto"/>
              </w:rPr>
            </w:pPr>
          </w:p>
        </w:tc>
      </w:tr>
      <w:tr>
        <w:trPr>
          <w:trHeight w:val="194"/>
        </w:trPr>
        <w:tc>
          <w:tcPr>
            <w:tcW w:w="4120" w:type="dxa"/>
            <w:vAlign w:val="bottom"/>
          </w:tcPr>
          <w:p>
            <w:pPr>
              <w:ind w:left="220"/>
              <w:spacing w:after="0"/>
              <w:rPr>
                <w:sz w:val="20"/>
                <w:szCs w:val="20"/>
                <w:color w:val="auto"/>
              </w:rPr>
            </w:pPr>
            <w:r>
              <w:rPr>
                <w:rFonts w:ascii="Arial" w:cs="Arial" w:eastAsia="Arial" w:hAnsi="Arial"/>
                <w:sz w:val="16"/>
                <w:szCs w:val="16"/>
                <w:color w:val="auto"/>
              </w:rPr>
              <w:t>common stockholders —diluted</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2" w:right="1440"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b w:val="1"/>
          <w:bCs w:val="1"/>
          <w:color w:val="auto"/>
        </w:rPr>
        <w:t>Investor and Media Contact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Geoffrey M. Grande, CFA</w:t>
      </w:r>
    </w:p>
    <w:p>
      <w:pPr>
        <w:ind w:left="200"/>
        <w:spacing w:after="0" w:line="234" w:lineRule="auto"/>
        <w:rPr>
          <w:sz w:val="20"/>
          <w:szCs w:val="20"/>
          <w:color w:val="auto"/>
        </w:rPr>
      </w:pPr>
      <w:r>
        <w:rPr>
          <w:rFonts w:ascii="Arial" w:cs="Arial" w:eastAsia="Arial" w:hAnsi="Arial"/>
          <w:sz w:val="18"/>
          <w:szCs w:val="18"/>
          <w:color w:val="auto"/>
        </w:rPr>
        <w:t>617-871-1563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Contact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2021-02-17T07:02:32Z</dcterms:created>
  <dcterms:modified xsi:type="dcterms:W3CDTF">2021-02-17T07:02:32Z</dcterms:modified>
</cp:coreProperties>
</file>