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38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38035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Albers Jeffrey W.</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Blueprint Medicines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BPMC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Borders>
              <w:bottom w:val="single" w:sz="8" w:color="0000EE"/>
            </w:tcBorders>
          </w:tcPr>
          <w:p>
            <w:pPr>
              <w:spacing w:after="0"/>
              <w:rPr>
                <w:sz w:val="6"/>
                <w:szCs w:val="6"/>
                <w:color w:val="auto"/>
              </w:rPr>
            </w:pPr>
          </w:p>
        </w:tc>
        <w:tc>
          <w:tcPr>
            <w:tcW w:w="16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09/09/2024</w:t>
            </w:r>
          </w:p>
        </w:tc>
        <w:tc>
          <w:tcPr>
            <w:tcW w:w="16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00" w:type="dxa"/>
            <w:vAlign w:val="bottom"/>
            <w:gridSpan w:val="3"/>
            <w:vMerge w:val="continue"/>
          </w:tcPr>
          <w:p>
            <w:pPr>
              <w:spacing w:after="0"/>
              <w:rPr>
                <w:sz w:val="10"/>
                <w:szCs w:val="10"/>
                <w:color w:val="auto"/>
              </w:rPr>
            </w:pPr>
          </w:p>
        </w:tc>
        <w:tc>
          <w:tcPr>
            <w:tcW w:w="16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45 SIDNEY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09/09/2024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8"/>
              </w:rPr>
              <w:t>10,000</w:t>
            </w:r>
          </w:p>
        </w:tc>
        <w:tc>
          <w:tcPr>
            <w:tcW w:w="66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left="1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36.05</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177,259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09/09/2024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8"/>
              </w:rPr>
              <w:t>11,968</w:t>
            </w:r>
          </w:p>
        </w:tc>
        <w:tc>
          <w:tcPr>
            <w:tcW w:w="66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85.86</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165,291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09/09/2024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9"/>
              </w:rPr>
              <w:t>7,734</w:t>
            </w:r>
          </w:p>
        </w:tc>
        <w:tc>
          <w:tcPr>
            <w:tcW w:w="66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85.12</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157,557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91"/>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36.05</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09/09/2024</w:t>
            </w:r>
          </w:p>
        </w:tc>
        <w:tc>
          <w:tcPr>
            <w:tcW w:w="1140" w:type="dxa"/>
            <w:vAlign w:val="bottom"/>
          </w:tcPr>
          <w:p>
            <w:pPr>
              <w:spacing w:after="0"/>
              <w:rPr>
                <w:sz w:val="16"/>
                <w:szCs w:val="16"/>
                <w:color w:val="auto"/>
              </w:rPr>
            </w:pPr>
          </w:p>
        </w:tc>
        <w:tc>
          <w:tcPr>
            <w:tcW w:w="62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10,000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02/16/2027</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10,000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140,000</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5"/>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May 8, 2024 pursuant to Rule 10b5-1 under the Securities Exchange Act of 1934, as amended.</w:t>
      </w:r>
    </w:p>
    <w:p>
      <w:pPr>
        <w:spacing w:after="0" w:line="43" w:lineRule="exact"/>
        <w:rPr>
          <w:rFonts w:ascii="Times New Roman" w:cs="Times New Roman" w:eastAsia="Times New Roman" w:hAnsi="Times New Roman"/>
          <w:sz w:val="13"/>
          <w:szCs w:val="13"/>
          <w:color w:val="008000"/>
        </w:rPr>
      </w:pPr>
    </w:p>
    <w:p>
      <w:pPr>
        <w:ind w:left="40" w:right="22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$85.59 to $86.58 per share. The Reporting Person undertakes to provide to the Issuer, any security holder of the Issuer or the staff of the Securities and Exchange Commission, upon request, full information regarding the number of shares sold at each separate price within the range set forth in footnotes (2) through (3) in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$84.78 to $85.56 per share.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February 16, 2017 and is fully vested as of the transaction date.</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Melissa Masse, Attorney-in- </w:t>
      </w:r>
      <w:r>
        <w:rPr>
          <w:rFonts w:ascii="Times New Roman" w:cs="Times New Roman" w:eastAsia="Times New Roman" w:hAnsi="Times New Roman"/>
          <w:sz w:val="33"/>
          <w:szCs w:val="33"/>
          <w:color w:val="0000FF"/>
          <w:vertAlign w:val="subscript"/>
        </w:rPr>
        <w:t>09/11/2024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23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0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38474"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2024-09-11T15:18:45Z</dcterms:created>
  <dcterms:modified xsi:type="dcterms:W3CDTF">2024-09-11T15:18:45Z</dcterms:modified>
</cp:coreProperties>
</file>