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Hewes L. Becker</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00" w:type="dxa"/>
            <w:vAlign w:val="bottom"/>
            <w:tcBorders>
              <w:top w:val="single" w:sz="8" w:color="0000EE"/>
              <w:bottom w:val="single" w:sz="8" w:color="9A9A9A"/>
            </w:tcBorders>
          </w:tcPr>
          <w:p>
            <w:pPr>
              <w:spacing w:after="0"/>
              <w:rPr>
                <w:sz w:val="16"/>
                <w:szCs w:val="16"/>
                <w:color w:val="auto"/>
              </w:rPr>
            </w:pPr>
          </w:p>
        </w:tc>
        <w:tc>
          <w:tcPr>
            <w:tcW w:w="52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0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80" w:type="dxa"/>
            <w:vAlign w:val="bottom"/>
            <w:gridSpan w:val="3"/>
          </w:tcPr>
          <w:p>
            <w:pPr>
              <w:ind w:left="160"/>
              <w:spacing w:after="0"/>
              <w:rPr>
                <w:sz w:val="20"/>
                <w:szCs w:val="20"/>
                <w:color w:val="auto"/>
              </w:rPr>
            </w:pPr>
            <w:r>
              <w:rPr>
                <w:rFonts w:ascii="Arial" w:cs="Arial" w:eastAsia="Arial" w:hAnsi="Arial"/>
                <w:sz w:val="17"/>
                <w:szCs w:val="17"/>
                <w:color w:val="0000FF"/>
              </w:rPr>
              <w:t>06/02/2021</w:t>
            </w: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5"/>
        <w:spacing w:after="0"/>
        <w:rPr>
          <w:sz w:val="20"/>
          <w:szCs w:val="20"/>
          <w:color w:val="auto"/>
        </w:rPr>
      </w:pPr>
      <w:r>
        <w:rPr>
          <w:rFonts w:ascii="Arial" w:cs="Arial" w:eastAsia="Arial" w:hAnsi="Arial"/>
          <w:sz w:val="17"/>
          <w:szCs w:val="17"/>
          <w:color w:val="0000FF"/>
        </w:rPr>
        <w:t>Chief Medical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CAMBRIDGE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02139</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06/02/2021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1,292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89.03</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29,270</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46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on this Form 4 represents shares required to be sold by the Reporting Person to cover tax withholding obligations in connection with the vesting of restricted stock units. The sale occurred automatically to satisfy the tax withholding obligations to be funded by a "sell to cover" transaction and does not represent a discretionary trade by the Reporting Person.</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This Form 4 is being filed late due to inadvertent administrative error.</w:t>
      </w:r>
    </w:p>
    <w:p>
      <w:pPr>
        <w:spacing w:after="0" w:line="4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Ariel Hurley,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09/17/2021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011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2021-09-17T15:16:31Z</dcterms:created>
  <dcterms:modified xsi:type="dcterms:W3CDTF">2021-09-17T15:16:31Z</dcterms:modified>
</cp:coreProperties>
</file>