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As filed with the Securities and Exchange Commission on August 2, 2022</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S-8</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UNDER THE</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Blueprint Medicines Corporation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660" w:type="dxa"/>
            <w:vAlign w:val="bottom"/>
          </w:tcPr>
          <w:p>
            <w:pPr>
              <w:jc w:val="center"/>
              <w:ind w:right="173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150"/>
              <w:spacing w:after="0"/>
              <w:rPr>
                <w:sz w:val="20"/>
                <w:szCs w:val="20"/>
                <w:color w:val="auto"/>
              </w:rPr>
            </w:pPr>
            <w:r>
              <w:rPr>
                <w:rFonts w:ascii="Arial" w:cs="Arial" w:eastAsia="Arial" w:hAnsi="Arial"/>
                <w:sz w:val="18"/>
                <w:szCs w:val="18"/>
                <w:b w:val="1"/>
                <w:bCs w:val="1"/>
                <w:color w:val="auto"/>
              </w:rPr>
              <w:t>26-3632015</w:t>
            </w:r>
          </w:p>
        </w:tc>
      </w:tr>
      <w:tr>
        <w:trPr>
          <w:trHeight w:val="216"/>
        </w:trPr>
        <w:tc>
          <w:tcPr>
            <w:tcW w:w="4660" w:type="dxa"/>
            <w:vAlign w:val="bottom"/>
          </w:tcPr>
          <w:p>
            <w:pPr>
              <w:jc w:val="center"/>
              <w:ind w:right="1730"/>
              <w:spacing w:after="0"/>
              <w:rPr>
                <w:sz w:val="20"/>
                <w:szCs w:val="20"/>
                <w:color w:val="auto"/>
              </w:rPr>
            </w:pPr>
            <w:r>
              <w:rPr>
                <w:rFonts w:ascii="Arial" w:cs="Arial" w:eastAsia="Arial" w:hAnsi="Arial"/>
                <w:sz w:val="18"/>
                <w:szCs w:val="18"/>
                <w:color w:val="auto"/>
                <w:w w:val="91"/>
              </w:rPr>
              <w:t>(State or other jurisdiction</w:t>
            </w:r>
          </w:p>
        </w:tc>
        <w:tc>
          <w:tcPr>
            <w:tcW w:w="3160" w:type="dxa"/>
            <w:vAlign w:val="bottom"/>
          </w:tcPr>
          <w:p>
            <w:pPr>
              <w:jc w:val="center"/>
              <w:ind w:left="1730"/>
              <w:spacing w:after="0"/>
              <w:rPr>
                <w:sz w:val="20"/>
                <w:szCs w:val="20"/>
                <w:color w:val="auto"/>
              </w:rPr>
            </w:pPr>
            <w:r>
              <w:rPr>
                <w:rFonts w:ascii="Arial" w:cs="Arial" w:eastAsia="Arial" w:hAnsi="Arial"/>
                <w:sz w:val="18"/>
                <w:szCs w:val="18"/>
                <w:color w:val="auto"/>
                <w:w w:val="92"/>
              </w:rPr>
              <w:t>(I.R.S. Employer</w:t>
            </w:r>
          </w:p>
        </w:tc>
      </w:tr>
      <w:tr>
        <w:trPr>
          <w:trHeight w:val="230"/>
        </w:trPr>
        <w:tc>
          <w:tcPr>
            <w:tcW w:w="4660" w:type="dxa"/>
            <w:vAlign w:val="bottom"/>
          </w:tcPr>
          <w:p>
            <w:pPr>
              <w:jc w:val="center"/>
              <w:ind w:right="1730"/>
              <w:spacing w:after="0"/>
              <w:rPr>
                <w:sz w:val="20"/>
                <w:szCs w:val="20"/>
                <w:color w:val="auto"/>
              </w:rPr>
            </w:pPr>
            <w:r>
              <w:rPr>
                <w:rFonts w:ascii="Arial" w:cs="Arial" w:eastAsia="Arial" w:hAnsi="Arial"/>
                <w:sz w:val="18"/>
                <w:szCs w:val="18"/>
                <w:color w:val="auto"/>
                <w:w w:val="95"/>
              </w:rPr>
              <w:t>of incorporation)</w:t>
            </w:r>
          </w:p>
        </w:tc>
        <w:tc>
          <w:tcPr>
            <w:tcW w:w="3160" w:type="dxa"/>
            <w:vAlign w:val="bottom"/>
          </w:tcPr>
          <w:p>
            <w:pPr>
              <w:jc w:val="center"/>
              <w:ind w:left="17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660" w:type="dxa"/>
            <w:vAlign w:val="bottom"/>
          </w:tcPr>
          <w:p>
            <w:pPr>
              <w:jc w:val="center"/>
              <w:ind w:right="1730"/>
              <w:spacing w:after="0"/>
              <w:rPr>
                <w:sz w:val="20"/>
                <w:szCs w:val="20"/>
                <w:color w:val="auto"/>
              </w:rPr>
            </w:pPr>
            <w:r>
              <w:rPr>
                <w:rFonts w:ascii="Arial" w:cs="Arial" w:eastAsia="Arial" w:hAnsi="Arial"/>
                <w:sz w:val="18"/>
                <w:szCs w:val="18"/>
                <w:b w:val="1"/>
                <w:bCs w:val="1"/>
                <w:color w:val="auto"/>
                <w:w w:val="88"/>
              </w:rPr>
              <w:t>45 Sidney Street</w:t>
            </w:r>
          </w:p>
        </w:tc>
        <w:tc>
          <w:tcPr>
            <w:tcW w:w="3160" w:type="dxa"/>
            <w:vAlign w:val="bottom"/>
          </w:tcPr>
          <w:p>
            <w:pPr>
              <w:spacing w:after="0"/>
              <w:rPr>
                <w:sz w:val="24"/>
                <w:szCs w:val="24"/>
                <w:color w:val="auto"/>
              </w:rPr>
            </w:pPr>
          </w:p>
        </w:tc>
      </w:tr>
      <w:tr>
        <w:trPr>
          <w:trHeight w:val="220"/>
        </w:trPr>
        <w:tc>
          <w:tcPr>
            <w:tcW w:w="4660" w:type="dxa"/>
            <w:vAlign w:val="bottom"/>
          </w:tcPr>
          <w:p>
            <w:pPr>
              <w:jc w:val="center"/>
              <w:ind w:right="1730"/>
              <w:spacing w:after="0"/>
              <w:rPr>
                <w:sz w:val="20"/>
                <w:szCs w:val="20"/>
                <w:color w:val="auto"/>
              </w:rPr>
            </w:pPr>
            <w:r>
              <w:rPr>
                <w:rFonts w:ascii="Arial" w:cs="Arial" w:eastAsia="Arial" w:hAnsi="Arial"/>
                <w:sz w:val="18"/>
                <w:szCs w:val="18"/>
                <w:b w:val="1"/>
                <w:bCs w:val="1"/>
                <w:color w:val="auto"/>
                <w:w w:val="89"/>
              </w:rPr>
              <w:t>Cambridge, Massachusetts</w:t>
            </w:r>
          </w:p>
        </w:tc>
        <w:tc>
          <w:tcPr>
            <w:tcW w:w="3160" w:type="dxa"/>
            <w:vAlign w:val="bottom"/>
          </w:tcPr>
          <w:p>
            <w:pPr>
              <w:jc w:val="right"/>
              <w:ind w:right="350"/>
              <w:spacing w:after="0"/>
              <w:rPr>
                <w:sz w:val="20"/>
                <w:szCs w:val="20"/>
                <w:color w:val="auto"/>
              </w:rPr>
            </w:pPr>
            <w:r>
              <w:rPr>
                <w:rFonts w:ascii="Arial" w:cs="Arial" w:eastAsia="Arial" w:hAnsi="Arial"/>
                <w:sz w:val="18"/>
                <w:szCs w:val="18"/>
                <w:b w:val="1"/>
                <w:bCs w:val="1"/>
                <w:color w:val="auto"/>
              </w:rPr>
              <w:t>02139</w:t>
            </w:r>
          </w:p>
        </w:tc>
      </w:tr>
      <w:tr>
        <w:trPr>
          <w:trHeight w:val="230"/>
        </w:trPr>
        <w:tc>
          <w:tcPr>
            <w:tcW w:w="4660" w:type="dxa"/>
            <w:vAlign w:val="bottom"/>
          </w:tcPr>
          <w:p>
            <w:pPr>
              <w:jc w:val="center"/>
              <w:ind w:right="1730"/>
              <w:spacing w:after="0"/>
              <w:rPr>
                <w:sz w:val="20"/>
                <w:szCs w:val="20"/>
                <w:color w:val="auto"/>
              </w:rPr>
            </w:pPr>
            <w:r>
              <w:rPr>
                <w:rFonts w:ascii="Arial" w:cs="Arial" w:eastAsia="Arial" w:hAnsi="Arial"/>
                <w:sz w:val="18"/>
                <w:szCs w:val="18"/>
                <w:color w:val="auto"/>
                <w:w w:val="92"/>
              </w:rPr>
              <w:t>(Address of principal executive offices)</w:t>
            </w:r>
          </w:p>
        </w:tc>
        <w:tc>
          <w:tcPr>
            <w:tcW w:w="3160" w:type="dxa"/>
            <w:vAlign w:val="bottom"/>
          </w:tcPr>
          <w:p>
            <w:pPr>
              <w:jc w:val="center"/>
              <w:ind w:left="17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Blueprint Medicines Corporation Amended and Restated 2020 Inducement Plan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(Full titles of the plans)</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Kathryn Haviland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Blueprint Medicines Corporation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45 Sidney Street</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Cambridge, Massachusetts 02139</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and address of agent for service)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(617) 374-7580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Please send copies of all communications to:</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Kingsley L. Taft, Esq.</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Danielle M. Lauzon, Esq.</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100 Northern Avenue</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Boston, Massachusetts 02210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472" w:right="439" w:bottom="1440" w:gutter="0" w:footer="0" w:header="0"/>
        </w:sectPr>
      </w:pPr>
    </w:p>
    <w:p>
      <w:pPr>
        <w:spacing w:after="0" w:line="103"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þ</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167" w:lineRule="exact"/>
        <w:rPr>
          <w:sz w:val="24"/>
          <w:szCs w:val="24"/>
          <w:color w:val="auto"/>
        </w:rPr>
      </w:pPr>
    </w:p>
    <w:p>
      <w:pPr>
        <w:sectPr>
          <w:pgSz w:w="11900" w:h="16838" w:orient="portrait"/>
          <w:cols w:equalWidth="0" w:num="2">
            <w:col w:w="7040" w:space="720"/>
            <w:col w:w="3380"/>
          </w:cols>
          <w:pgMar w:left="320" w:top="472" w:right="439" w:bottom="1440" w:gutter="0" w:footer="0" w:header="0"/>
          <w:type w:val="continuous"/>
        </w:sectPr>
      </w:pPr>
    </w:p>
    <w:p>
      <w:pPr>
        <w:ind w:left="196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167" w:lineRule="exact"/>
        <w:rPr>
          <w:sz w:val="24"/>
          <w:szCs w:val="24"/>
          <w:color w:val="auto"/>
        </w:rPr>
      </w:pPr>
    </w:p>
    <w:p>
      <w:pPr>
        <w:sectPr>
          <w:pgSz w:w="11900" w:h="16838" w:orient="portrait"/>
          <w:cols w:equalWidth="0" w:num="2">
            <w:col w:w="6640" w:space="720"/>
            <w:col w:w="3780"/>
          </w:cols>
          <w:pgMar w:left="320" w:top="472" w:right="439" w:bottom="1440" w:gutter="0" w:footer="0" w:header="0"/>
          <w:type w:val="continuous"/>
        </w:sectPr>
      </w:pPr>
    </w:p>
    <w:p>
      <w:pPr>
        <w:ind w:left="734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140"/>
          </w:cols>
          <w:pgMar w:left="320" w:top="472" w:right="439" w:bottom="1440" w:gutter="0" w:footer="0" w:header="0"/>
          <w:type w:val="continuous"/>
        </w:sectPr>
      </w:pPr>
    </w:p>
    <w:p>
      <w:pPr>
        <w:spacing w:after="0" w:line="167" w:lineRule="exact"/>
        <w:rPr>
          <w:sz w:val="24"/>
          <w:szCs w:val="24"/>
          <w:color w:val="auto"/>
        </w:rPr>
      </w:pPr>
    </w:p>
    <w:p>
      <w:pPr>
        <w:ind w:right="60"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472" w:right="4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This Registration Statement on Form S-8 (the “Registration Statement”) is being filed for the purpose of registering an additional 1,500,000 shares of common stock reserved and available for future issuance under the registrant’s Amended and Restated 2020 Inducement Plan, as approved by the registrant’s Board of Directors on June 21, 2022.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2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documents containing the information specified in this Item 1 will be sent or given to participants as specified by Rule 428(b)(1) under the Securities Act.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under the Securities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229"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The documents containing the information specified in this Item 2 will be sent or given to participants as specified by Rule 428(b) under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hereby incorporates by reference into this Registration Statement the following documents filed with the Commission:</w:t>
      </w:r>
    </w:p>
    <w:p>
      <w:pPr>
        <w:spacing w:after="0" w:line="225" w:lineRule="exact"/>
        <w:rPr>
          <w:sz w:val="20"/>
          <w:szCs w:val="20"/>
          <w:color w:val="auto"/>
        </w:rPr>
      </w:pPr>
    </w:p>
    <w:p>
      <w:pPr>
        <w:ind w:left="800" w:hanging="455"/>
        <w:spacing w:after="0"/>
        <w:tabs>
          <w:tab w:leader="none" w:pos="800" w:val="left"/>
        </w:tabs>
        <w:numPr>
          <w:ilvl w:val="0"/>
          <w:numId w:val="1"/>
        </w:numPr>
        <w:rPr>
          <w:rFonts w:ascii="Arial" w:cs="Arial" w:eastAsia="Arial" w:hAnsi="Arial"/>
          <w:sz w:val="18"/>
          <w:szCs w:val="18"/>
          <w:u w:val="single" w:color="auto"/>
          <w:color w:val="0000EE"/>
        </w:rPr>
      </w:pPr>
      <w:hyperlink r:id="rId17">
        <w:r>
          <w:rPr>
            <w:rFonts w:ascii="Arial" w:cs="Arial" w:eastAsia="Arial" w:hAnsi="Arial"/>
            <w:sz w:val="18"/>
            <w:szCs w:val="18"/>
            <w:u w:val="single" w:color="auto"/>
            <w:color w:val="0000EE"/>
          </w:rPr>
          <w:t>The registrant’s Annual Report on Form 10-K filed on February 17, 2022;</w:t>
        </w:r>
      </w:hyperlink>
    </w:p>
    <w:p>
      <w:pPr>
        <w:spacing w:after="0" w:line="225" w:lineRule="exact"/>
        <w:rPr>
          <w:rFonts w:ascii="Arial" w:cs="Arial" w:eastAsia="Arial" w:hAnsi="Arial"/>
          <w:sz w:val="18"/>
          <w:szCs w:val="18"/>
          <w:u w:val="single" w:color="auto"/>
          <w:color w:val="0000EE"/>
        </w:rPr>
      </w:pPr>
    </w:p>
    <w:p>
      <w:pPr>
        <w:ind w:left="800" w:hanging="455"/>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Quarterly Reports on Form 10-Q filed on </w:t>
      </w:r>
      <w:hyperlink r:id="rId18">
        <w:r>
          <w:rPr>
            <w:rFonts w:ascii="Arial" w:cs="Arial" w:eastAsia="Arial" w:hAnsi="Arial"/>
            <w:sz w:val="18"/>
            <w:szCs w:val="18"/>
            <w:u w:val="single" w:color="auto"/>
            <w:color w:val="0000EE"/>
          </w:rPr>
          <w:t>May 3,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9">
        <w:r>
          <w:rPr>
            <w:rFonts w:ascii="Arial" w:cs="Arial" w:eastAsia="Arial" w:hAnsi="Arial"/>
            <w:sz w:val="18"/>
            <w:szCs w:val="18"/>
            <w:u w:val="single" w:color="auto"/>
            <w:color w:val="0000EE"/>
          </w:rPr>
          <w:t>August 2, 2022;</w:t>
        </w:r>
      </w:hyperlink>
    </w:p>
    <w:p>
      <w:pPr>
        <w:spacing w:after="0" w:line="225" w:lineRule="exact"/>
        <w:rPr>
          <w:rFonts w:ascii="Arial" w:cs="Arial" w:eastAsia="Arial" w:hAnsi="Arial"/>
          <w:sz w:val="18"/>
          <w:szCs w:val="18"/>
          <w:color w:val="auto"/>
        </w:rPr>
      </w:pPr>
    </w:p>
    <w:p>
      <w:pPr>
        <w:ind w:left="800" w:hanging="455"/>
        <w:spacing w:after="0"/>
        <w:tabs>
          <w:tab w:leader="none" w:pos="800" w:val="left"/>
        </w:tabs>
        <w:numPr>
          <w:ilvl w:val="0"/>
          <w:numId w:val="1"/>
        </w:numPr>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The registrant’s definitive proxy statement on Schedule 14A filed on April 29, 2022;</w:t>
        </w:r>
      </w:hyperlink>
    </w:p>
    <w:p>
      <w:pPr>
        <w:spacing w:after="0" w:line="225" w:lineRule="exact"/>
        <w:rPr>
          <w:rFonts w:ascii="Arial" w:cs="Arial" w:eastAsia="Arial" w:hAnsi="Arial"/>
          <w:sz w:val="18"/>
          <w:szCs w:val="18"/>
          <w:u w:val="single" w:color="auto"/>
          <w:color w:val="0000EE"/>
        </w:rPr>
      </w:pPr>
    </w:p>
    <w:p>
      <w:pPr>
        <w:ind w:left="800" w:right="220" w:hanging="455"/>
        <w:spacing w:after="0" w:line="263" w:lineRule="auto"/>
        <w:tabs>
          <w:tab w:leader="none" w:pos="800" w:val="left"/>
        </w:tabs>
        <w:numPr>
          <w:ilvl w:val="0"/>
          <w:numId w:val="1"/>
        </w:numPr>
        <w:rPr>
          <w:rFonts w:ascii="Arial" w:cs="Arial" w:eastAsia="Arial" w:hAnsi="Arial"/>
          <w:sz w:val="18"/>
          <w:szCs w:val="18"/>
          <w:color w:val="0000EE"/>
        </w:rPr>
      </w:pPr>
      <w:r>
        <w:rPr>
          <w:rFonts w:ascii="Arial" w:cs="Arial" w:eastAsia="Arial" w:hAnsi="Arial"/>
          <w:sz w:val="18"/>
          <w:szCs w:val="18"/>
          <w:color w:val="auto"/>
        </w:rPr>
        <w:t xml:space="preserve">The registrant’s Current Reports on Form 8-K filed on </w:t>
      </w:r>
      <w:hyperlink r:id="rId21">
        <w:r>
          <w:rPr>
            <w:rFonts w:ascii="Arial" w:cs="Arial" w:eastAsia="Arial" w:hAnsi="Arial"/>
            <w:sz w:val="18"/>
            <w:szCs w:val="18"/>
            <w:u w:val="single" w:color="auto"/>
            <w:color w:val="0000EE"/>
          </w:rPr>
          <w:t>January 5, 2022</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EE"/>
          </w:rPr>
          <w:t>January 10,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(solely with respect to Item 8.01), </w:t>
      </w:r>
      <w:hyperlink r:id="rId23">
        <w:r>
          <w:rPr>
            <w:rFonts w:ascii="Arial" w:cs="Arial" w:eastAsia="Arial" w:hAnsi="Arial"/>
            <w:sz w:val="18"/>
            <w:szCs w:val="18"/>
            <w:u w:val="single" w:color="auto"/>
            <w:color w:val="0000EE"/>
          </w:rPr>
          <w:t>January 20, 2022</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EE"/>
          </w:rPr>
          <w:t>February 28, 2022</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8, 2022</w:t>
        </w:r>
        <w:r>
          <w:rPr>
            <w:rFonts w:ascii="Arial" w:cs="Arial" w:eastAsia="Arial" w:hAnsi="Arial"/>
            <w:sz w:val="18"/>
            <w:szCs w:val="18"/>
            <w:color w:val="0000EE"/>
          </w:rPr>
          <w:t xml:space="preserve"> </w:t>
        </w:r>
        <w:r>
          <w:rPr>
            <w:rFonts w:ascii="Arial" w:cs="Arial" w:eastAsia="Arial" w:hAnsi="Arial"/>
            <w:sz w:val="18"/>
            <w:szCs w:val="18"/>
            <w:color w:val="000000"/>
          </w:rPr>
          <w:t>(solely with respect to Item 8.01),</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June 9, 2022</w:t>
        </w:r>
        <w:r>
          <w:rPr>
            <w:rFonts w:ascii="Arial" w:cs="Arial" w:eastAsia="Arial" w:hAnsi="Arial"/>
            <w:sz w:val="18"/>
            <w:szCs w:val="18"/>
            <w:color w:val="0000EE"/>
          </w:rPr>
          <w:t xml:space="preserve"> </w:t>
        </w:r>
        <w:r>
          <w:rPr>
            <w:rFonts w:ascii="Arial" w:cs="Arial" w:eastAsia="Arial" w:hAnsi="Arial"/>
            <w:sz w:val="18"/>
            <w:szCs w:val="18"/>
            <w:color w:val="000000"/>
          </w:rPr>
          <w:t>(solely with respect to Item 8.01),</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June 23, 2022</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June 27,</w:t>
        </w:r>
      </w:hyperlink>
      <w:r>
        <w:rPr>
          <w:rFonts w:ascii="Arial" w:cs="Arial" w:eastAsia="Arial" w:hAnsi="Arial"/>
          <w:sz w:val="18"/>
          <w:szCs w:val="18"/>
          <w:color w:val="0000EE"/>
        </w:rPr>
        <w:t xml:space="preserve"> </w:t>
      </w:r>
      <w:hyperlink r:id="rId24">
        <w:r>
          <w:rPr>
            <w:rFonts w:ascii="Arial" w:cs="Arial" w:eastAsia="Arial" w:hAnsi="Arial"/>
            <w:sz w:val="18"/>
            <w:szCs w:val="18"/>
            <w:u w:val="single" w:color="auto"/>
            <w:color w:val="0000EE"/>
          </w:rPr>
          <w:t>2022</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25">
        <w:r>
          <w:rPr>
            <w:rFonts w:ascii="Arial" w:cs="Arial" w:eastAsia="Arial" w:hAnsi="Arial"/>
            <w:sz w:val="18"/>
            <w:szCs w:val="18"/>
            <w:u w:val="single" w:color="auto"/>
            <w:color w:val="0000EE"/>
          </w:rPr>
          <w:t xml:space="preserve">June 30, 2022; </w:t>
        </w:r>
      </w:hyperlink>
      <w:hyperlink r:id="rId24">
        <w:r>
          <w:rPr>
            <w:rFonts w:ascii="Arial" w:cs="Arial" w:eastAsia="Arial" w:hAnsi="Arial"/>
            <w:sz w:val="18"/>
            <w:szCs w:val="18"/>
            <w:color w:val="000000"/>
          </w:rPr>
          <w:t>and</w:t>
        </w:r>
      </w:hyperlink>
    </w:p>
    <w:p>
      <w:pPr>
        <w:spacing w:after="0" w:line="183" w:lineRule="exact"/>
        <w:rPr>
          <w:rFonts w:ascii="Arial" w:cs="Arial" w:eastAsia="Arial" w:hAnsi="Arial"/>
          <w:sz w:val="18"/>
          <w:szCs w:val="18"/>
          <w:color w:val="0000EE"/>
        </w:rPr>
      </w:pPr>
    </w:p>
    <w:p>
      <w:pPr>
        <w:ind w:left="800" w:right="100" w:hanging="455"/>
        <w:spacing w:after="0" w:line="263" w:lineRule="auto"/>
        <w:tabs>
          <w:tab w:leader="none" w:pos="800" w:val="left"/>
        </w:tabs>
        <w:numPr>
          <w:ilvl w:val="0"/>
          <w:numId w:val="1"/>
        </w:numPr>
        <w:rPr>
          <w:rFonts w:ascii="Arial" w:cs="Arial" w:eastAsia="Arial" w:hAnsi="Arial"/>
          <w:sz w:val="18"/>
          <w:szCs w:val="18"/>
          <w:u w:val="single" w:color="auto"/>
          <w:color w:val="0000EE"/>
        </w:rPr>
      </w:pPr>
      <w:hyperlink r:id="rId26">
        <w:r>
          <w:rPr>
            <w:rFonts w:ascii="Arial" w:cs="Arial" w:eastAsia="Arial" w:hAnsi="Arial"/>
            <w:sz w:val="18"/>
            <w:szCs w:val="18"/>
            <w:u w:val="single" w:color="auto"/>
            <w:color w:val="0000EE"/>
          </w:rPr>
          <w:t>The description of the registrant’s common stock contained in the registrant’s Registration Statement on Form 8-A (File No. 001-37359), filed</w:t>
        </w:r>
      </w:hyperlink>
      <w:r>
        <w:rPr>
          <w:rFonts w:ascii="Arial" w:cs="Arial" w:eastAsia="Arial" w:hAnsi="Arial"/>
          <w:sz w:val="18"/>
          <w:szCs w:val="18"/>
          <w:u w:val="single" w:color="auto"/>
          <w:color w:val="0000EE"/>
        </w:rPr>
        <w:t xml:space="preserve"> </w:t>
      </w:r>
      <w:hyperlink r:id="rId26">
        <w:r>
          <w:rPr>
            <w:rFonts w:ascii="Arial" w:cs="Arial" w:eastAsia="Arial" w:hAnsi="Arial"/>
            <w:sz w:val="18"/>
            <w:szCs w:val="18"/>
            <w:u w:val="single" w:color="auto"/>
            <w:color w:val="0000EE"/>
          </w:rPr>
          <w:t>by the registrant with the Commission under Section 12(b) of the Securities Exchange Act of 1934, as amended (the “Exchange Act”), on April</w:t>
        </w:r>
      </w:hyperlink>
      <w:r>
        <w:rPr>
          <w:rFonts w:ascii="Arial" w:cs="Arial" w:eastAsia="Arial" w:hAnsi="Arial"/>
          <w:sz w:val="18"/>
          <w:szCs w:val="18"/>
          <w:u w:val="single" w:color="auto"/>
          <w:color w:val="0000EE"/>
        </w:rPr>
        <w:t xml:space="preserve"> </w:t>
      </w:r>
      <w:hyperlink r:id="rId26">
        <w:r>
          <w:rPr>
            <w:rFonts w:ascii="Arial" w:cs="Arial" w:eastAsia="Arial" w:hAnsi="Arial"/>
            <w:sz w:val="18"/>
            <w:szCs w:val="18"/>
            <w:u w:val="single" w:color="auto"/>
            <w:color w:val="0000EE"/>
          </w:rPr>
          <w:t>27, 2015, including any amendments or reports filed for the purpose of updating such description.</w:t>
        </w:r>
      </w:hyperlink>
    </w:p>
    <w:p>
      <w:pPr>
        <w:spacing w:after="0" w:line="184" w:lineRule="exact"/>
        <w:rPr>
          <w:rFonts w:ascii="Arial" w:cs="Arial" w:eastAsia="Arial" w:hAnsi="Arial"/>
          <w:sz w:val="18"/>
          <w:szCs w:val="18"/>
          <w:u w:val="single" w:color="auto"/>
          <w:color w:val="0000EE"/>
        </w:rPr>
      </w:pPr>
    </w:p>
    <w:p>
      <w:pPr>
        <w:spacing w:after="0" w:line="259" w:lineRule="auto"/>
        <w:rPr>
          <w:sz w:val="20"/>
          <w:szCs w:val="20"/>
          <w:color w:val="auto"/>
        </w:rPr>
      </w:pPr>
      <w:r>
        <w:rPr>
          <w:rFonts w:ascii="Arial" w:cs="Arial" w:eastAsia="Arial" w:hAnsi="Arial"/>
          <w:sz w:val="18"/>
          <w:szCs w:val="18"/>
          <w:color w:val="auto"/>
        </w:rPr>
        <w:t>All documents that the registrant subsequently files pursuant to Sections 13(a), 13(c), 14 and 15(d) of the Exchange Act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w:t>
      </w:r>
    </w:p>
    <w:p>
      <w:pPr>
        <w:spacing w:after="0" w:line="187" w:lineRule="exact"/>
        <w:rPr>
          <w:rFonts w:ascii="Arial" w:cs="Arial" w:eastAsia="Arial" w:hAnsi="Arial"/>
          <w:sz w:val="18"/>
          <w:szCs w:val="18"/>
          <w:u w:val="single" w:color="auto"/>
          <w:color w:val="0000EE"/>
        </w:rPr>
      </w:pPr>
    </w:p>
    <w:p>
      <w:pPr>
        <w:ind w:right="60"/>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7" w:lineRule="exact"/>
        <w:rPr>
          <w:rFonts w:ascii="Arial" w:cs="Arial" w:eastAsia="Arial" w:hAnsi="Arial"/>
          <w:sz w:val="18"/>
          <w:szCs w:val="18"/>
          <w:u w:val="single" w:color="auto"/>
          <w:color w:val="0000EE"/>
        </w:rPr>
      </w:pPr>
    </w:p>
    <w:p>
      <w:pPr>
        <w:ind w:right="200"/>
        <w:spacing w:after="0" w:line="277" w:lineRule="auto"/>
        <w:rPr>
          <w:sz w:val="20"/>
          <w:szCs w:val="20"/>
          <w:color w:val="auto"/>
        </w:rPr>
      </w:pPr>
      <w:r>
        <w:rPr>
          <w:rFonts w:ascii="Arial" w:cs="Arial" w:eastAsia="Arial" w:hAnsi="Arial"/>
          <w:sz w:val="18"/>
          <w:szCs w:val="18"/>
          <w:color w:val="auto"/>
        </w:rPr>
        <w:t>Under no circumstances will any information filed under current items 2.02 or 7.01 of Form 8-K be deemed incorporated herein by reference unless such Form 8-K expressly provides to the contrary.</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Section 145 of the Delaware General Corporation Law permits a corporation to include in its charter documents, and in agreements between the corporation and its directors and officers, provisions expanding the scope of indemnification beyond that specifically provided by the current law.</w:t>
      </w:r>
    </w:p>
    <w:p>
      <w:pPr>
        <w:spacing w:after="0" w:line="12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registrant’s amended and restated certificate of incorporation provides for the indemnification of directors to the fullest extent permissible under Delaware law.</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registrant’s amended and restated by-laws provide for the indemnification of officers, directors and third parties acting on the registrant’s behalf if such persons act in good faith and in a manner reasonably believed to be in and not opposed to the registrant’s best interest, and, with respect to any criminal action or proceeding, such indemnified party had no reason to believe his or her conduct was unlawful.</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registrant has entered into or plans to enter into indemnification agreements with each of its directors and executive officers, in addition to the indemnification provisions provided for in its charter documents, and the registrant intends to enter into indemnification agreements with any new directors and executive officers in the future. These agreements provide for indemnification for all reasonable expenses and liabilities incurred in connection with any action or proceeding brought against them by reason of the fact that they are or were agents of the registrant.</w:t>
      </w:r>
    </w:p>
    <w:p>
      <w:pPr>
        <w:spacing w:after="0" w:line="17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registrant intends to purchase and maintain insurance on behalf of any person who is or was a director or officer against any loss arising from any claim asserted against him or her and incurred by him or her in that capacity, subject to certain exclusions and limits of the amount of coverage.</w:t>
      </w:r>
    </w:p>
    <w:p>
      <w:pPr>
        <w:spacing w:after="0" w:line="12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80" w:type="dxa"/>
            <w:vAlign w:val="bottom"/>
            <w:gridSpan w:val="4"/>
          </w:tcPr>
          <w:p>
            <w:pPr>
              <w:spacing w:after="0"/>
              <w:rPr>
                <w:sz w:val="20"/>
                <w:szCs w:val="20"/>
                <w:color w:val="auto"/>
              </w:rPr>
            </w:pPr>
            <w:r>
              <w:rPr>
                <w:rFonts w:ascii="Arial" w:cs="Arial" w:eastAsia="Arial" w:hAnsi="Arial"/>
                <w:sz w:val="18"/>
                <w:szCs w:val="18"/>
                <w:b w:val="1"/>
                <w:bCs w:val="1"/>
                <w:color w:val="auto"/>
                <w:w w:val="99"/>
              </w:rPr>
              <w:t>Item 8. Exhibits.</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9"/>
          </w:tcPr>
          <w:p>
            <w:pPr>
              <w:ind w:left="60"/>
              <w:spacing w:after="0"/>
              <w:rPr>
                <w:sz w:val="20"/>
                <w:szCs w:val="20"/>
                <w:color w:val="auto"/>
              </w:rPr>
            </w:pPr>
            <w:r>
              <w:rPr>
                <w:rFonts w:ascii="Arial" w:cs="Arial" w:eastAsia="Arial" w:hAnsi="Arial"/>
                <w:sz w:val="18"/>
                <w:szCs w:val="18"/>
                <w:b w:val="1"/>
                <w:bCs w:val="1"/>
                <w:color w:val="auto"/>
              </w:rPr>
              <w:t>EXHIBIT INDEX</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0" w:type="dxa"/>
            <w:vAlign w:val="bottom"/>
            <w:gridSpan w:val="10"/>
          </w:tcPr>
          <w:p>
            <w:pPr>
              <w:jc w:val="center"/>
              <w:ind w:right="1020"/>
              <w:spacing w:after="0"/>
              <w:rPr>
                <w:sz w:val="20"/>
                <w:szCs w:val="20"/>
                <w:color w:val="auto"/>
              </w:rPr>
            </w:pPr>
            <w:r>
              <w:rPr>
                <w:rFonts w:ascii="Arial" w:cs="Arial" w:eastAsia="Arial" w:hAnsi="Arial"/>
                <w:sz w:val="18"/>
                <w:szCs w:val="18"/>
                <w:b w:val="1"/>
                <w:bCs w:val="1"/>
                <w:color w:val="auto"/>
                <w:w w:val="90"/>
              </w:rPr>
              <w:t>Incorporated by Reference</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1"/>
        </w:trPr>
        <w:tc>
          <w:tcPr>
            <w:tcW w:w="1380" w:type="dxa"/>
            <w:vAlign w:val="bottom"/>
            <w:gridSpan w:val="4"/>
          </w:tcPr>
          <w:p>
            <w:pPr>
              <w:spacing w:after="0" w:line="191" w:lineRule="exact"/>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ind w:left="260"/>
              <w:spacing w:after="0" w:line="191" w:lineRule="exact"/>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8"/>
        </w:trPr>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340" w:type="dxa"/>
            <w:vAlign w:val="bottom"/>
            <w:gridSpan w:val="11"/>
          </w:tcPr>
          <w:p>
            <w:pPr>
              <w:ind w:left="120"/>
              <w:spacing w:after="0"/>
              <w:rPr>
                <w:sz w:val="20"/>
                <w:szCs w:val="20"/>
                <w:color w:val="auto"/>
              </w:rPr>
            </w:pPr>
            <w:r>
              <w:rPr>
                <w:rFonts w:ascii="Arial" w:cs="Arial" w:eastAsia="Arial" w:hAnsi="Arial"/>
                <w:sz w:val="18"/>
                <w:szCs w:val="18"/>
                <w:b w:val="1"/>
                <w:bCs w:val="1"/>
                <w:color w:val="auto"/>
              </w:rPr>
              <w:t>Description of Exhibit</w:t>
            </w:r>
          </w:p>
        </w:tc>
        <w:tc>
          <w:tcPr>
            <w:tcW w:w="440" w:type="dxa"/>
            <w:vAlign w:val="bottom"/>
          </w:tcPr>
          <w:p>
            <w:pPr>
              <w:spacing w:after="0"/>
              <w:rPr>
                <w:sz w:val="21"/>
                <w:szCs w:val="21"/>
                <w:color w:val="auto"/>
              </w:rPr>
            </w:pPr>
          </w:p>
        </w:tc>
        <w:tc>
          <w:tcPr>
            <w:tcW w:w="3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75"/>
              </w:rPr>
              <w:t>Form</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File No.</w:t>
            </w:r>
          </w:p>
        </w:tc>
        <w:tc>
          <w:tcPr>
            <w:tcW w:w="1340" w:type="dxa"/>
            <w:vAlign w:val="bottom"/>
            <w:gridSpan w:val="4"/>
          </w:tcPr>
          <w:p>
            <w:pPr>
              <w:ind w:left="240"/>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1"/>
                <w:szCs w:val="21"/>
                <w:color w:val="auto"/>
              </w:rPr>
            </w:pPr>
          </w:p>
        </w:tc>
        <w:tc>
          <w:tcPr>
            <w:tcW w:w="112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93"/>
              </w:rPr>
              <w:t>Filing Date</w:t>
            </w:r>
          </w:p>
        </w:tc>
      </w:tr>
      <w:tr>
        <w:trPr>
          <w:trHeight w:val="169"/>
        </w:trPr>
        <w:tc>
          <w:tcPr>
            <w:tcW w:w="240" w:type="dxa"/>
            <w:vAlign w:val="bottom"/>
            <w:tcBorders>
              <w:top w:val="single" w:sz="8" w:color="auto"/>
            </w:tcBorders>
          </w:tcPr>
          <w:p>
            <w:pPr>
              <w:spacing w:after="0" w:line="169" w:lineRule="exact"/>
              <w:rPr>
                <w:rFonts w:ascii="Arial" w:cs="Arial" w:eastAsia="Arial" w:hAnsi="Arial"/>
                <w:sz w:val="18"/>
                <w:szCs w:val="18"/>
                <w:color w:val="0000EE"/>
                <w:w w:val="79"/>
              </w:rPr>
            </w:pPr>
            <w:hyperlink r:id="rId29">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hyperlink>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60" w:type="dxa"/>
            <w:vAlign w:val="bottom"/>
            <w:tcBorders>
              <w:top w:val="single" w:sz="8" w:color="auto"/>
            </w:tcBorders>
            <w:gridSpan w:val="9"/>
          </w:tcPr>
          <w:p>
            <w:pPr>
              <w:spacing w:after="0" w:line="169" w:lineRule="exact"/>
              <w:rPr>
                <w:rFonts w:ascii="Arial" w:cs="Arial" w:eastAsia="Arial" w:hAnsi="Arial"/>
                <w:sz w:val="18"/>
                <w:szCs w:val="18"/>
                <w:color w:val="0000EE"/>
                <w:w w:val="90"/>
              </w:rPr>
            </w:pPr>
            <w:hyperlink r:id="rId29">
              <w:r>
                <w:rPr>
                  <w:rFonts w:ascii="Arial" w:cs="Arial" w:eastAsia="Arial" w:hAnsi="Arial"/>
                  <w:sz w:val="18"/>
                  <w:szCs w:val="18"/>
                  <w:color w:val="0000EE"/>
                  <w:w w:val="90"/>
                </w:rPr>
                <w:t>Fifth Amended and Restated Certificate of Incorporation</w:t>
              </w:r>
            </w:hyperlink>
          </w:p>
        </w:tc>
        <w:tc>
          <w:tcPr>
            <w:tcW w:w="200" w:type="dxa"/>
            <w:vAlign w:val="bottom"/>
            <w:tcBorders>
              <w:top w:val="single" w:sz="8" w:color="auto"/>
            </w:tcBorders>
            <w:gridSpan w:val="3"/>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jc w:val="center"/>
              <w:spacing w:after="0" w:line="169" w:lineRule="exact"/>
              <w:rPr>
                <w:rFonts w:ascii="Arial" w:cs="Arial" w:eastAsia="Arial" w:hAnsi="Arial"/>
                <w:sz w:val="18"/>
                <w:szCs w:val="18"/>
                <w:color w:val="0000EE"/>
                <w:w w:val="79"/>
              </w:rPr>
            </w:pPr>
            <w:hyperlink r:id="rId29">
              <w:r>
                <w:rPr>
                  <w:rFonts w:ascii="Arial" w:cs="Arial" w:eastAsia="Arial" w:hAnsi="Arial"/>
                  <w:sz w:val="18"/>
                  <w:szCs w:val="18"/>
                  <w:color w:val="0000EE"/>
                  <w:w w:val="79"/>
                </w:rPr>
                <w:t>10-Q</w:t>
              </w:r>
            </w:hyperlink>
          </w:p>
        </w:tc>
        <w:tc>
          <w:tcPr>
            <w:tcW w:w="120" w:type="dxa"/>
            <w:vAlign w:val="bottom"/>
            <w:tcBorders>
              <w:top w:val="single" w:sz="8" w:color="auto"/>
            </w:tcBorders>
            <w:gridSpan w:val="2"/>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spacing w:after="0" w:line="169" w:lineRule="exact"/>
              <w:rPr>
                <w:rFonts w:ascii="Arial" w:cs="Arial" w:eastAsia="Arial" w:hAnsi="Arial"/>
                <w:sz w:val="18"/>
                <w:szCs w:val="18"/>
                <w:color w:val="0000EE"/>
                <w:w w:val="90"/>
              </w:rPr>
            </w:pPr>
            <w:hyperlink r:id="rId29">
              <w:r>
                <w:rPr>
                  <w:rFonts w:ascii="Arial" w:cs="Arial" w:eastAsia="Arial" w:hAnsi="Arial"/>
                  <w:sz w:val="18"/>
                  <w:szCs w:val="18"/>
                  <w:color w:val="0000EE"/>
                  <w:w w:val="90"/>
                </w:rPr>
                <w:t>001-37359</w:t>
              </w:r>
            </w:hyperlink>
          </w:p>
        </w:tc>
        <w:tc>
          <w:tcPr>
            <w:tcW w:w="1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top w:val="single" w:sz="8" w:color="auto"/>
            </w:tcBorders>
            <w:gridSpan w:val="2"/>
          </w:tcPr>
          <w:p>
            <w:pPr>
              <w:jc w:val="center"/>
              <w:ind w:left="370"/>
              <w:spacing w:after="0" w:line="169" w:lineRule="exact"/>
              <w:rPr>
                <w:rFonts w:ascii="Arial" w:cs="Arial" w:eastAsia="Arial" w:hAnsi="Arial"/>
                <w:sz w:val="18"/>
                <w:szCs w:val="18"/>
                <w:color w:val="0000EE"/>
                <w:w w:val="87"/>
              </w:rPr>
            </w:pPr>
            <w:hyperlink r:id="rId2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7"/>
          </w:tcPr>
          <w:p>
            <w:pPr>
              <w:jc w:val="center"/>
              <w:ind w:right="200"/>
              <w:spacing w:after="0" w:line="169" w:lineRule="exact"/>
              <w:rPr>
                <w:rFonts w:ascii="Arial" w:cs="Arial" w:eastAsia="Arial" w:hAnsi="Arial"/>
                <w:sz w:val="18"/>
                <w:szCs w:val="18"/>
                <w:color w:val="0000EE"/>
                <w:w w:val="89"/>
              </w:rPr>
            </w:pPr>
            <w:hyperlink r:id="rId29">
              <w:r>
                <w:rPr>
                  <w:rFonts w:ascii="Arial" w:cs="Arial" w:eastAsia="Arial" w:hAnsi="Arial"/>
                  <w:sz w:val="18"/>
                  <w:szCs w:val="18"/>
                  <w:color w:val="0000EE"/>
                  <w:w w:val="89"/>
                </w:rPr>
                <w:t>November 9,</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3"/>
          </w:tcPr>
          <w:p>
            <w:pPr>
              <w:spacing w:after="0" w:line="196" w:lineRule="exact"/>
              <w:rPr>
                <w:rFonts w:ascii="Arial" w:cs="Arial" w:eastAsia="Arial" w:hAnsi="Arial"/>
                <w:sz w:val="18"/>
                <w:szCs w:val="18"/>
                <w:color w:val="0000EE"/>
                <w:w w:val="84"/>
              </w:rPr>
            </w:pPr>
            <w:hyperlink r:id="rId29">
              <w:r>
                <w:rPr>
                  <w:rFonts w:ascii="Arial" w:cs="Arial" w:eastAsia="Arial" w:hAnsi="Arial"/>
                  <w:sz w:val="18"/>
                  <w:szCs w:val="18"/>
                  <w:color w:val="0000EE"/>
                  <w:w w:val="84"/>
                </w:rPr>
                <w:t>of the Registrant</w:t>
              </w:r>
            </w:hyperlink>
          </w:p>
        </w:tc>
        <w:tc>
          <w:tcPr>
            <w:tcW w:w="3340" w:type="dxa"/>
            <w:vAlign w:val="bottom"/>
            <w:gridSpan w:val="11"/>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5"/>
          </w:tcPr>
          <w:p>
            <w:pPr>
              <w:jc w:val="center"/>
              <w:ind w:left="410"/>
              <w:spacing w:after="0" w:line="196" w:lineRule="exact"/>
              <w:rPr>
                <w:rFonts w:ascii="Arial" w:cs="Arial" w:eastAsia="Arial" w:hAnsi="Arial"/>
                <w:sz w:val="18"/>
                <w:szCs w:val="18"/>
                <w:color w:val="0000EE"/>
                <w:w w:val="89"/>
              </w:rPr>
            </w:pPr>
            <w:hyperlink r:id="rId29">
              <w:r>
                <w:rPr>
                  <w:rFonts w:ascii="Arial" w:cs="Arial" w:eastAsia="Arial" w:hAnsi="Arial"/>
                  <w:sz w:val="18"/>
                  <w:szCs w:val="18"/>
                  <w:color w:val="0000EE"/>
                  <w:w w:val="89"/>
                </w:rPr>
                <w:t>2015</w:t>
              </w:r>
            </w:hyperlink>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79"/>
              </w:rPr>
            </w:pPr>
            <w:hyperlink r:id="rId30">
              <w:r>
                <w:rPr>
                  <w:rFonts w:ascii="Arial" w:cs="Arial" w:eastAsia="Arial" w:hAnsi="Arial"/>
                  <w:sz w:val="18"/>
                  <w:szCs w:val="18"/>
                  <w:color w:val="0000EE"/>
                  <w:w w:val="79"/>
                </w:rPr>
                <w:t>3.</w:t>
              </w:r>
              <w:r>
                <w:rPr>
                  <w:rFonts w:ascii="Arial" w:cs="Arial" w:eastAsia="Arial" w:hAnsi="Arial"/>
                  <w:sz w:val="18"/>
                  <w:szCs w:val="18"/>
                  <w:u w:val="single" w:color="auto"/>
                  <w:color w:val="0000EE"/>
                  <w:w w:val="79"/>
                </w:rPr>
                <w:t>2</w:t>
              </w:r>
            </w:hyperlink>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gridSpan w:val="14"/>
          </w:tcPr>
          <w:p>
            <w:pPr>
              <w:spacing w:after="0"/>
              <w:rPr>
                <w:rFonts w:ascii="Arial" w:cs="Arial" w:eastAsia="Arial" w:hAnsi="Arial"/>
                <w:sz w:val="18"/>
                <w:szCs w:val="18"/>
                <w:color w:val="0000EE"/>
              </w:rPr>
            </w:pPr>
            <w:hyperlink r:id="rId30">
              <w:r>
                <w:rPr>
                  <w:rFonts w:ascii="Arial" w:cs="Arial" w:eastAsia="Arial" w:hAnsi="Arial"/>
                  <w:sz w:val="18"/>
                  <w:szCs w:val="18"/>
                  <w:color w:val="0000EE"/>
                </w:rPr>
                <w:t>Amended and Restated Bylaws of the Registrant</w:t>
              </w:r>
            </w:hyperlink>
          </w:p>
        </w:tc>
        <w:tc>
          <w:tcPr>
            <w:tcW w:w="440" w:type="dxa"/>
            <w:vAlign w:val="bottom"/>
          </w:tcPr>
          <w:p>
            <w:pPr>
              <w:spacing w:after="0"/>
              <w:rPr>
                <w:sz w:val="24"/>
                <w:szCs w:val="24"/>
                <w:color w:val="auto"/>
              </w:rPr>
            </w:pPr>
          </w:p>
        </w:tc>
        <w:tc>
          <w:tcPr>
            <w:tcW w:w="380" w:type="dxa"/>
            <w:vAlign w:val="bottom"/>
            <w:gridSpan w:val="3"/>
          </w:tcPr>
          <w:p>
            <w:pPr>
              <w:jc w:val="center"/>
              <w:ind w:right="60"/>
              <w:spacing w:after="0"/>
              <w:rPr>
                <w:rFonts w:ascii="Arial" w:cs="Arial" w:eastAsia="Arial" w:hAnsi="Arial"/>
                <w:sz w:val="18"/>
                <w:szCs w:val="18"/>
                <w:color w:val="0000EE"/>
                <w:w w:val="79"/>
              </w:rPr>
            </w:pPr>
            <w:hyperlink r:id="rId30">
              <w:r>
                <w:rPr>
                  <w:rFonts w:ascii="Arial" w:cs="Arial" w:eastAsia="Arial" w:hAnsi="Arial"/>
                  <w:sz w:val="18"/>
                  <w:szCs w:val="18"/>
                  <w:color w:val="0000EE"/>
                  <w:w w:val="79"/>
                </w:rPr>
                <w:t>10-Q</w:t>
              </w:r>
            </w:hyperlink>
          </w:p>
        </w:tc>
        <w:tc>
          <w:tcPr>
            <w:tcW w:w="1480" w:type="dxa"/>
            <w:vAlign w:val="bottom"/>
            <w:gridSpan w:val="4"/>
          </w:tcPr>
          <w:p>
            <w:pPr>
              <w:jc w:val="center"/>
              <w:ind w:left="610"/>
              <w:spacing w:after="0"/>
              <w:rPr>
                <w:rFonts w:ascii="Arial" w:cs="Arial" w:eastAsia="Arial" w:hAnsi="Arial"/>
                <w:sz w:val="18"/>
                <w:szCs w:val="18"/>
                <w:color w:val="0000EE"/>
                <w:w w:val="90"/>
              </w:rPr>
            </w:pPr>
            <w:hyperlink r:id="rId30">
              <w:r>
                <w:rPr>
                  <w:rFonts w:ascii="Arial" w:cs="Arial" w:eastAsia="Arial" w:hAnsi="Arial"/>
                  <w:sz w:val="18"/>
                  <w:szCs w:val="18"/>
                  <w:color w:val="0000EE"/>
                  <w:w w:val="90"/>
                </w:rPr>
                <w:t>001-37359</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3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7"/>
          </w:tcPr>
          <w:p>
            <w:pPr>
              <w:jc w:val="center"/>
              <w:ind w:right="220"/>
              <w:spacing w:after="0"/>
              <w:rPr>
                <w:rFonts w:ascii="Arial" w:cs="Arial" w:eastAsia="Arial" w:hAnsi="Arial"/>
                <w:sz w:val="18"/>
                <w:szCs w:val="18"/>
                <w:color w:val="0000EE"/>
                <w:w w:val="90"/>
              </w:rPr>
            </w:pPr>
            <w:hyperlink r:id="rId30">
              <w:r>
                <w:rPr>
                  <w:rFonts w:ascii="Arial" w:cs="Arial" w:eastAsia="Arial" w:hAnsi="Arial"/>
                  <w:sz w:val="18"/>
                  <w:szCs w:val="18"/>
                  <w:color w:val="0000EE"/>
                  <w:w w:val="90"/>
                </w:rPr>
                <w:t>May 6, 2020</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79"/>
              </w:rPr>
            </w:pPr>
            <w:hyperlink r:id="rId31">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w:t>
              </w:r>
            </w:hyperlink>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gridSpan w:val="14"/>
          </w:tcPr>
          <w:p>
            <w:pPr>
              <w:spacing w:after="0"/>
              <w:rPr>
                <w:rFonts w:ascii="Arial" w:cs="Arial" w:eastAsia="Arial" w:hAnsi="Arial"/>
                <w:sz w:val="18"/>
                <w:szCs w:val="18"/>
                <w:color w:val="0000EE"/>
              </w:rPr>
            </w:pPr>
            <w:hyperlink r:id="rId31">
              <w:r>
                <w:rPr>
                  <w:rFonts w:ascii="Arial" w:cs="Arial" w:eastAsia="Arial" w:hAnsi="Arial"/>
                  <w:sz w:val="18"/>
                  <w:szCs w:val="18"/>
                  <w:color w:val="0000EE"/>
                </w:rPr>
                <w:t>Specimen Common Stock Certificate</w:t>
              </w:r>
            </w:hyperlink>
          </w:p>
        </w:tc>
        <w:tc>
          <w:tcPr>
            <w:tcW w:w="440" w:type="dxa"/>
            <w:vAlign w:val="bottom"/>
          </w:tcPr>
          <w:p>
            <w:pPr>
              <w:spacing w:after="0"/>
              <w:rPr>
                <w:sz w:val="24"/>
                <w:szCs w:val="24"/>
                <w:color w:val="auto"/>
              </w:rPr>
            </w:pPr>
          </w:p>
        </w:tc>
        <w:tc>
          <w:tcPr>
            <w:tcW w:w="380" w:type="dxa"/>
            <w:vAlign w:val="bottom"/>
            <w:gridSpan w:val="3"/>
          </w:tcPr>
          <w:p>
            <w:pPr>
              <w:jc w:val="center"/>
              <w:ind w:right="40"/>
              <w:spacing w:after="0"/>
              <w:rPr>
                <w:rFonts w:ascii="Arial" w:cs="Arial" w:eastAsia="Arial" w:hAnsi="Arial"/>
                <w:sz w:val="18"/>
                <w:szCs w:val="18"/>
                <w:color w:val="0000EE"/>
                <w:w w:val="75"/>
              </w:rPr>
            </w:pPr>
            <w:hyperlink r:id="rId31">
              <w:r>
                <w:rPr>
                  <w:rFonts w:ascii="Arial" w:cs="Arial" w:eastAsia="Arial" w:hAnsi="Arial"/>
                  <w:sz w:val="18"/>
                  <w:szCs w:val="18"/>
                  <w:color w:val="0000EE"/>
                  <w:w w:val="75"/>
                </w:rPr>
                <w:t>S-1/A</w:t>
              </w:r>
            </w:hyperlink>
          </w:p>
        </w:tc>
        <w:tc>
          <w:tcPr>
            <w:tcW w:w="1660" w:type="dxa"/>
            <w:vAlign w:val="bottom"/>
            <w:gridSpan w:val="5"/>
          </w:tcPr>
          <w:p>
            <w:pPr>
              <w:jc w:val="center"/>
              <w:ind w:left="430"/>
              <w:spacing w:after="0"/>
              <w:rPr>
                <w:rFonts w:ascii="Arial" w:cs="Arial" w:eastAsia="Arial" w:hAnsi="Arial"/>
                <w:sz w:val="18"/>
                <w:szCs w:val="18"/>
                <w:color w:val="0000EE"/>
                <w:w w:val="89"/>
              </w:rPr>
            </w:pPr>
            <w:hyperlink r:id="rId31">
              <w:r>
                <w:rPr>
                  <w:rFonts w:ascii="Arial" w:cs="Arial" w:eastAsia="Arial" w:hAnsi="Arial"/>
                  <w:sz w:val="18"/>
                  <w:szCs w:val="18"/>
                  <w:color w:val="0000EE"/>
                  <w:w w:val="89"/>
                </w:rPr>
                <w:t>333-202938</w:t>
              </w:r>
            </w:hyperlink>
          </w:p>
        </w:tc>
        <w:tc>
          <w:tcPr>
            <w:tcW w:w="2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3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7"/>
          </w:tcPr>
          <w:p>
            <w:pPr>
              <w:jc w:val="center"/>
              <w:ind w:right="140"/>
              <w:spacing w:after="0"/>
              <w:rPr>
                <w:rFonts w:ascii="Arial" w:cs="Arial" w:eastAsia="Arial" w:hAnsi="Arial"/>
                <w:sz w:val="18"/>
                <w:szCs w:val="18"/>
                <w:color w:val="0000EE"/>
                <w:w w:val="88"/>
              </w:rPr>
            </w:pPr>
            <w:hyperlink r:id="rId31">
              <w:r>
                <w:rPr>
                  <w:rFonts w:ascii="Arial" w:cs="Arial" w:eastAsia="Arial" w:hAnsi="Arial"/>
                  <w:sz w:val="18"/>
                  <w:szCs w:val="18"/>
                  <w:color w:val="0000EE"/>
                  <w:w w:val="88"/>
                </w:rPr>
                <w:t>April 20, 2015</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right w:val="single" w:sz="8" w:color="0000EE"/>
            </w:tcBorders>
            <w:gridSpan w:val="3"/>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79"/>
              </w:rPr>
            </w:pPr>
            <w:hyperlink r:id="rId32">
              <w:r>
                <w:rPr>
                  <w:rFonts w:ascii="Arial" w:cs="Arial" w:eastAsia="Arial" w:hAnsi="Arial"/>
                  <w:sz w:val="18"/>
                  <w:szCs w:val="18"/>
                  <w:color w:val="0000EE"/>
                  <w:w w:val="79"/>
                </w:rPr>
                <w:t>4.</w:t>
              </w:r>
              <w:r>
                <w:rPr>
                  <w:rFonts w:ascii="Arial" w:cs="Arial" w:eastAsia="Arial" w:hAnsi="Arial"/>
                  <w:sz w:val="18"/>
                  <w:szCs w:val="18"/>
                  <w:u w:val="single" w:color="auto"/>
                  <w:color w:val="0000EE"/>
                  <w:w w:val="79"/>
                </w:rPr>
                <w:t>2</w:t>
              </w:r>
            </w:hyperlink>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gridSpan w:val="14"/>
          </w:tcPr>
          <w:p>
            <w:pPr>
              <w:spacing w:after="0"/>
              <w:rPr>
                <w:rFonts w:ascii="Arial" w:cs="Arial" w:eastAsia="Arial" w:hAnsi="Arial"/>
                <w:sz w:val="18"/>
                <w:szCs w:val="18"/>
                <w:color w:val="0000EE"/>
              </w:rPr>
            </w:pPr>
            <w:hyperlink r:id="rId32">
              <w:r>
                <w:rPr>
                  <w:rFonts w:ascii="Arial" w:cs="Arial" w:eastAsia="Arial" w:hAnsi="Arial"/>
                  <w:sz w:val="18"/>
                  <w:szCs w:val="18"/>
                  <w:color w:val="0000EE"/>
                </w:rPr>
                <w:t>Second Amended and Restated Investors’ Rights</w:t>
              </w:r>
            </w:hyperlink>
          </w:p>
        </w:tc>
        <w:tc>
          <w:tcPr>
            <w:tcW w:w="440" w:type="dxa"/>
            <w:vAlign w:val="bottom"/>
          </w:tcPr>
          <w:p>
            <w:pPr>
              <w:spacing w:after="0"/>
              <w:rPr>
                <w:sz w:val="24"/>
                <w:szCs w:val="24"/>
                <w:color w:val="auto"/>
              </w:rPr>
            </w:pPr>
          </w:p>
        </w:tc>
        <w:tc>
          <w:tcPr>
            <w:tcW w:w="380" w:type="dxa"/>
            <w:vAlign w:val="bottom"/>
            <w:gridSpan w:val="3"/>
          </w:tcPr>
          <w:p>
            <w:pPr>
              <w:jc w:val="center"/>
              <w:ind w:right="120"/>
              <w:spacing w:after="0"/>
              <w:rPr>
                <w:rFonts w:ascii="Arial" w:cs="Arial" w:eastAsia="Arial" w:hAnsi="Arial"/>
                <w:sz w:val="18"/>
                <w:szCs w:val="18"/>
                <w:color w:val="0000EE"/>
                <w:w w:val="92"/>
              </w:rPr>
            </w:pPr>
            <w:hyperlink r:id="rId32">
              <w:r>
                <w:rPr>
                  <w:rFonts w:ascii="Arial" w:cs="Arial" w:eastAsia="Arial" w:hAnsi="Arial"/>
                  <w:sz w:val="18"/>
                  <w:szCs w:val="18"/>
                  <w:color w:val="0000EE"/>
                  <w:w w:val="92"/>
                </w:rPr>
                <w:t>S-1</w:t>
              </w:r>
            </w:hyperlink>
          </w:p>
        </w:tc>
        <w:tc>
          <w:tcPr>
            <w:tcW w:w="1660" w:type="dxa"/>
            <w:vAlign w:val="bottom"/>
            <w:gridSpan w:val="5"/>
          </w:tcPr>
          <w:p>
            <w:pPr>
              <w:jc w:val="center"/>
              <w:ind w:left="430"/>
              <w:spacing w:after="0"/>
              <w:rPr>
                <w:rFonts w:ascii="Arial" w:cs="Arial" w:eastAsia="Arial" w:hAnsi="Arial"/>
                <w:sz w:val="18"/>
                <w:szCs w:val="18"/>
                <w:color w:val="0000EE"/>
                <w:w w:val="89"/>
              </w:rPr>
            </w:pPr>
            <w:hyperlink r:id="rId32">
              <w:r>
                <w:rPr>
                  <w:rFonts w:ascii="Arial" w:cs="Arial" w:eastAsia="Arial" w:hAnsi="Arial"/>
                  <w:sz w:val="18"/>
                  <w:szCs w:val="18"/>
                  <w:color w:val="0000EE"/>
                  <w:w w:val="89"/>
                </w:rPr>
                <w:t>333-202938</w:t>
              </w:r>
            </w:hyperlink>
          </w:p>
        </w:tc>
        <w:tc>
          <w:tcPr>
            <w:tcW w:w="2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3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8"/>
          </w:tcPr>
          <w:p>
            <w:pPr>
              <w:jc w:val="center"/>
              <w:spacing w:after="0"/>
              <w:rPr>
                <w:rFonts w:ascii="Arial" w:cs="Arial" w:eastAsia="Arial" w:hAnsi="Arial"/>
                <w:sz w:val="18"/>
                <w:szCs w:val="18"/>
                <w:color w:val="0000EE"/>
                <w:w w:val="91"/>
              </w:rPr>
            </w:pPr>
            <w:hyperlink r:id="rId32">
              <w:r>
                <w:rPr>
                  <w:rFonts w:ascii="Arial" w:cs="Arial" w:eastAsia="Arial" w:hAnsi="Arial"/>
                  <w:sz w:val="18"/>
                  <w:szCs w:val="18"/>
                  <w:color w:val="0000EE"/>
                  <w:w w:val="91"/>
                </w:rPr>
                <w:t>March 23, 2015</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32">
              <w:r>
                <w:rPr>
                  <w:rFonts w:ascii="Arial" w:cs="Arial" w:eastAsia="Arial" w:hAnsi="Arial"/>
                  <w:sz w:val="18"/>
                  <w:szCs w:val="18"/>
                  <w:color w:val="0000EE"/>
                  <w:w w:val="88"/>
                </w:rPr>
                <w:t>Agreement, dated as of November 7, 2014, by and among</w:t>
              </w:r>
            </w:hyperlink>
          </w:p>
        </w:tc>
        <w:tc>
          <w:tcPr>
            <w:tcW w:w="34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gridSpan w:val="14"/>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the Registrant and the Investors listed therein</w:t>
              </w:r>
            </w:hyperlink>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r>
                <w:rPr>
                  <w:rFonts w:ascii="Arial" w:cs="Arial" w:eastAsia="Arial" w:hAnsi="Arial"/>
                  <w:sz w:val="18"/>
                  <w:szCs w:val="18"/>
                  <w:u w:val="single" w:color="auto"/>
                  <w:color w:val="0000EE"/>
                  <w:w w:val="79"/>
                </w:rPr>
                <w:t>1</w:t>
              </w:r>
            </w:hyperlink>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Opinion of Goodwin Procter LLP, counsel to the</w:t>
              </w:r>
            </w:hyperlink>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5"/>
          </w:tcPr>
          <w:p>
            <w:pPr>
              <w:jc w:val="center"/>
              <w:ind w:left="390"/>
              <w:spacing w:after="0"/>
              <w:rPr>
                <w:rFonts w:ascii="Arial" w:cs="Arial" w:eastAsia="Arial" w:hAnsi="Arial"/>
                <w:sz w:val="18"/>
                <w:szCs w:val="18"/>
                <w:color w:val="0000EE"/>
              </w:rPr>
            </w:pPr>
            <w:hyperlink w:anchor="page8">
              <w:r>
                <w:rPr>
                  <w:rFonts w:ascii="Arial" w:cs="Arial" w:eastAsia="Arial" w:hAnsi="Arial"/>
                  <w:sz w:val="18"/>
                  <w:szCs w:val="18"/>
                  <w:color w:val="0000EE"/>
                </w:rPr>
                <w:t>*</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Registrant</w:t>
              </w:r>
            </w:hyperlink>
          </w:p>
        </w:tc>
        <w:tc>
          <w:tcPr>
            <w:tcW w:w="3760" w:type="dxa"/>
            <w:vAlign w:val="bottom"/>
            <w:gridSpan w:val="12"/>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9">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gridSpan w:val="14"/>
          </w:tcPr>
          <w:p>
            <w:pPr>
              <w:spacing w:after="0"/>
              <w:rPr>
                <w:rFonts w:ascii="Arial" w:cs="Arial" w:eastAsia="Arial" w:hAnsi="Arial"/>
                <w:sz w:val="18"/>
                <w:szCs w:val="18"/>
                <w:color w:val="0000EE"/>
                <w:w w:val="96"/>
              </w:rPr>
            </w:pPr>
            <w:hyperlink w:anchor="page9">
              <w:r>
                <w:rPr>
                  <w:rFonts w:ascii="Arial" w:cs="Arial" w:eastAsia="Arial" w:hAnsi="Arial"/>
                  <w:sz w:val="18"/>
                  <w:szCs w:val="18"/>
                  <w:color w:val="0000EE"/>
                  <w:w w:val="96"/>
                </w:rPr>
                <w:t>Consent of Ernst &amp; Young LLP, an independent registered</w:t>
              </w:r>
            </w:hyperlink>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5"/>
          </w:tcPr>
          <w:p>
            <w:pPr>
              <w:jc w:val="center"/>
              <w:ind w:left="390"/>
              <w:spacing w:after="0"/>
              <w:rPr>
                <w:rFonts w:ascii="Arial" w:cs="Arial" w:eastAsia="Arial" w:hAnsi="Arial"/>
                <w:sz w:val="18"/>
                <w:szCs w:val="18"/>
                <w:color w:val="0000EE"/>
              </w:rPr>
            </w:pPr>
            <w:hyperlink w:anchor="page9">
              <w:r>
                <w:rPr>
                  <w:rFonts w:ascii="Arial" w:cs="Arial" w:eastAsia="Arial" w:hAnsi="Arial"/>
                  <w:sz w:val="18"/>
                  <w:szCs w:val="18"/>
                  <w:color w:val="0000EE"/>
                </w:rPr>
                <w:t>*</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public accounting firm</w:t>
              </w:r>
            </w:hyperlink>
          </w:p>
        </w:tc>
        <w:tc>
          <w:tcPr>
            <w:tcW w:w="2860" w:type="dxa"/>
            <w:vAlign w:val="bottom"/>
            <w:gridSpan w:val="9"/>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8">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hyperlink>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gridSpan w:val="14"/>
          </w:tcPr>
          <w:p>
            <w:pPr>
              <w:spacing w:after="0"/>
              <w:rPr>
                <w:rFonts w:ascii="Arial" w:cs="Arial" w:eastAsia="Arial" w:hAnsi="Arial"/>
                <w:sz w:val="18"/>
                <w:szCs w:val="18"/>
                <w:color w:val="0000EE"/>
                <w:w w:val="98"/>
              </w:rPr>
            </w:pPr>
            <w:hyperlink w:anchor="page8">
              <w:r>
                <w:rPr>
                  <w:rFonts w:ascii="Arial" w:cs="Arial" w:eastAsia="Arial" w:hAnsi="Arial"/>
                  <w:sz w:val="18"/>
                  <w:szCs w:val="18"/>
                  <w:color w:val="0000EE"/>
                  <w:w w:val="98"/>
                </w:rPr>
                <w:t>Consent of Goodwin Procter LLP (included in Exhibit 5.1)</w:t>
              </w:r>
            </w:hyperlink>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5"/>
          </w:tcPr>
          <w:p>
            <w:pPr>
              <w:jc w:val="center"/>
              <w:ind w:left="390"/>
              <w:spacing w:after="0"/>
              <w:rPr>
                <w:rFonts w:ascii="Arial" w:cs="Arial" w:eastAsia="Arial" w:hAnsi="Arial"/>
                <w:sz w:val="18"/>
                <w:szCs w:val="18"/>
                <w:color w:val="0000EE"/>
              </w:rPr>
            </w:pPr>
            <w:hyperlink w:anchor="page8">
              <w:r>
                <w:rPr>
                  <w:rFonts w:ascii="Arial" w:cs="Arial" w:eastAsia="Arial" w:hAnsi="Arial"/>
                  <w:sz w:val="18"/>
                  <w:szCs w:val="18"/>
                  <w:color w:val="0000EE"/>
                </w:rPr>
                <w:t>*</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6">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gridSpan w:val="14"/>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Power of attorney (included on the signature pages of this</w:t>
              </w:r>
            </w:hyperlink>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5"/>
          </w:tcPr>
          <w:p>
            <w:pPr>
              <w:jc w:val="center"/>
              <w:ind w:left="390"/>
              <w:spacing w:after="0"/>
              <w:rPr>
                <w:rFonts w:ascii="Arial" w:cs="Arial" w:eastAsia="Arial" w:hAnsi="Arial"/>
                <w:sz w:val="18"/>
                <w:szCs w:val="18"/>
                <w:color w:val="0000EE"/>
              </w:rPr>
            </w:pPr>
            <w:hyperlink w:anchor="page6">
              <w:r>
                <w:rPr>
                  <w:rFonts w:ascii="Arial" w:cs="Arial" w:eastAsia="Arial" w:hAnsi="Arial"/>
                  <w:sz w:val="18"/>
                  <w:szCs w:val="18"/>
                  <w:color w:val="0000EE"/>
                </w:rPr>
                <w:t>*</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registration statement)</w:t>
              </w:r>
            </w:hyperlink>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33">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gridSpan w:val="14"/>
          </w:tcPr>
          <w:p>
            <w:pPr>
              <w:spacing w:after="0"/>
              <w:rPr>
                <w:rFonts w:ascii="Arial" w:cs="Arial" w:eastAsia="Arial" w:hAnsi="Arial"/>
                <w:sz w:val="18"/>
                <w:szCs w:val="18"/>
                <w:color w:val="0000EE"/>
              </w:rPr>
            </w:pPr>
            <w:hyperlink r:id="rId33">
              <w:r>
                <w:rPr>
                  <w:rFonts w:ascii="Arial" w:cs="Arial" w:eastAsia="Arial" w:hAnsi="Arial"/>
                  <w:sz w:val="18"/>
                  <w:szCs w:val="18"/>
                  <w:color w:val="0000EE"/>
                </w:rPr>
                <w:t>Amended and Restated 2020 Inducement Plan</w:t>
              </w:r>
            </w:hyperlink>
          </w:p>
        </w:tc>
        <w:tc>
          <w:tcPr>
            <w:tcW w:w="440" w:type="dxa"/>
            <w:vAlign w:val="bottom"/>
          </w:tcPr>
          <w:p>
            <w:pPr>
              <w:spacing w:after="0"/>
              <w:rPr>
                <w:sz w:val="24"/>
                <w:szCs w:val="24"/>
                <w:color w:val="auto"/>
              </w:rPr>
            </w:pPr>
          </w:p>
        </w:tc>
        <w:tc>
          <w:tcPr>
            <w:tcW w:w="380" w:type="dxa"/>
            <w:vAlign w:val="bottom"/>
            <w:gridSpan w:val="3"/>
          </w:tcPr>
          <w:p>
            <w:pPr>
              <w:jc w:val="center"/>
              <w:ind w:right="120"/>
              <w:spacing w:after="0"/>
              <w:rPr>
                <w:rFonts w:ascii="Arial" w:cs="Arial" w:eastAsia="Arial" w:hAnsi="Arial"/>
                <w:sz w:val="18"/>
                <w:szCs w:val="18"/>
                <w:color w:val="0000EE"/>
                <w:w w:val="92"/>
              </w:rPr>
            </w:pPr>
            <w:hyperlink r:id="rId33">
              <w:r>
                <w:rPr>
                  <w:rFonts w:ascii="Arial" w:cs="Arial" w:eastAsia="Arial" w:hAnsi="Arial"/>
                  <w:sz w:val="18"/>
                  <w:szCs w:val="18"/>
                  <w:color w:val="0000EE"/>
                  <w:w w:val="92"/>
                </w:rPr>
                <w:t>8-K</w:t>
              </w:r>
            </w:hyperlink>
          </w:p>
        </w:tc>
        <w:tc>
          <w:tcPr>
            <w:tcW w:w="1480" w:type="dxa"/>
            <w:vAlign w:val="bottom"/>
            <w:gridSpan w:val="4"/>
          </w:tcPr>
          <w:p>
            <w:pPr>
              <w:jc w:val="center"/>
              <w:ind w:left="610"/>
              <w:spacing w:after="0"/>
              <w:rPr>
                <w:rFonts w:ascii="Arial" w:cs="Arial" w:eastAsia="Arial" w:hAnsi="Arial"/>
                <w:sz w:val="18"/>
                <w:szCs w:val="18"/>
                <w:color w:val="0000EE"/>
                <w:w w:val="90"/>
              </w:rPr>
            </w:pPr>
            <w:hyperlink r:id="rId33">
              <w:r>
                <w:rPr>
                  <w:rFonts w:ascii="Arial" w:cs="Arial" w:eastAsia="Arial" w:hAnsi="Arial"/>
                  <w:sz w:val="18"/>
                  <w:szCs w:val="18"/>
                  <w:color w:val="0000EE"/>
                  <w:w w:val="90"/>
                </w:rPr>
                <w:t>001-37359</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3"/>
          </w:tcPr>
          <w:p>
            <w:pPr>
              <w:jc w:val="center"/>
              <w:spacing w:after="0"/>
              <w:rPr>
                <w:rFonts w:ascii="Arial" w:cs="Arial" w:eastAsia="Arial" w:hAnsi="Arial"/>
                <w:sz w:val="18"/>
                <w:szCs w:val="18"/>
                <w:color w:val="0000EE"/>
                <w:w w:val="91"/>
              </w:rPr>
            </w:pPr>
            <w:hyperlink r:id="rId33">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7"/>
          </w:tcPr>
          <w:p>
            <w:pPr>
              <w:jc w:val="center"/>
              <w:ind w:right="160"/>
              <w:spacing w:after="0"/>
              <w:rPr>
                <w:rFonts w:ascii="Arial" w:cs="Arial" w:eastAsia="Arial" w:hAnsi="Arial"/>
                <w:sz w:val="18"/>
                <w:szCs w:val="18"/>
                <w:color w:val="0000EE"/>
                <w:w w:val="84"/>
              </w:rPr>
            </w:pPr>
            <w:hyperlink r:id="rId33">
              <w:r>
                <w:rPr>
                  <w:rFonts w:ascii="Arial" w:cs="Arial" w:eastAsia="Arial" w:hAnsi="Arial"/>
                  <w:sz w:val="18"/>
                  <w:szCs w:val="18"/>
                  <w:color w:val="0000EE"/>
                  <w:w w:val="84"/>
                </w:rPr>
                <w:t>June 27, 2022</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160" w:type="dxa"/>
            <w:vAlign w:val="bottom"/>
            <w:tcBorders>
              <w:left w:val="single" w:sz="8" w:color="0000EE"/>
            </w:tcBorders>
            <w:gridSpan w:val="5"/>
            <w:shd w:val="clear" w:color="auto" w:fill="0000EE"/>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7"/>
                <w:szCs w:val="17"/>
                <w:color w:val="0000EE"/>
                <w:w w:val="70"/>
              </w:rPr>
            </w:pPr>
            <w:hyperlink w:anchor="page10">
              <w:r>
                <w:rPr>
                  <w:rFonts w:ascii="Arial" w:cs="Arial" w:eastAsia="Arial" w:hAnsi="Arial"/>
                  <w:sz w:val="17"/>
                  <w:szCs w:val="17"/>
                  <w:color w:val="0000EE"/>
                  <w:w w:val="70"/>
                </w:rPr>
                <w:t>107</w:t>
              </w:r>
            </w:hyperlink>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gridSpan w:val="14"/>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Filing Fee Table</w:t>
              </w:r>
            </w:hyperlink>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5"/>
          </w:tcPr>
          <w:p>
            <w:pPr>
              <w:jc w:val="center"/>
              <w:ind w:left="390"/>
              <w:spacing w:after="0"/>
              <w:rPr>
                <w:rFonts w:ascii="Arial" w:cs="Arial" w:eastAsia="Arial" w:hAnsi="Arial"/>
                <w:sz w:val="18"/>
                <w:szCs w:val="18"/>
                <w:color w:val="0000EE"/>
              </w:rPr>
            </w:pPr>
            <w:hyperlink w:anchor="page10">
              <w:r>
                <w:rPr>
                  <w:rFonts w:ascii="Arial" w:cs="Arial" w:eastAsia="Arial" w:hAnsi="Arial"/>
                  <w:sz w:val="18"/>
                  <w:szCs w:val="18"/>
                  <w:color w:val="0000EE"/>
                </w:rPr>
                <w:t>*</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*Filed herewith.</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registrant hereby undertakes:</w:t>
      </w:r>
    </w:p>
    <w:p>
      <w:pPr>
        <w:spacing w:after="0" w:line="225"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25" w:lineRule="exact"/>
        <w:rPr>
          <w:sz w:val="20"/>
          <w:szCs w:val="20"/>
          <w:color w:val="auto"/>
        </w:rPr>
      </w:pPr>
    </w:p>
    <w:p>
      <w:pPr>
        <w:ind w:right="40" w:firstLine="8"/>
        <w:spacing w:after="0" w:line="273" w:lineRule="auto"/>
        <w:tabs>
          <w:tab w:leader="none" w:pos="265"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77" w:lineRule="exact"/>
        <w:rPr>
          <w:rFonts w:ascii="Arial" w:cs="Arial" w:eastAsia="Arial" w:hAnsi="Arial"/>
          <w:sz w:val="17"/>
          <w:szCs w:val="17"/>
          <w:color w:val="auto"/>
        </w:rPr>
      </w:pPr>
    </w:p>
    <w:p>
      <w:pPr>
        <w:ind w:right="560" w:firstLine="8"/>
        <w:spacing w:after="0" w:line="277"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herein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Commission by the registrant pursuant to Section 13 or Section 15(d) of the Exchange Act (15 U.S.C. 78m or 78o(d)) that are incorporated by reference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ind w:left="-8" w:firstLine="8"/>
        <w:spacing w:after="0" w:line="342" w:lineRule="auto"/>
        <w:tabs>
          <w:tab w:leader="none" w:pos="24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3" w:lineRule="exact"/>
        <w:rPr>
          <w:rFonts w:ascii="Arial" w:cs="Arial" w:eastAsia="Arial" w:hAnsi="Arial"/>
          <w:sz w:val="16"/>
          <w:szCs w:val="16"/>
          <w:color w:val="auto"/>
        </w:rPr>
      </w:pPr>
    </w:p>
    <w:p>
      <w:pPr>
        <w:ind w:left="-8" w:right="220" w:firstLine="8"/>
        <w:spacing w:after="0" w:line="277" w:lineRule="auto"/>
        <w:tabs>
          <w:tab w:leader="none" w:pos="247"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left="-8" w:right="340" w:firstLine="8"/>
        <w:spacing w:after="0" w:line="257" w:lineRule="auto"/>
        <w:tabs>
          <w:tab w:leader="none" w:pos="24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sz w:val="20"/>
          <w:szCs w:val="20"/>
          <w:color w:val="auto"/>
        </w:rPr>
      </w:pPr>
    </w:p>
    <w:p>
      <w:pPr>
        <w:ind w:left="-8" w:right="80" w:firstLine="8"/>
        <w:spacing w:after="0" w:line="291" w:lineRule="auto"/>
        <w:tabs>
          <w:tab w:leader="none" w:pos="247"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252095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the 2nd day of August, 2022.</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Kathryn Haviland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KNOW ALL BY THESE PRESENT, that each individual whose signature appears below hereby constitutes and appoints each of Kathryn Haviland and Michael Landsittel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240" w:type="dxa"/>
            <w:vAlign w:val="bottom"/>
          </w:tcPr>
          <w:p>
            <w:pPr>
              <w:spacing w:after="0"/>
              <w:rPr>
                <w:sz w:val="20"/>
                <w:szCs w:val="20"/>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220" w:type="dxa"/>
            <w:vAlign w:val="bottom"/>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5"/>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Kathryn Haviland</w:t>
            </w:r>
          </w:p>
        </w:tc>
        <w:tc>
          <w:tcPr>
            <w:tcW w:w="240" w:type="dxa"/>
            <w:vAlign w:val="bottom"/>
          </w:tcPr>
          <w:p>
            <w:pPr>
              <w:spacing w:after="0"/>
              <w:rPr>
                <w:sz w:val="24"/>
                <w:szCs w:val="24"/>
                <w:color w:val="auto"/>
              </w:rPr>
            </w:pPr>
          </w:p>
        </w:tc>
        <w:tc>
          <w:tcPr>
            <w:tcW w:w="40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Director, President, Chief Executive Officer</w:t>
            </w:r>
          </w:p>
        </w:tc>
        <w:tc>
          <w:tcPr>
            <w:tcW w:w="3140" w:type="dxa"/>
            <w:vAlign w:val="bottom"/>
          </w:tcPr>
          <w:p>
            <w:pPr>
              <w:jc w:val="center"/>
              <w:spacing w:after="0"/>
              <w:rPr>
                <w:sz w:val="20"/>
                <w:szCs w:val="20"/>
                <w:color w:val="auto"/>
              </w:rPr>
            </w:pPr>
            <w:r>
              <w:rPr>
                <w:rFonts w:ascii="Arial" w:cs="Arial" w:eastAsia="Arial" w:hAnsi="Arial"/>
                <w:sz w:val="18"/>
                <w:szCs w:val="18"/>
                <w:color w:val="auto"/>
                <w:w w:val="90"/>
              </w:rPr>
              <w:t>August 2,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3"/>
              </w:rPr>
              <w:t>Kathryn Haviland</w:t>
            </w:r>
          </w:p>
        </w:tc>
        <w:tc>
          <w:tcPr>
            <w:tcW w:w="240" w:type="dxa"/>
            <w:vAlign w:val="bottom"/>
          </w:tcPr>
          <w:p>
            <w:pPr>
              <w:spacing w:after="0"/>
              <w:rPr>
                <w:sz w:val="19"/>
                <w:szCs w:val="19"/>
                <w:color w:val="auto"/>
              </w:rPr>
            </w:pPr>
          </w:p>
        </w:tc>
        <w:tc>
          <w:tcPr>
            <w:tcW w:w="404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4"/>
              </w:rPr>
              <w:t>(Principal Executive Officer)</w:t>
            </w:r>
          </w:p>
        </w:tc>
        <w:tc>
          <w:tcPr>
            <w:tcW w:w="314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Michael Landsittel</w:t>
            </w:r>
          </w:p>
        </w:tc>
        <w:tc>
          <w:tcPr>
            <w:tcW w:w="240" w:type="dxa"/>
            <w:vAlign w:val="bottom"/>
          </w:tcPr>
          <w:p>
            <w:pPr>
              <w:spacing w:after="0"/>
              <w:rPr>
                <w:sz w:val="24"/>
                <w:szCs w:val="24"/>
                <w:color w:val="auto"/>
              </w:rPr>
            </w:pPr>
          </w:p>
        </w:tc>
        <w:tc>
          <w:tcPr>
            <w:tcW w:w="4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Chief Financial Officer</w:t>
            </w:r>
          </w:p>
        </w:tc>
        <w:tc>
          <w:tcPr>
            <w:tcW w:w="3140" w:type="dxa"/>
            <w:vAlign w:val="bottom"/>
          </w:tcPr>
          <w:p>
            <w:pPr>
              <w:jc w:val="center"/>
              <w:spacing w:after="0"/>
              <w:rPr>
                <w:sz w:val="20"/>
                <w:szCs w:val="20"/>
                <w:color w:val="auto"/>
              </w:rPr>
            </w:pPr>
            <w:r>
              <w:rPr>
                <w:rFonts w:ascii="Arial" w:cs="Arial" w:eastAsia="Arial" w:hAnsi="Arial"/>
                <w:sz w:val="18"/>
                <w:szCs w:val="18"/>
                <w:color w:val="auto"/>
                <w:w w:val="90"/>
              </w:rPr>
              <w:t>August 2,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4"/>
              </w:rPr>
              <w:t>Michael Landsittel</w:t>
            </w:r>
          </w:p>
        </w:tc>
        <w:tc>
          <w:tcPr>
            <w:tcW w:w="240" w:type="dxa"/>
            <w:vAlign w:val="bottom"/>
          </w:tcPr>
          <w:p>
            <w:pPr>
              <w:spacing w:after="0"/>
              <w:rPr>
                <w:sz w:val="19"/>
                <w:szCs w:val="19"/>
                <w:color w:val="auto"/>
              </w:rPr>
            </w:pPr>
          </w:p>
        </w:tc>
        <w:tc>
          <w:tcPr>
            <w:tcW w:w="404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7"/>
              </w:rPr>
              <w:t>(Principal Financial Officer)</w:t>
            </w:r>
          </w:p>
        </w:tc>
        <w:tc>
          <w:tcPr>
            <w:tcW w:w="314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Ariel Hurley</w:t>
            </w:r>
          </w:p>
        </w:tc>
        <w:tc>
          <w:tcPr>
            <w:tcW w:w="240" w:type="dxa"/>
            <w:vAlign w:val="bottom"/>
          </w:tcPr>
          <w:p>
            <w:pPr>
              <w:spacing w:after="0"/>
              <w:rPr>
                <w:sz w:val="24"/>
                <w:szCs w:val="24"/>
                <w:color w:val="auto"/>
              </w:rPr>
            </w:pPr>
          </w:p>
        </w:tc>
        <w:tc>
          <w:tcPr>
            <w:tcW w:w="4040" w:type="dxa"/>
            <w:vAlign w:val="bottom"/>
            <w:gridSpan w:val="2"/>
          </w:tcPr>
          <w:p>
            <w:pPr>
              <w:ind w:left="560"/>
              <w:spacing w:after="0"/>
              <w:rPr>
                <w:sz w:val="20"/>
                <w:szCs w:val="20"/>
                <w:color w:val="auto"/>
              </w:rPr>
            </w:pPr>
            <w:r>
              <w:rPr>
                <w:rFonts w:ascii="Arial" w:cs="Arial" w:eastAsia="Arial" w:hAnsi="Arial"/>
                <w:sz w:val="18"/>
                <w:szCs w:val="18"/>
                <w:color w:val="auto"/>
              </w:rPr>
              <w:t>Vice President, Finance and Controller</w:t>
            </w:r>
          </w:p>
        </w:tc>
        <w:tc>
          <w:tcPr>
            <w:tcW w:w="3140" w:type="dxa"/>
            <w:vAlign w:val="bottom"/>
          </w:tcPr>
          <w:p>
            <w:pPr>
              <w:jc w:val="center"/>
              <w:spacing w:after="0"/>
              <w:rPr>
                <w:sz w:val="20"/>
                <w:szCs w:val="20"/>
                <w:color w:val="auto"/>
              </w:rPr>
            </w:pPr>
            <w:r>
              <w:rPr>
                <w:rFonts w:ascii="Arial" w:cs="Arial" w:eastAsia="Arial" w:hAnsi="Arial"/>
                <w:sz w:val="18"/>
                <w:szCs w:val="18"/>
                <w:color w:val="auto"/>
                <w:w w:val="90"/>
              </w:rPr>
              <w:t>August 2,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8"/>
              </w:rPr>
              <w:t>Ariel Hurley</w:t>
            </w:r>
          </w:p>
        </w:tc>
        <w:tc>
          <w:tcPr>
            <w:tcW w:w="240" w:type="dxa"/>
            <w:vAlign w:val="bottom"/>
          </w:tcPr>
          <w:p>
            <w:pPr>
              <w:spacing w:after="0"/>
              <w:rPr>
                <w:sz w:val="19"/>
                <w:szCs w:val="19"/>
                <w:color w:val="auto"/>
              </w:rPr>
            </w:pPr>
          </w:p>
        </w:tc>
        <w:tc>
          <w:tcPr>
            <w:tcW w:w="4040" w:type="dxa"/>
            <w:vAlign w:val="bottom"/>
            <w:gridSpan w:val="2"/>
          </w:tcPr>
          <w:p>
            <w:pPr>
              <w:ind w:left="760"/>
              <w:spacing w:after="0"/>
              <w:rPr>
                <w:sz w:val="20"/>
                <w:szCs w:val="20"/>
                <w:color w:val="auto"/>
              </w:rPr>
            </w:pPr>
            <w:r>
              <w:rPr>
                <w:rFonts w:ascii="Arial" w:cs="Arial" w:eastAsia="Arial" w:hAnsi="Arial"/>
                <w:sz w:val="18"/>
                <w:szCs w:val="18"/>
                <w:i w:val="1"/>
                <w:iCs w:val="1"/>
                <w:color w:val="auto"/>
              </w:rPr>
              <w:t>(Principal Accounting Officer)</w:t>
            </w:r>
          </w:p>
        </w:tc>
        <w:tc>
          <w:tcPr>
            <w:tcW w:w="314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Jeffrey W. Albers</w:t>
            </w:r>
          </w:p>
        </w:tc>
        <w:tc>
          <w:tcPr>
            <w:tcW w:w="240" w:type="dxa"/>
            <w:vAlign w:val="bottom"/>
          </w:tcPr>
          <w:p>
            <w:pPr>
              <w:spacing w:after="0"/>
              <w:rPr>
                <w:sz w:val="24"/>
                <w:szCs w:val="24"/>
                <w:color w:val="auto"/>
              </w:rPr>
            </w:pPr>
          </w:p>
        </w:tc>
        <w:tc>
          <w:tcPr>
            <w:tcW w:w="40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Executive Chairman of the Board of Directors</w:t>
            </w:r>
          </w:p>
        </w:tc>
        <w:tc>
          <w:tcPr>
            <w:tcW w:w="3140" w:type="dxa"/>
            <w:vAlign w:val="bottom"/>
          </w:tcPr>
          <w:p>
            <w:pPr>
              <w:jc w:val="center"/>
              <w:spacing w:after="0"/>
              <w:rPr>
                <w:sz w:val="20"/>
                <w:szCs w:val="20"/>
                <w:color w:val="auto"/>
              </w:rPr>
            </w:pPr>
            <w:r>
              <w:rPr>
                <w:rFonts w:ascii="Arial" w:cs="Arial" w:eastAsia="Arial" w:hAnsi="Arial"/>
                <w:sz w:val="18"/>
                <w:szCs w:val="18"/>
                <w:color w:val="auto"/>
                <w:w w:val="90"/>
              </w:rPr>
              <w:t>August 2,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3"/>
              </w:rPr>
              <w:t>Jeffrey W. Albers</w:t>
            </w:r>
          </w:p>
        </w:tc>
        <w:tc>
          <w:tcPr>
            <w:tcW w:w="2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Lynn Seely</w:t>
            </w:r>
          </w:p>
        </w:tc>
        <w:tc>
          <w:tcPr>
            <w:tcW w:w="240" w:type="dxa"/>
            <w:vAlign w:val="bottom"/>
          </w:tcPr>
          <w:p>
            <w:pPr>
              <w:spacing w:after="0"/>
              <w:rPr>
                <w:sz w:val="24"/>
                <w:szCs w:val="24"/>
                <w:color w:val="auto"/>
              </w:rPr>
            </w:pPr>
          </w:p>
        </w:tc>
        <w:tc>
          <w:tcPr>
            <w:tcW w:w="40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Lead Independent 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0"/>
              </w:rPr>
              <w:t>August 2,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3"/>
              </w:rPr>
              <w:t>Lynn Seely, M.D.</w:t>
            </w:r>
          </w:p>
        </w:tc>
        <w:tc>
          <w:tcPr>
            <w:tcW w:w="2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Nicholas Lydon</w:t>
            </w:r>
          </w:p>
        </w:tc>
        <w:tc>
          <w:tcPr>
            <w:tcW w:w="240" w:type="dxa"/>
            <w:vAlign w:val="bottom"/>
          </w:tcPr>
          <w:p>
            <w:pPr>
              <w:spacing w:after="0"/>
              <w:rPr>
                <w:sz w:val="24"/>
                <w:szCs w:val="24"/>
                <w:color w:val="auto"/>
              </w:rPr>
            </w:pPr>
          </w:p>
        </w:tc>
        <w:tc>
          <w:tcPr>
            <w:tcW w:w="40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0"/>
              </w:rPr>
              <w:t>August 2,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2"/>
              </w:rPr>
              <w:t>Nicholas Lydon, Ph.D.</w:t>
            </w:r>
          </w:p>
        </w:tc>
        <w:tc>
          <w:tcPr>
            <w:tcW w:w="2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Alexis Borisy</w:t>
            </w:r>
          </w:p>
        </w:tc>
        <w:tc>
          <w:tcPr>
            <w:tcW w:w="240" w:type="dxa"/>
            <w:vAlign w:val="bottom"/>
          </w:tcPr>
          <w:p>
            <w:pPr>
              <w:spacing w:after="0"/>
              <w:rPr>
                <w:sz w:val="24"/>
                <w:szCs w:val="24"/>
                <w:color w:val="auto"/>
              </w:rPr>
            </w:pPr>
          </w:p>
        </w:tc>
        <w:tc>
          <w:tcPr>
            <w:tcW w:w="40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0"/>
              </w:rPr>
              <w:t>August 2,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7"/>
              </w:rPr>
              <w:t>Alexis Borisy</w:t>
            </w:r>
          </w:p>
        </w:tc>
        <w:tc>
          <w:tcPr>
            <w:tcW w:w="2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45"/>
        </w:trPr>
        <w:tc>
          <w:tcPr>
            <w:tcW w:w="3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Mark Goldberg</w:t>
            </w:r>
          </w:p>
        </w:tc>
        <w:tc>
          <w:tcPr>
            <w:tcW w:w="3880" w:type="dxa"/>
            <w:vAlign w:val="bottom"/>
          </w:tcPr>
          <w:p>
            <w:pPr>
              <w:ind w:left="1840"/>
              <w:spacing w:after="0"/>
              <w:rPr>
                <w:sz w:val="20"/>
                <w:szCs w:val="20"/>
                <w:color w:val="auto"/>
              </w:rPr>
            </w:pPr>
            <w:r>
              <w:rPr>
                <w:rFonts w:ascii="Arial" w:cs="Arial" w:eastAsia="Arial" w:hAnsi="Arial"/>
                <w:sz w:val="18"/>
                <w:szCs w:val="18"/>
                <w:color w:val="auto"/>
              </w:rPr>
              <w:t>Director</w:t>
            </w:r>
          </w:p>
        </w:tc>
        <w:tc>
          <w:tcPr>
            <w:tcW w:w="3540" w:type="dxa"/>
            <w:vAlign w:val="bottom"/>
          </w:tcPr>
          <w:p>
            <w:pPr>
              <w:ind w:left="1420"/>
              <w:spacing w:after="0"/>
              <w:rPr>
                <w:sz w:val="20"/>
                <w:szCs w:val="20"/>
                <w:color w:val="auto"/>
              </w:rPr>
            </w:pPr>
            <w:r>
              <w:rPr>
                <w:rFonts w:ascii="Arial" w:cs="Arial" w:eastAsia="Arial" w:hAnsi="Arial"/>
                <w:sz w:val="18"/>
                <w:szCs w:val="18"/>
                <w:color w:val="auto"/>
              </w:rPr>
              <w:t>August 2,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4"/>
              </w:rPr>
              <w:t>Mark Goldberg, M.D.</w:t>
            </w:r>
          </w:p>
        </w:tc>
        <w:tc>
          <w:tcPr>
            <w:tcW w:w="388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Daniella Beckman</w:t>
            </w:r>
          </w:p>
        </w:tc>
        <w:tc>
          <w:tcPr>
            <w:tcW w:w="3880" w:type="dxa"/>
            <w:vAlign w:val="bottom"/>
          </w:tcPr>
          <w:p>
            <w:pPr>
              <w:ind w:left="1840"/>
              <w:spacing w:after="0"/>
              <w:rPr>
                <w:sz w:val="20"/>
                <w:szCs w:val="20"/>
                <w:color w:val="auto"/>
              </w:rPr>
            </w:pPr>
            <w:r>
              <w:rPr>
                <w:rFonts w:ascii="Arial" w:cs="Arial" w:eastAsia="Arial" w:hAnsi="Arial"/>
                <w:sz w:val="18"/>
                <w:szCs w:val="18"/>
                <w:color w:val="auto"/>
              </w:rPr>
              <w:t>Director</w:t>
            </w:r>
          </w:p>
        </w:tc>
        <w:tc>
          <w:tcPr>
            <w:tcW w:w="3540" w:type="dxa"/>
            <w:vAlign w:val="bottom"/>
          </w:tcPr>
          <w:p>
            <w:pPr>
              <w:ind w:left="1420"/>
              <w:spacing w:after="0"/>
              <w:rPr>
                <w:sz w:val="20"/>
                <w:szCs w:val="20"/>
                <w:color w:val="auto"/>
              </w:rPr>
            </w:pPr>
            <w:r>
              <w:rPr>
                <w:rFonts w:ascii="Arial" w:cs="Arial" w:eastAsia="Arial" w:hAnsi="Arial"/>
                <w:sz w:val="18"/>
                <w:szCs w:val="18"/>
                <w:color w:val="auto"/>
              </w:rPr>
              <w:t>August 2,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0"/>
              </w:rPr>
              <w:t>Daniella Beckman</w:t>
            </w:r>
          </w:p>
        </w:tc>
        <w:tc>
          <w:tcPr>
            <w:tcW w:w="388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George Demetri</w:t>
            </w:r>
          </w:p>
        </w:tc>
        <w:tc>
          <w:tcPr>
            <w:tcW w:w="3880" w:type="dxa"/>
            <w:vAlign w:val="bottom"/>
          </w:tcPr>
          <w:p>
            <w:pPr>
              <w:ind w:left="1840"/>
              <w:spacing w:after="0"/>
              <w:rPr>
                <w:sz w:val="20"/>
                <w:szCs w:val="20"/>
                <w:color w:val="auto"/>
              </w:rPr>
            </w:pPr>
            <w:r>
              <w:rPr>
                <w:rFonts w:ascii="Arial" w:cs="Arial" w:eastAsia="Arial" w:hAnsi="Arial"/>
                <w:sz w:val="18"/>
                <w:szCs w:val="18"/>
                <w:color w:val="auto"/>
              </w:rPr>
              <w:t>Director</w:t>
            </w:r>
          </w:p>
        </w:tc>
        <w:tc>
          <w:tcPr>
            <w:tcW w:w="3540" w:type="dxa"/>
            <w:vAlign w:val="bottom"/>
          </w:tcPr>
          <w:p>
            <w:pPr>
              <w:ind w:left="1420"/>
              <w:spacing w:after="0"/>
              <w:rPr>
                <w:sz w:val="20"/>
                <w:szCs w:val="20"/>
                <w:color w:val="auto"/>
              </w:rPr>
            </w:pPr>
            <w:r>
              <w:rPr>
                <w:rFonts w:ascii="Arial" w:cs="Arial" w:eastAsia="Arial" w:hAnsi="Arial"/>
                <w:sz w:val="18"/>
                <w:szCs w:val="18"/>
                <w:color w:val="auto"/>
              </w:rPr>
              <w:t>August 2,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3"/>
              </w:rPr>
              <w:t>George Demetri, M.D.</w:t>
            </w:r>
          </w:p>
        </w:tc>
        <w:tc>
          <w:tcPr>
            <w:tcW w:w="388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Lonnel Coats</w:t>
            </w:r>
          </w:p>
        </w:tc>
        <w:tc>
          <w:tcPr>
            <w:tcW w:w="3880" w:type="dxa"/>
            <w:vAlign w:val="bottom"/>
          </w:tcPr>
          <w:p>
            <w:pPr>
              <w:ind w:left="1840"/>
              <w:spacing w:after="0"/>
              <w:rPr>
                <w:sz w:val="20"/>
                <w:szCs w:val="20"/>
                <w:color w:val="auto"/>
              </w:rPr>
            </w:pPr>
            <w:r>
              <w:rPr>
                <w:rFonts w:ascii="Arial" w:cs="Arial" w:eastAsia="Arial" w:hAnsi="Arial"/>
                <w:sz w:val="18"/>
                <w:szCs w:val="18"/>
                <w:color w:val="auto"/>
              </w:rPr>
              <w:t>Director</w:t>
            </w:r>
          </w:p>
        </w:tc>
        <w:tc>
          <w:tcPr>
            <w:tcW w:w="3540" w:type="dxa"/>
            <w:vAlign w:val="bottom"/>
          </w:tcPr>
          <w:p>
            <w:pPr>
              <w:ind w:left="1420"/>
              <w:spacing w:after="0"/>
              <w:rPr>
                <w:sz w:val="20"/>
                <w:szCs w:val="20"/>
                <w:color w:val="auto"/>
              </w:rPr>
            </w:pPr>
            <w:r>
              <w:rPr>
                <w:rFonts w:ascii="Arial" w:cs="Arial" w:eastAsia="Arial" w:hAnsi="Arial"/>
                <w:sz w:val="18"/>
                <w:szCs w:val="18"/>
                <w:color w:val="auto"/>
              </w:rPr>
              <w:t>August 2,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0"/>
              </w:rPr>
              <w:t>Lonnel Coats</w:t>
            </w:r>
          </w:p>
        </w:tc>
        <w:tc>
          <w:tcPr>
            <w:tcW w:w="388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Habib J. Dable</w:t>
            </w:r>
          </w:p>
        </w:tc>
        <w:tc>
          <w:tcPr>
            <w:tcW w:w="3880" w:type="dxa"/>
            <w:vAlign w:val="bottom"/>
          </w:tcPr>
          <w:p>
            <w:pPr>
              <w:ind w:left="1840"/>
              <w:spacing w:after="0"/>
              <w:rPr>
                <w:sz w:val="20"/>
                <w:szCs w:val="20"/>
                <w:color w:val="auto"/>
              </w:rPr>
            </w:pPr>
            <w:r>
              <w:rPr>
                <w:rFonts w:ascii="Arial" w:cs="Arial" w:eastAsia="Arial" w:hAnsi="Arial"/>
                <w:sz w:val="18"/>
                <w:szCs w:val="18"/>
                <w:color w:val="auto"/>
              </w:rPr>
              <w:t>Director</w:t>
            </w:r>
          </w:p>
        </w:tc>
        <w:tc>
          <w:tcPr>
            <w:tcW w:w="3540" w:type="dxa"/>
            <w:vAlign w:val="bottom"/>
          </w:tcPr>
          <w:p>
            <w:pPr>
              <w:ind w:left="1420"/>
              <w:spacing w:after="0"/>
              <w:rPr>
                <w:sz w:val="20"/>
                <w:szCs w:val="20"/>
                <w:color w:val="auto"/>
              </w:rPr>
            </w:pPr>
            <w:r>
              <w:rPr>
                <w:rFonts w:ascii="Arial" w:cs="Arial" w:eastAsia="Arial" w:hAnsi="Arial"/>
                <w:sz w:val="18"/>
                <w:szCs w:val="18"/>
                <w:color w:val="auto"/>
              </w:rPr>
              <w:t>August 2,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1"/>
              </w:rPr>
              <w:t>Habib J. Dable</w:t>
            </w:r>
          </w:p>
        </w:tc>
        <w:tc>
          <w:tcPr>
            <w:tcW w:w="388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634"/>
        </w:trPr>
        <w:tc>
          <w:tcPr>
            <w:tcW w:w="38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5" w:right="339" w:bottom="1440" w:gutter="0" w:footer="0" w:header="0"/>
        </w:sectPr>
      </w:pPr>
    </w:p>
    <w:bookmarkStart w:id="7" w:name="page8"/>
    <w:bookmarkEnd w:id="7"/>
    <w:p>
      <w:pPr>
        <w:ind w:left="10400"/>
        <w:spacing w:after="0"/>
        <w:rPr>
          <w:sz w:val="20"/>
          <w:szCs w:val="20"/>
          <w:color w:val="auto"/>
        </w:rPr>
      </w:pPr>
      <w:r>
        <w:rPr>
          <w:rFonts w:ascii="Arial" w:cs="Arial" w:eastAsia="Arial" w:hAnsi="Arial"/>
          <w:sz w:val="16"/>
          <w:szCs w:val="16"/>
          <w:b w:val="1"/>
          <w:bCs w:val="1"/>
          <w:color w:val="auto"/>
        </w:rPr>
        <w:t>Exhibit 5.1</w:t>
      </w:r>
    </w:p>
    <w:p>
      <w:pPr>
        <w:spacing w:after="0" w:line="252"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705610"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1705610" cy="377190"/>
                    </a:xfrm>
                    <a:prstGeom prst="rect">
                      <a:avLst/>
                    </a:prstGeom>
                    <a:noFill/>
                  </pic:spPr>
                </pic:pic>
              </a:graphicData>
            </a:graphic>
          </wp:anchor>
        </w:drawing>
      </w:r>
    </w:p>
    <w:p>
      <w:pPr>
        <w:spacing w:after="0" w:line="3"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goodwinlaw.com</w:t>
      </w:r>
    </w:p>
    <w:p>
      <w:pPr>
        <w:spacing w:after="0" w:line="9"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+1 617 570 1000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2,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Blueprint Medicines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 Sidney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Securities Being Registered under Registration Statement on Form S-8</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have acted as counsel to you in connection with your filing of a Registration Statement on Form S-8 (the “Registration Statement”) pursuant to the Securities Act of 1933, as amended (the “Securities Act”), on or about the date hereof relating to an aggregate of 1,500,000 shares (the “Shares”) of Common Stock, $0.001 par value per share (“Common Stock”), of Blueprint Medicines Corporation, a Delaware corporation (the “Company”), that may be issued pursuant to the Company’s Amended and Restated 2020 Inducement Plan (the “Plan”).</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Plan, will be validly issued, fully paid and nonassessable.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color w:val="auto"/>
        </w:rPr>
        <w:t>Exhibit 23.1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 (Form S-8) pertaining to the Amended and Restated 2020 Inducement Plan of Blueprint Medicines Corporation of our reports dated February 17, 2022, with respect to the consolidated financial statements of Blueprint Medicines Corporation and the effectiveness of internal control over financial reporting of Blueprint Medicines Corporation included in its Annual Report (Form 10-K) for the year ended December 31, 2021, filed with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EX-FILING FEES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Blueprint Medicines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gridSpan w:val="8"/>
          </w:tcPr>
          <w:p>
            <w:pPr>
              <w:jc w:val="right"/>
              <w:ind w:right="800"/>
              <w:spacing w:after="0"/>
              <w:rPr>
                <w:sz w:val="20"/>
                <w:szCs w:val="20"/>
                <w:color w:val="auto"/>
              </w:rPr>
            </w:pPr>
            <w:r>
              <w:rPr>
                <w:rFonts w:ascii="Arial" w:cs="Arial" w:eastAsia="Arial" w:hAnsi="Arial"/>
                <w:sz w:val="18"/>
                <w:szCs w:val="18"/>
                <w:color w:val="auto"/>
                <w:w w:val="90"/>
              </w:rPr>
              <w:t>Table 1: Newly Registered Securities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06"/>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8"/>
                <w:szCs w:val="18"/>
                <w:color w:val="auto"/>
                <w:w w:val="85"/>
              </w:rPr>
              <w:t>Proposed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8"/>
                <w:szCs w:val="18"/>
                <w:color w:val="auto"/>
                <w:w w:val="94"/>
              </w:rPr>
              <w:t>Maximum</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color w:val="auto"/>
                <w:w w:val="97"/>
              </w:rPr>
              <w:t>Maximum</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8"/>
                <w:szCs w:val="18"/>
                <w:color w:val="auto"/>
                <w:w w:val="83"/>
              </w:rPr>
              <w:t>Fee</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8"/>
                <w:szCs w:val="18"/>
                <w:color w:val="auto"/>
                <w:w w:val="96"/>
              </w:rPr>
              <w:t>Offering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Aggregate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Amount of</w:t>
            </w:r>
          </w:p>
        </w:tc>
      </w:tr>
      <w:tr>
        <w:trPr>
          <w:trHeight w:val="216"/>
        </w:trPr>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Security</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Calculation</w:t>
            </w:r>
          </w:p>
        </w:tc>
        <w:tc>
          <w:tcPr>
            <w:tcW w:w="1460" w:type="dxa"/>
            <w:vAlign w:val="bottom"/>
            <w:gridSpan w:val="3"/>
          </w:tcPr>
          <w:p>
            <w:pPr>
              <w:jc w:val="center"/>
              <w:ind w:right="420"/>
              <w:spacing w:after="0"/>
              <w:rPr>
                <w:sz w:val="20"/>
                <w:szCs w:val="20"/>
                <w:color w:val="auto"/>
              </w:rPr>
            </w:pPr>
            <w:r>
              <w:rPr>
                <w:rFonts w:ascii="Arial" w:cs="Arial" w:eastAsia="Arial" w:hAnsi="Arial"/>
                <w:sz w:val="18"/>
                <w:szCs w:val="18"/>
                <w:color w:val="auto"/>
                <w:w w:val="96"/>
              </w:rPr>
              <w:t>Amount</w:t>
            </w:r>
          </w:p>
        </w:tc>
        <w:tc>
          <w:tcPr>
            <w:tcW w:w="114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Price Per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Offering</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Fee</w:t>
            </w:r>
          </w:p>
        </w:tc>
        <w:tc>
          <w:tcPr>
            <w:tcW w:w="110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Registration</w:t>
            </w:r>
          </w:p>
        </w:tc>
      </w:tr>
      <w:tr>
        <w:trPr>
          <w:trHeight w:val="230"/>
        </w:trPr>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Type</w:t>
            </w:r>
          </w:p>
        </w:tc>
        <w:tc>
          <w:tcPr>
            <w:tcW w:w="30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Security Class Title</w:t>
            </w:r>
          </w:p>
        </w:tc>
        <w:tc>
          <w:tcPr>
            <w:tcW w:w="220" w:type="dxa"/>
            <w:vAlign w:val="bottom"/>
          </w:tcPr>
          <w:p>
            <w:pPr>
              <w:spacing w:after="0"/>
              <w:rPr>
                <w:sz w:val="20"/>
                <w:szCs w:val="20"/>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Rule</w:t>
            </w:r>
          </w:p>
        </w:tc>
        <w:tc>
          <w:tcPr>
            <w:tcW w:w="146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Registered (1)</w:t>
            </w:r>
          </w:p>
        </w:tc>
        <w:tc>
          <w:tcPr>
            <w:tcW w:w="1140" w:type="dxa"/>
            <w:vAlign w:val="bottom"/>
            <w:gridSpan w:val="3"/>
          </w:tcPr>
          <w:p>
            <w:pPr>
              <w:jc w:val="center"/>
              <w:ind w:right="360"/>
              <w:spacing w:after="0"/>
              <w:rPr>
                <w:sz w:val="20"/>
                <w:szCs w:val="20"/>
                <w:color w:val="auto"/>
              </w:rPr>
            </w:pPr>
            <w:r>
              <w:rPr>
                <w:rFonts w:ascii="Arial" w:cs="Arial" w:eastAsia="Arial" w:hAnsi="Arial"/>
                <w:sz w:val="18"/>
                <w:szCs w:val="18"/>
                <w:color w:val="auto"/>
                <w:w w:val="87"/>
              </w:rPr>
              <w:t>Share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Price</w:t>
            </w: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Rate</w:t>
            </w:r>
          </w:p>
        </w:tc>
        <w:tc>
          <w:tcPr>
            <w:tcW w:w="100" w:type="dxa"/>
            <w:vAlign w:val="bottom"/>
          </w:tcPr>
          <w:p>
            <w:pPr>
              <w:spacing w:after="0"/>
              <w:rPr>
                <w:sz w:val="20"/>
                <w:szCs w:val="20"/>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color w:val="auto"/>
                <w:w w:val="83"/>
              </w:rPr>
              <w:t>Fee</w:t>
            </w:r>
          </w:p>
        </w:tc>
      </w:tr>
      <w:tr>
        <w:trPr>
          <w:trHeight w:val="195"/>
        </w:trPr>
        <w:tc>
          <w:tcPr>
            <w:tcW w:w="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Equity</w:t>
            </w:r>
          </w:p>
        </w:tc>
        <w:tc>
          <w:tcPr>
            <w:tcW w:w="100" w:type="dxa"/>
            <w:vAlign w:val="bottom"/>
            <w:tcBorders>
              <w:top w:val="single" w:sz="8" w:color="CCEEFF"/>
            </w:tcBorders>
            <w:shd w:val="clear" w:color="auto" w:fill="CCEEFF"/>
          </w:tcPr>
          <w:p>
            <w:pPr>
              <w:spacing w:after="0"/>
              <w:rPr>
                <w:sz w:val="16"/>
                <w:szCs w:val="16"/>
                <w:color w:val="auto"/>
              </w:rPr>
            </w:pPr>
          </w:p>
        </w:tc>
        <w:tc>
          <w:tcPr>
            <w:tcW w:w="29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Amended and Restated 2020</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16"/>
        </w:trPr>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Inducement Plan Common Stock,</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$0.001 par value per share</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457(h)</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1,500,000(2) $</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51.08(3)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8"/>
              </w:rPr>
              <w:t>76,620,000(3)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.0000927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7,102.</w:t>
            </w:r>
            <w:r>
              <w:rPr>
                <w:rFonts w:ascii="Arial" w:cs="Arial" w:eastAsia="Arial" w:hAnsi="Arial"/>
                <w:sz w:val="18"/>
                <w:szCs w:val="18"/>
                <w:u w:val="single" w:color="auto"/>
                <w:color w:val="auto"/>
              </w:rPr>
              <w:t>68</w:t>
            </w:r>
          </w:p>
        </w:tc>
        <w:tc>
          <w:tcPr>
            <w:tcW w:w="80" w:type="dxa"/>
            <w:vAlign w:val="bottom"/>
            <w:shd w:val="clear" w:color="auto" w:fill="CCEEFF"/>
          </w:tcPr>
          <w:p>
            <w:pPr>
              <w:spacing w:after="0"/>
              <w:rPr>
                <w:sz w:val="20"/>
                <w:szCs w:val="20"/>
                <w:color w:val="auto"/>
              </w:rPr>
            </w:pPr>
          </w:p>
        </w:tc>
      </w:tr>
      <w:tr>
        <w:trPr>
          <w:trHeight w:val="209"/>
        </w:trPr>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2"/>
          </w:tcPr>
          <w:p>
            <w:pPr>
              <w:jc w:val="center"/>
              <w:ind w:left="910"/>
              <w:spacing w:after="0"/>
              <w:rPr>
                <w:sz w:val="20"/>
                <w:szCs w:val="20"/>
                <w:color w:val="auto"/>
              </w:rPr>
            </w:pPr>
            <w:r>
              <w:rPr>
                <w:rFonts w:ascii="Arial" w:cs="Arial" w:eastAsia="Arial" w:hAnsi="Arial"/>
                <w:sz w:val="18"/>
                <w:szCs w:val="18"/>
                <w:color w:val="auto"/>
                <w:w w:val="93"/>
              </w:rPr>
              <w:t>Total Offering Amounts</w:t>
            </w:r>
          </w:p>
        </w:tc>
        <w:tc>
          <w:tcPr>
            <w:tcW w:w="2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76,620,000</w:t>
            </w:r>
          </w:p>
        </w:tc>
        <w:tc>
          <w:tcPr>
            <w:tcW w:w="3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7,102.</w:t>
            </w:r>
            <w:r>
              <w:rPr>
                <w:rFonts w:ascii="Arial" w:cs="Arial" w:eastAsia="Arial" w:hAnsi="Arial"/>
                <w:sz w:val="18"/>
                <w:szCs w:val="18"/>
                <w:u w:val="single" w:color="auto"/>
                <w:color w:val="auto"/>
              </w:rPr>
              <w:t>68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center"/>
              <w:ind w:left="930"/>
              <w:spacing w:after="0"/>
              <w:rPr>
                <w:sz w:val="20"/>
                <w:szCs w:val="20"/>
                <w:color w:val="auto"/>
              </w:rPr>
            </w:pPr>
            <w:r>
              <w:rPr>
                <w:rFonts w:ascii="Arial" w:cs="Arial" w:eastAsia="Arial" w:hAnsi="Arial"/>
                <w:sz w:val="18"/>
                <w:szCs w:val="18"/>
                <w:color w:val="auto"/>
                <w:w w:val="89"/>
              </w:rPr>
              <w:t>Total Fee Offsets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2"/>
          </w:tcPr>
          <w:p>
            <w:pPr>
              <w:jc w:val="center"/>
              <w:ind w:left="910"/>
              <w:spacing w:after="0"/>
              <w:rPr>
                <w:sz w:val="20"/>
                <w:szCs w:val="20"/>
                <w:color w:val="auto"/>
              </w:rPr>
            </w:pPr>
            <w:r>
              <w:rPr>
                <w:rFonts w:ascii="Arial" w:cs="Arial" w:eastAsia="Arial" w:hAnsi="Arial"/>
                <w:sz w:val="18"/>
                <w:szCs w:val="18"/>
                <w:color w:val="auto"/>
                <w:w w:val="88"/>
              </w:rPr>
              <w:t>Net Fee Due</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7,102.</w:t>
            </w:r>
            <w:r>
              <w:rPr>
                <w:rFonts w:ascii="Arial" w:cs="Arial" w:eastAsia="Arial" w:hAnsi="Arial"/>
                <w:sz w:val="18"/>
                <w:szCs w:val="18"/>
                <w:u w:val="single" w:color="auto"/>
                <w:color w:val="auto"/>
              </w:rPr>
              <w:t>68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20" w:hanging="452"/>
        <w:spacing w:after="0" w:line="296"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accordance with Rule 416 under the Securities Act of 1933, as amended (the “Securities Act”), this registration statement shall be deemed to cover any additional shares of common stock that may from time to time be offered or issued under the above-named plans to prevent dilution resulting from stock splits, stock dividends, recapitalizations or similar transactions effected without the receipt of consideration which results in an increase in the number of the Registrant’s outstanding shares of Common Stock. Pursuant to Rule 416(c) under the Securities Act, this Registration Statement shall also cover an indeterminate amount of interests to be offered or sold pursuant to the employee benefit plans described herein.</w:t>
      </w:r>
    </w:p>
    <w:p>
      <w:pPr>
        <w:spacing w:after="0" w:line="161" w:lineRule="exact"/>
        <w:rPr>
          <w:rFonts w:ascii="Arial" w:cs="Arial" w:eastAsia="Arial" w:hAnsi="Arial"/>
          <w:sz w:val="16"/>
          <w:szCs w:val="16"/>
          <w:color w:val="auto"/>
        </w:rPr>
      </w:pPr>
    </w:p>
    <w:p>
      <w:pPr>
        <w:ind w:left="460" w:right="24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1,500,000 additional shares of common stock reserved for issuance under the Blueprint Medicines Corporation Amended and Restated 2020 Inducement Plan, as approved by the Board of Directors of Blueprint Medicines Corporation on June 21, 2022.</w:t>
      </w:r>
    </w:p>
    <w:p>
      <w:pPr>
        <w:spacing w:after="0" w:line="146" w:lineRule="exact"/>
        <w:rPr>
          <w:rFonts w:ascii="Arial" w:cs="Arial" w:eastAsia="Arial" w:hAnsi="Arial"/>
          <w:sz w:val="17"/>
          <w:szCs w:val="17"/>
          <w:color w:val="auto"/>
        </w:rPr>
      </w:pPr>
    </w:p>
    <w:p>
      <w:pPr>
        <w:ind w:left="460" w:right="440" w:hanging="452"/>
        <w:spacing w:after="0" w:line="34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Rules 457(c) and 457(h) of the Securities Act and based upon the average of the high and low prices of the Registrant’s Common Stock as reported on The Nasdaq Global Select Market on July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Roman"/>
      <w:start w:val="2"/>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lowerLetter"/>
      <w:start w:val="8"/>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image" Target="media/image14.png"/><Relationship Id="rId37" Type="http://schemas.openxmlformats.org/officeDocument/2006/relationships/image" Target="media/image15.png"/><Relationship Id="rId38" Type="http://schemas.openxmlformats.org/officeDocument/2006/relationships/image" Target="media/image16.jpeg"/><Relationship Id="rId39"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png"/><Relationship Id="rId17" Type="http://schemas.openxmlformats.org/officeDocument/2006/relationships/hyperlink" Target="http://www.sec.gov/ix?doc=/Archives/edgar/data/1597264/000155837022001316/bpmc-20211231x10k.htm" TargetMode="External"/><Relationship Id="rId18" Type="http://schemas.openxmlformats.org/officeDocument/2006/relationships/hyperlink" Target="http://www.sec.gov/ix?doc=/Archives/edgar/data/1597264/000155837022006801/bpmc-20220331x10q.htm" TargetMode="External"/><Relationship Id="rId19" Type="http://schemas.openxmlformats.org/officeDocument/2006/relationships/hyperlink" Target="https://www.sec.gov/ix?doc=/Archives/edgar/data/1597264/000155837022011648/bpmc-20220630x10q.htm" TargetMode="External"/><Relationship Id="rId20" Type="http://schemas.openxmlformats.org/officeDocument/2006/relationships/hyperlink" Target="http://www.sec.gov/Archives/edgar/data/1597264/000155837022006381/tmb-20220621xdef14a.htm" TargetMode="External"/><Relationship Id="rId21" Type="http://schemas.openxmlformats.org/officeDocument/2006/relationships/hyperlink" Target="http://www.sec.gov/ix?doc=/Archives/edgar/data/1597264/000110465922001275/tm221614d1_8k.htm" TargetMode="External"/><Relationship Id="rId22" Type="http://schemas.openxmlformats.org/officeDocument/2006/relationships/hyperlink" Target="http://www.sec.gov/ix?doc=/Archives/edgar/data/1597264/000110465922002524/tm222429d1_8k.htm" TargetMode="External"/><Relationship Id="rId23" Type="http://schemas.openxmlformats.org/officeDocument/2006/relationships/hyperlink" Target="http://www.sec.gov/ix?doc=/Archives/edgar/data/1597264/000110465922005729/tm223965d1_8k.htm" TargetMode="External"/><Relationship Id="rId24" Type="http://schemas.openxmlformats.org/officeDocument/2006/relationships/hyperlink" Target="http://www.sec.gov/ix?doc=/Archives/edgar/data/1597264/000110465922074754/tm2219327d2_8k.htm" TargetMode="External"/><Relationship Id="rId25" Type="http://schemas.openxmlformats.org/officeDocument/2006/relationships/hyperlink" Target="http://www.sec.gov/ix?doc=/Archives/edgar/data/1597264/000110465922076292/tm2220123d1_8k.htm" TargetMode="External"/><Relationship Id="rId26" Type="http://schemas.openxmlformats.org/officeDocument/2006/relationships/hyperlink" Target="http://www.sec.gov/Archives/edgar/data/1597264/000110465915030565/a15-4342_98a12b.htm" TargetMode="External"/><Relationship Id="rId29" Type="http://schemas.openxmlformats.org/officeDocument/2006/relationships/hyperlink" Target="http://www.sec.gov/Archives/edgar/data/1597264/000155837015002529/bpmc-20150930ex3100367a3.htm" TargetMode="External"/><Relationship Id="rId30" Type="http://schemas.openxmlformats.org/officeDocument/2006/relationships/hyperlink" Target="http://www.sec.gov/Archives/edgar/data/1597264/000155837020005307/bpmc-20200331xex3d1.htm" TargetMode="External"/><Relationship Id="rId31" Type="http://schemas.openxmlformats.org/officeDocument/2006/relationships/hyperlink" Target="http://www.sec.gov/Archives/edgar/data/1597264/000104746915003668/a2224211zex-4_1.htm" TargetMode="External"/><Relationship Id="rId32" Type="http://schemas.openxmlformats.org/officeDocument/2006/relationships/hyperlink" Target="http://www.sec.gov/Archives/edgar/data/1597264/000104746915002608/a2223883zex-4_4.htm" TargetMode="External"/><Relationship Id="rId33" Type="http://schemas.openxmlformats.org/officeDocument/2006/relationships/hyperlink" Target="http://www.sec.gov/Archives/edgar/data/1597264/000110465922074754/tm2219327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2022-08-02T16:14:22Z</dcterms:created>
  <dcterms:modified xsi:type="dcterms:W3CDTF">2022-08-02T16:14:22Z</dcterms:modified>
</cp:coreProperties>
</file>