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2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640" w:hanging="400"/>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94" w:lineRule="exact"/>
        <w:rPr>
          <w:sz w:val="24"/>
          <w:szCs w:val="24"/>
          <w:color w:val="auto"/>
        </w:rPr>
      </w:pPr>
    </w:p>
    <w:p>
      <w:pPr>
        <w:ind w:left="640" w:hanging="407"/>
        <w:spacing w:after="0"/>
        <w:tabs>
          <w:tab w:leader="none" w:pos="6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001-37359</w:t>
      </w:r>
    </w:p>
    <w:p>
      <w:pPr>
        <w:spacing w:after="0" w:line="16"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BLUEPRINT MEDICINES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178" w:lineRule="exact"/>
        <w:rPr>
          <w:sz w:val="24"/>
          <w:szCs w:val="24"/>
          <w:color w:val="auto"/>
        </w:rPr>
      </w:pPr>
    </w:p>
    <w:tbl>
      <w:tblPr>
        <w:tblLayout w:type="fixed"/>
        <w:tblInd w:w="1480" w:type="dxa"/>
        <w:tblCellMar>
          <w:top w:w="0" w:type="dxa"/>
          <w:left w:w="0" w:type="dxa"/>
          <w:bottom w:w="0" w:type="dxa"/>
          <w:right w:w="0" w:type="dxa"/>
        </w:tblCellMar>
      </w:tblPr>
      <w:tr>
        <w:trPr>
          <w:trHeight w:val="207"/>
        </w:trPr>
        <w:tc>
          <w:tcPr>
            <w:tcW w:w="2500" w:type="dxa"/>
            <w:vAlign w:val="bottom"/>
          </w:tcPr>
          <w:p>
            <w:pPr>
              <w:jc w:val="center"/>
              <w:ind w:right="348"/>
              <w:spacing w:after="0"/>
              <w:rPr>
                <w:sz w:val="20"/>
                <w:szCs w:val="20"/>
                <w:color w:val="auto"/>
              </w:rPr>
            </w:pPr>
            <w:r>
              <w:rPr>
                <w:rFonts w:ascii="Arial" w:cs="Arial" w:eastAsia="Arial" w:hAnsi="Arial"/>
                <w:sz w:val="18"/>
                <w:szCs w:val="18"/>
                <w:b w:val="1"/>
                <w:bCs w:val="1"/>
                <w:color w:val="auto"/>
                <w:w w:val="91"/>
              </w:rPr>
              <w:t>Delaware</w:t>
            </w:r>
          </w:p>
        </w:tc>
        <w:tc>
          <w:tcPr>
            <w:tcW w:w="3980" w:type="dxa"/>
            <w:vAlign w:val="bottom"/>
          </w:tcPr>
          <w:p>
            <w:pPr>
              <w:jc w:val="right"/>
              <w:spacing w:after="0"/>
              <w:rPr>
                <w:sz w:val="20"/>
                <w:szCs w:val="20"/>
                <w:color w:val="auto"/>
              </w:rPr>
            </w:pPr>
            <w:r>
              <w:rPr>
                <w:rFonts w:ascii="Arial" w:cs="Arial" w:eastAsia="Arial" w:hAnsi="Arial"/>
                <w:sz w:val="18"/>
                <w:szCs w:val="18"/>
                <w:b w:val="1"/>
                <w:bCs w:val="1"/>
                <w:color w:val="auto"/>
              </w:rPr>
              <w:t>26-3632015</w:t>
            </w:r>
          </w:p>
        </w:tc>
      </w:tr>
      <w:tr>
        <w:trPr>
          <w:trHeight w:val="121"/>
        </w:trPr>
        <w:tc>
          <w:tcPr>
            <w:tcW w:w="2500" w:type="dxa"/>
            <w:vAlign w:val="bottom"/>
          </w:tcPr>
          <w:p>
            <w:pPr>
              <w:jc w:val="center"/>
              <w:ind w:right="348"/>
              <w:spacing w:after="0" w:line="122" w:lineRule="exact"/>
              <w:rPr>
                <w:sz w:val="20"/>
                <w:szCs w:val="20"/>
                <w:color w:val="auto"/>
              </w:rPr>
            </w:pPr>
            <w:r>
              <w:rPr>
                <w:rFonts w:ascii="Arial" w:cs="Arial" w:eastAsia="Arial" w:hAnsi="Arial"/>
                <w:sz w:val="11"/>
                <w:szCs w:val="11"/>
                <w:b w:val="1"/>
                <w:bCs w:val="1"/>
                <w:color w:val="auto"/>
                <w:w w:val="89"/>
              </w:rPr>
              <w:t>(State or Other Jurisdiction of</w:t>
            </w:r>
          </w:p>
        </w:tc>
        <w:tc>
          <w:tcPr>
            <w:tcW w:w="3980" w:type="dxa"/>
            <w:vAlign w:val="bottom"/>
          </w:tcPr>
          <w:p>
            <w:pPr>
              <w:jc w:val="center"/>
              <w:ind w:left="3048"/>
              <w:spacing w:after="0" w:line="122" w:lineRule="exact"/>
              <w:rPr>
                <w:sz w:val="20"/>
                <w:szCs w:val="20"/>
                <w:color w:val="auto"/>
              </w:rPr>
            </w:pPr>
            <w:r>
              <w:rPr>
                <w:rFonts w:ascii="Arial" w:cs="Arial" w:eastAsia="Arial" w:hAnsi="Arial"/>
                <w:sz w:val="11"/>
                <w:szCs w:val="11"/>
                <w:b w:val="1"/>
                <w:bCs w:val="1"/>
                <w:color w:val="auto"/>
                <w:w w:val="92"/>
              </w:rPr>
              <w:t>(I.R.S. Employer</w:t>
            </w:r>
          </w:p>
        </w:tc>
      </w:tr>
      <w:tr>
        <w:trPr>
          <w:trHeight w:val="140"/>
        </w:trPr>
        <w:tc>
          <w:tcPr>
            <w:tcW w:w="2500" w:type="dxa"/>
            <w:vAlign w:val="bottom"/>
          </w:tcPr>
          <w:p>
            <w:pPr>
              <w:jc w:val="center"/>
              <w:ind w:right="368"/>
              <w:spacing w:after="0"/>
              <w:rPr>
                <w:sz w:val="20"/>
                <w:szCs w:val="20"/>
                <w:color w:val="auto"/>
              </w:rPr>
            </w:pPr>
            <w:r>
              <w:rPr>
                <w:rFonts w:ascii="Arial" w:cs="Arial" w:eastAsia="Arial" w:hAnsi="Arial"/>
                <w:sz w:val="11"/>
                <w:szCs w:val="11"/>
                <w:b w:val="1"/>
                <w:bCs w:val="1"/>
                <w:color w:val="auto"/>
                <w:w w:val="91"/>
              </w:rPr>
              <w:t>Incorporation or Organization)</w:t>
            </w:r>
          </w:p>
        </w:tc>
        <w:tc>
          <w:tcPr>
            <w:tcW w:w="3980" w:type="dxa"/>
            <w:vAlign w:val="bottom"/>
          </w:tcPr>
          <w:p>
            <w:pPr>
              <w:jc w:val="center"/>
              <w:ind w:left="3048"/>
              <w:spacing w:after="0"/>
              <w:rPr>
                <w:sz w:val="20"/>
                <w:szCs w:val="20"/>
                <w:color w:val="auto"/>
              </w:rPr>
            </w:pPr>
            <w:r>
              <w:rPr>
                <w:rFonts w:ascii="Arial" w:cs="Arial" w:eastAsia="Arial" w:hAnsi="Arial"/>
                <w:sz w:val="11"/>
                <w:szCs w:val="11"/>
                <w:b w:val="1"/>
                <w:bCs w:val="1"/>
                <w:color w:val="auto"/>
                <w:w w:val="92"/>
              </w:rPr>
              <w:t>Identification No.)</w:t>
            </w:r>
          </w:p>
        </w:tc>
      </w:tr>
      <w:tr>
        <w:trPr>
          <w:trHeight w:val="301"/>
        </w:trPr>
        <w:tc>
          <w:tcPr>
            <w:tcW w:w="2500" w:type="dxa"/>
            <w:vAlign w:val="bottom"/>
          </w:tcPr>
          <w:p>
            <w:pPr>
              <w:jc w:val="center"/>
              <w:ind w:right="348"/>
              <w:spacing w:after="0"/>
              <w:rPr>
                <w:sz w:val="20"/>
                <w:szCs w:val="20"/>
                <w:color w:val="auto"/>
              </w:rPr>
            </w:pPr>
            <w:r>
              <w:rPr>
                <w:rFonts w:ascii="Arial" w:cs="Arial" w:eastAsia="Arial" w:hAnsi="Arial"/>
                <w:sz w:val="18"/>
                <w:szCs w:val="18"/>
                <w:b w:val="1"/>
                <w:bCs w:val="1"/>
                <w:color w:val="auto"/>
                <w:w w:val="88"/>
              </w:rPr>
              <w:t>45 Sidney Street</w:t>
            </w:r>
          </w:p>
        </w:tc>
        <w:tc>
          <w:tcPr>
            <w:tcW w:w="3980" w:type="dxa"/>
            <w:vAlign w:val="bottom"/>
          </w:tcPr>
          <w:p>
            <w:pPr>
              <w:spacing w:after="0"/>
              <w:rPr>
                <w:sz w:val="24"/>
                <w:szCs w:val="24"/>
                <w:color w:val="auto"/>
              </w:rPr>
            </w:pPr>
          </w:p>
        </w:tc>
      </w:tr>
      <w:tr>
        <w:trPr>
          <w:trHeight w:val="207"/>
        </w:trPr>
        <w:tc>
          <w:tcPr>
            <w:tcW w:w="2500" w:type="dxa"/>
            <w:vAlign w:val="bottom"/>
          </w:tcPr>
          <w:p>
            <w:pPr>
              <w:jc w:val="center"/>
              <w:ind w:right="368"/>
              <w:spacing w:after="0"/>
              <w:rPr>
                <w:sz w:val="20"/>
                <w:szCs w:val="20"/>
                <w:color w:val="auto"/>
              </w:rPr>
            </w:pPr>
            <w:r>
              <w:rPr>
                <w:rFonts w:ascii="Arial" w:cs="Arial" w:eastAsia="Arial" w:hAnsi="Arial"/>
                <w:sz w:val="18"/>
                <w:szCs w:val="18"/>
                <w:b w:val="1"/>
                <w:bCs w:val="1"/>
                <w:color w:val="auto"/>
                <w:w w:val="88"/>
              </w:rPr>
              <w:t>Cambridge, Massachusetts</w:t>
            </w:r>
          </w:p>
        </w:tc>
        <w:tc>
          <w:tcPr>
            <w:tcW w:w="3980" w:type="dxa"/>
            <w:vAlign w:val="bottom"/>
          </w:tcPr>
          <w:p>
            <w:pPr>
              <w:jc w:val="right"/>
              <w:ind w:right="128"/>
              <w:spacing w:after="0"/>
              <w:rPr>
                <w:sz w:val="20"/>
                <w:szCs w:val="20"/>
                <w:color w:val="auto"/>
              </w:rPr>
            </w:pPr>
            <w:r>
              <w:rPr>
                <w:rFonts w:ascii="Arial" w:cs="Arial" w:eastAsia="Arial" w:hAnsi="Arial"/>
                <w:sz w:val="18"/>
                <w:szCs w:val="18"/>
                <w:b w:val="1"/>
                <w:bCs w:val="1"/>
                <w:color w:val="auto"/>
              </w:rPr>
              <w:t>02139</w:t>
            </w:r>
          </w:p>
        </w:tc>
      </w:tr>
      <w:tr>
        <w:trPr>
          <w:trHeight w:val="117"/>
        </w:trPr>
        <w:tc>
          <w:tcPr>
            <w:tcW w:w="2500" w:type="dxa"/>
            <w:vAlign w:val="bottom"/>
          </w:tcPr>
          <w:p>
            <w:pPr>
              <w:jc w:val="center"/>
              <w:ind w:right="348"/>
              <w:spacing w:after="0" w:line="117" w:lineRule="exact"/>
              <w:rPr>
                <w:sz w:val="20"/>
                <w:szCs w:val="20"/>
                <w:color w:val="auto"/>
              </w:rPr>
            </w:pPr>
            <w:r>
              <w:rPr>
                <w:rFonts w:ascii="Arial" w:cs="Arial" w:eastAsia="Arial" w:hAnsi="Arial"/>
                <w:sz w:val="11"/>
                <w:szCs w:val="11"/>
                <w:b w:val="1"/>
                <w:bCs w:val="1"/>
                <w:color w:val="auto"/>
                <w:w w:val="87"/>
              </w:rPr>
              <w:t>(Address of Principal Executive Offices)</w:t>
            </w:r>
          </w:p>
        </w:tc>
        <w:tc>
          <w:tcPr>
            <w:tcW w:w="3980" w:type="dxa"/>
            <w:vAlign w:val="bottom"/>
          </w:tcPr>
          <w:p>
            <w:pPr>
              <w:jc w:val="center"/>
              <w:ind w:left="3048"/>
              <w:spacing w:after="0" w:line="117" w:lineRule="exact"/>
              <w:rPr>
                <w:sz w:val="20"/>
                <w:szCs w:val="20"/>
                <w:color w:val="auto"/>
              </w:rPr>
            </w:pPr>
            <w:r>
              <w:rPr>
                <w:rFonts w:ascii="Arial" w:cs="Arial" w:eastAsia="Arial" w:hAnsi="Arial"/>
                <w:sz w:val="11"/>
                <w:szCs w:val="11"/>
                <w:b w:val="1"/>
                <w:bCs w:val="1"/>
                <w:color w:val="auto"/>
                <w:w w:val="91"/>
              </w:rPr>
              <w:t>(Zip Code)</w:t>
            </w:r>
          </w:p>
        </w:tc>
      </w:tr>
      <w:tr>
        <w:trPr>
          <w:trHeight w:val="219"/>
        </w:trPr>
        <w:tc>
          <w:tcPr>
            <w:tcW w:w="2500" w:type="dxa"/>
            <w:vAlign w:val="bottom"/>
          </w:tcPr>
          <w:p>
            <w:pPr>
              <w:spacing w:after="0"/>
              <w:rPr>
                <w:sz w:val="19"/>
                <w:szCs w:val="19"/>
                <w:color w:val="auto"/>
              </w:rPr>
            </w:pPr>
          </w:p>
        </w:tc>
        <w:tc>
          <w:tcPr>
            <w:tcW w:w="3980" w:type="dxa"/>
            <w:vAlign w:val="bottom"/>
          </w:tcPr>
          <w:p>
            <w:pPr>
              <w:jc w:val="right"/>
              <w:ind w:right="2368"/>
              <w:spacing w:after="0"/>
              <w:rPr>
                <w:sz w:val="20"/>
                <w:szCs w:val="20"/>
                <w:color w:val="auto"/>
              </w:rPr>
            </w:pPr>
            <w:r>
              <w:rPr>
                <w:rFonts w:ascii="Arial" w:cs="Arial" w:eastAsia="Arial" w:hAnsi="Arial"/>
                <w:sz w:val="18"/>
                <w:szCs w:val="18"/>
                <w:b w:val="1"/>
                <w:bCs w:val="1"/>
                <w:color w:val="auto"/>
              </w:rPr>
              <w:t>(617) 374-7580</w:t>
            </w:r>
          </w:p>
        </w:tc>
      </w:tr>
    </w:tbl>
    <w:p>
      <w:pPr>
        <w:jc w:val="center"/>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(Former Name, Former Address and Former Fiscal Year, if Changed Since Last Report)</w:t>
      </w:r>
    </w:p>
    <w:p>
      <w:pPr>
        <w:spacing w:after="0" w:line="166" w:lineRule="exact"/>
        <w:rPr>
          <w:sz w:val="24"/>
          <w:szCs w:val="24"/>
          <w:color w:val="auto"/>
        </w:rPr>
      </w:pPr>
    </w:p>
    <w:p>
      <w:pPr>
        <w:ind w:right="100" w:firstLine="415"/>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160" w:firstLine="415"/>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9" w:lineRule="exact"/>
        <w:rPr>
          <w:sz w:val="24"/>
          <w:szCs w:val="24"/>
          <w:color w:val="auto"/>
        </w:rPr>
      </w:pPr>
    </w:p>
    <w:p>
      <w:pPr>
        <w:ind w:right="320" w:firstLine="415"/>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40"/>
          </w:cols>
          <w:pgMar w:left="980" w:top="665" w:right="979" w:bottom="1440" w:gutter="0" w:footer="0" w:header="0"/>
        </w:sectPr>
      </w:pPr>
    </w:p>
    <w:p>
      <w:pPr>
        <w:spacing w:after="0" w:line="90" w:lineRule="exact"/>
        <w:rPr>
          <w:sz w:val="24"/>
          <w:szCs w:val="24"/>
          <w:color w:val="auto"/>
        </w:rPr>
      </w:pPr>
    </w:p>
    <w:p>
      <w:pPr>
        <w:ind w:left="1740"/>
        <w:spacing w:after="0"/>
        <w:rPr>
          <w:sz w:val="20"/>
          <w:szCs w:val="20"/>
          <w:color w:val="auto"/>
        </w:rPr>
      </w:pPr>
      <w:r>
        <w:rPr>
          <w:rFonts w:ascii="Arial" w:cs="Arial" w:eastAsia="Arial" w:hAnsi="Arial"/>
          <w:sz w:val="12"/>
          <w:szCs w:val="12"/>
          <w:color w:val="auto"/>
        </w:rPr>
        <w:t>Large accelerated filer</w:t>
      </w:r>
    </w:p>
    <w:p>
      <w:pPr>
        <w:spacing w:after="0" w:line="65" w:lineRule="exact"/>
        <w:rPr>
          <w:sz w:val="24"/>
          <w:szCs w:val="24"/>
          <w:color w:val="auto"/>
        </w:rPr>
      </w:pPr>
    </w:p>
    <w:p>
      <w:pPr>
        <w:ind w:left="176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60"/>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3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4">
            <w:col w:w="3020" w:space="20"/>
            <w:col w:w="2800" w:space="720"/>
            <w:col w:w="1560" w:space="80"/>
            <w:col w:w="1740"/>
          </w:cols>
          <w:pgMar w:left="980" w:top="665" w:right="979" w:bottom="1440" w:gutter="0" w:footer="0" w:header="0"/>
          <w:type w:val="continuous"/>
        </w:sectPr>
      </w:pPr>
    </w:p>
    <w:p>
      <w:pPr>
        <w:spacing w:after="0" w:line="18" w:lineRule="exact"/>
        <w:rPr>
          <w:sz w:val="24"/>
          <w:szCs w:val="24"/>
          <w:color w:val="auto"/>
        </w:rPr>
      </w:pPr>
    </w:p>
    <w:p>
      <w:pPr>
        <w:ind w:left="656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8" w:lineRule="exact"/>
        <w:rPr>
          <w:sz w:val="24"/>
          <w:szCs w:val="24"/>
          <w:color w:val="auto"/>
        </w:rPr>
      </w:pPr>
    </w:p>
    <w:p>
      <w:pPr>
        <w:sectPr>
          <w:pgSz w:w="11900" w:h="16838" w:orient="portrait"/>
          <w:cols w:equalWidth="0" w:num="2">
            <w:col w:w="8120" w:space="80"/>
            <w:col w:w="1740"/>
          </w:cols>
          <w:pgMar w:left="980" w:top="665" w:right="979" w:bottom="1440" w:gutter="0" w:footer="0" w:header="0"/>
          <w:type w:val="continuous"/>
        </w:sectPr>
      </w:pPr>
    </w:p>
    <w:p>
      <w:pPr>
        <w:ind w:right="60" w:firstLine="415"/>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420"/>
        <w:spacing w:after="0" w:line="161" w:lineRule="exact"/>
        <w:tabs>
          <w:tab w:leader="none" w:pos="7080" w:val="left"/>
          <w:tab w:leader="none" w:pos="76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0"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340" w:type="dxa"/>
            <w:vAlign w:val="bottom"/>
            <w:tcBorders>
              <w:top w:val="single" w:sz="8" w:color="auto"/>
              <w:left w:val="single" w:sz="8" w:color="auto"/>
              <w:bottom w:val="single" w:sz="8" w:color="auto"/>
              <w:right w:val="single" w:sz="8" w:color="auto"/>
            </w:tcBorders>
          </w:tcPr>
          <w:p>
            <w:pPr>
              <w:jc w:val="center"/>
              <w:ind w:right="348"/>
              <w:spacing w:after="0"/>
              <w:rPr>
                <w:sz w:val="20"/>
                <w:szCs w:val="20"/>
                <w:color w:val="auto"/>
              </w:rPr>
            </w:pPr>
            <w:r>
              <w:rPr>
                <w:rFonts w:ascii="Arial" w:cs="Arial" w:eastAsia="Arial" w:hAnsi="Arial"/>
                <w:sz w:val="14"/>
                <w:szCs w:val="14"/>
                <w:color w:val="auto"/>
                <w:w w:val="92"/>
              </w:rPr>
              <w:t>Title of each class</w:t>
            </w:r>
          </w:p>
        </w:tc>
        <w:tc>
          <w:tcPr>
            <w:tcW w:w="3300" w:type="dxa"/>
            <w:vAlign w:val="bottom"/>
            <w:tcBorders>
              <w:top w:val="single" w:sz="8" w:color="auto"/>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4"/>
              </w:rPr>
              <w:t>Trading symbol(s)</w:t>
            </w:r>
          </w:p>
        </w:tc>
        <w:tc>
          <w:tcPr>
            <w:tcW w:w="3300" w:type="dxa"/>
            <w:vAlign w:val="bottom"/>
            <w:tcBorders>
              <w:top w:val="single" w:sz="8" w:color="auto"/>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3340" w:type="dxa"/>
            <w:vAlign w:val="bottom"/>
            <w:tcBorders>
              <w:left w:val="single" w:sz="8" w:color="auto"/>
              <w:bottom w:val="single" w:sz="8" w:color="auto"/>
              <w:right w:val="single" w:sz="8" w:color="auto"/>
            </w:tcBorders>
          </w:tcPr>
          <w:p>
            <w:pPr>
              <w:jc w:val="center"/>
              <w:ind w:right="368"/>
              <w:spacing w:after="0"/>
              <w:rPr>
                <w:sz w:val="20"/>
                <w:szCs w:val="20"/>
                <w:color w:val="auto"/>
              </w:rPr>
            </w:pPr>
            <w:r>
              <w:rPr>
                <w:rFonts w:ascii="Arial" w:cs="Arial" w:eastAsia="Arial" w:hAnsi="Arial"/>
                <w:sz w:val="14"/>
                <w:szCs w:val="14"/>
                <w:color w:val="auto"/>
                <w:w w:val="91"/>
              </w:rPr>
              <w:t>Common stock, par value $0.001 per share</w:t>
            </w:r>
          </w:p>
        </w:tc>
        <w:tc>
          <w:tcPr>
            <w:tcW w:w="3300" w:type="dxa"/>
            <w:vAlign w:val="bottom"/>
            <w:tcBorders>
              <w:bottom w:val="single" w:sz="8" w:color="auto"/>
              <w:right w:val="single" w:sz="8" w:color="auto"/>
            </w:tcBorders>
          </w:tcPr>
          <w:p>
            <w:pPr>
              <w:jc w:val="center"/>
              <w:ind w:right="388"/>
              <w:spacing w:after="0"/>
              <w:rPr>
                <w:sz w:val="20"/>
                <w:szCs w:val="20"/>
                <w:color w:val="auto"/>
              </w:rPr>
            </w:pPr>
            <w:r>
              <w:rPr>
                <w:rFonts w:ascii="Arial" w:cs="Arial" w:eastAsia="Arial" w:hAnsi="Arial"/>
                <w:sz w:val="14"/>
                <w:szCs w:val="14"/>
                <w:color w:val="auto"/>
                <w:w w:val="98"/>
              </w:rPr>
              <w:t>BPMC</w:t>
            </w:r>
          </w:p>
        </w:tc>
        <w:tc>
          <w:tcPr>
            <w:tcW w:w="3300" w:type="dxa"/>
            <w:vAlign w:val="bottom"/>
            <w:tcBorders>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3"/>
              </w:rPr>
              <w:t>Nasdaq Global Select Market</w:t>
            </w:r>
          </w:p>
        </w:tc>
      </w:tr>
    </w:tbl>
    <w:p>
      <w:pPr>
        <w:spacing w:after="0" w:line="89" w:lineRule="exact"/>
        <w:rPr>
          <w:sz w:val="24"/>
          <w:szCs w:val="24"/>
          <w:color w:val="auto"/>
        </w:rPr>
      </w:pPr>
    </w:p>
    <w:p>
      <w:pPr>
        <w:ind w:left="420"/>
        <w:spacing w:after="0"/>
        <w:rPr>
          <w:sz w:val="20"/>
          <w:szCs w:val="20"/>
          <w:color w:val="auto"/>
        </w:rPr>
      </w:pPr>
      <w:r>
        <w:rPr>
          <w:rFonts w:ascii="Arial" w:cs="Arial" w:eastAsia="Arial" w:hAnsi="Arial"/>
          <w:sz w:val="14"/>
          <w:szCs w:val="14"/>
          <w:color w:val="auto"/>
        </w:rPr>
        <w:t>Number of shares of the registrant’s common stock, $0.001 par value, outstanding on April 26, 2021: 58,341,527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861060</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665" w:right="97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3160" w:type="dxa"/>
            <w:vAlign w:val="bottom"/>
            <w:gridSpan w:val="6"/>
            <w:vMerge w:val="restart"/>
          </w:tcPr>
          <w:p>
            <w:pPr>
              <w:jc w:val="center"/>
              <w:spacing w:after="0" w:line="201"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2360" w:type="dxa"/>
            <w:vAlign w:val="bottom"/>
            <w:gridSpan w:val="6"/>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3160" w:type="dxa"/>
            <w:vAlign w:val="bottom"/>
            <w:tcBorders>
              <w:bottom w:val="single" w:sz="8" w:color="0000EE"/>
            </w:tcBorders>
            <w:gridSpan w:val="6"/>
            <w:vMerge w:val="continue"/>
          </w:tcPr>
          <w:p>
            <w:pPr>
              <w:spacing w:after="0"/>
              <w:rPr>
                <w:sz w:val="13"/>
                <w:szCs w:val="13"/>
                <w:color w:val="auto"/>
              </w:rPr>
            </w:pPr>
          </w:p>
        </w:tc>
        <w:tc>
          <w:tcPr>
            <w:tcW w:w="2360" w:type="dxa"/>
            <w:vAlign w:val="bottom"/>
            <w:gridSpan w:val="6"/>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 Financial Statements (unaudited)</w:t>
              </w:r>
            </w:hyperlink>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100" w:type="dxa"/>
            <w:vAlign w:val="bottom"/>
            <w:vMerge w:val="restart"/>
          </w:tcPr>
          <w:p>
            <w:pPr>
              <w:spacing w:after="0"/>
              <w:rPr>
                <w:sz w:val="20"/>
                <w:szCs w:val="20"/>
                <w:color w:val="auto"/>
              </w:rPr>
            </w:pPr>
          </w:p>
        </w:tc>
        <w:tc>
          <w:tcPr>
            <w:tcW w:w="800" w:type="dxa"/>
            <w:vAlign w:val="bottom"/>
            <w:vMerge w:val="restart"/>
          </w:tcPr>
          <w:p>
            <w:pPr>
              <w:spacing w:after="0"/>
              <w:rPr>
                <w:sz w:val="20"/>
                <w:szCs w:val="20"/>
                <w:color w:val="auto"/>
              </w:rPr>
            </w:pPr>
          </w:p>
        </w:tc>
        <w:tc>
          <w:tcPr>
            <w:tcW w:w="32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1"/>
        </w:trPr>
        <w:tc>
          <w:tcPr>
            <w:tcW w:w="640" w:type="dxa"/>
            <w:vAlign w:val="bottom"/>
            <w:gridSpan w:val="2"/>
          </w:tcPr>
          <w:p>
            <w:pPr>
              <w:spacing w:after="0"/>
              <w:rPr>
                <w:sz w:val="5"/>
                <w:szCs w:val="5"/>
                <w:color w:val="auto"/>
              </w:rPr>
            </w:pPr>
          </w:p>
        </w:tc>
        <w:tc>
          <w:tcPr>
            <w:tcW w:w="6280" w:type="dxa"/>
            <w:vAlign w:val="bottom"/>
            <w:gridSpan w:val="16"/>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March 31, 2021 and December 31, 2020</w:t>
              </w:r>
            </w:hyperlink>
          </w:p>
        </w:tc>
        <w:tc>
          <w:tcPr>
            <w:tcW w:w="1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80" w:type="dxa"/>
            <w:vAlign w:val="bottom"/>
            <w:tcBorders>
              <w:bottom w:val="single" w:sz="8" w:color="0000EE"/>
            </w:tcBorders>
            <w:gridSpan w:val="16"/>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gridSpan w:val="21"/>
            <w:vMerge w:val="restart"/>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Operations and Comprehensive Loss for the three months ended</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gridSpan w:val="21"/>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top w:val="single" w:sz="8" w:color="0000EE"/>
              <w:bottom w:val="single" w:sz="8" w:color="0000EE"/>
            </w:tcBorders>
            <w:gridSpan w:val="8"/>
          </w:tcPr>
          <w:p>
            <w:pPr>
              <w:spacing w:after="0" w:line="169"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March 31, 2021 and 2020</w:t>
              </w:r>
            </w:hyperlink>
          </w:p>
        </w:tc>
        <w:tc>
          <w:tcPr>
            <w:tcW w:w="440" w:type="dxa"/>
            <w:vAlign w:val="bottom"/>
            <w:tcBorders>
              <w:top w:val="single" w:sz="8" w:color="0000EE"/>
              <w:bottom w:val="single" w:sz="8" w:color="0000EE"/>
            </w:tcBorders>
            <w:gridSpan w:val="2"/>
          </w:tcPr>
          <w:p>
            <w:pPr>
              <w:spacing w:after="0"/>
              <w:rPr>
                <w:sz w:val="15"/>
                <w:szCs w:val="15"/>
                <w:color w:val="auto"/>
              </w:rPr>
            </w:pPr>
          </w:p>
        </w:tc>
        <w:tc>
          <w:tcPr>
            <w:tcW w:w="1700" w:type="dxa"/>
            <w:vAlign w:val="bottom"/>
            <w:tcBorders>
              <w:top w:val="single" w:sz="8" w:color="0000EE"/>
              <w:bottom w:val="single" w:sz="8" w:color="0000EE"/>
            </w:tcBorders>
            <w:gridSpan w:val="2"/>
          </w:tcPr>
          <w:p>
            <w:pPr>
              <w:spacing w:after="0"/>
              <w:rPr>
                <w:sz w:val="15"/>
                <w:szCs w:val="15"/>
                <w:color w:val="auto"/>
              </w:rPr>
            </w:pPr>
          </w:p>
        </w:tc>
        <w:tc>
          <w:tcPr>
            <w:tcW w:w="280" w:type="dxa"/>
            <w:vAlign w:val="bottom"/>
            <w:tcBorders>
              <w:top w:val="single" w:sz="8" w:color="0000EE"/>
              <w:bottom w:val="single" w:sz="8" w:color="0000EE"/>
            </w:tcBorders>
          </w:tcPr>
          <w:p>
            <w:pPr>
              <w:spacing w:after="0"/>
              <w:rPr>
                <w:sz w:val="15"/>
                <w:szCs w:val="15"/>
                <w:color w:val="auto"/>
              </w:rPr>
            </w:pPr>
          </w:p>
        </w:tc>
        <w:tc>
          <w:tcPr>
            <w:tcW w:w="860" w:type="dxa"/>
            <w:vAlign w:val="bottom"/>
            <w:tcBorders>
              <w:top w:val="single" w:sz="8" w:color="0000EE"/>
              <w:bottom w:val="single" w:sz="8" w:color="0000EE"/>
            </w:tcBorders>
          </w:tcPr>
          <w:p>
            <w:pPr>
              <w:spacing w:after="0"/>
              <w:rPr>
                <w:sz w:val="15"/>
                <w:szCs w:val="15"/>
                <w:color w:val="auto"/>
              </w:rPr>
            </w:pPr>
          </w:p>
        </w:tc>
        <w:tc>
          <w:tcPr>
            <w:tcW w:w="1240" w:type="dxa"/>
            <w:vAlign w:val="bottom"/>
            <w:tcBorders>
              <w:top w:val="single" w:sz="8" w:color="0000EE"/>
              <w:bottom w:val="single" w:sz="8" w:color="0000EE"/>
            </w:tcBorders>
            <w:gridSpan w:val="3"/>
          </w:tcPr>
          <w:p>
            <w:pPr>
              <w:spacing w:after="0"/>
              <w:rPr>
                <w:sz w:val="15"/>
                <w:szCs w:val="15"/>
                <w:color w:val="auto"/>
              </w:rPr>
            </w:pPr>
          </w:p>
        </w:tc>
        <w:tc>
          <w:tcPr>
            <w:tcW w:w="800" w:type="dxa"/>
            <w:vAlign w:val="bottom"/>
            <w:tcBorders>
              <w:top w:val="single" w:sz="8" w:color="0000EE"/>
              <w:bottom w:val="single" w:sz="8" w:color="0000EE"/>
            </w:tcBorders>
          </w:tcPr>
          <w:p>
            <w:pPr>
              <w:spacing w:after="0"/>
              <w:rPr>
                <w:sz w:val="15"/>
                <w:szCs w:val="15"/>
                <w:color w:val="auto"/>
              </w:rPr>
            </w:pPr>
          </w:p>
        </w:tc>
        <w:tc>
          <w:tcPr>
            <w:tcW w:w="320" w:type="dxa"/>
            <w:vAlign w:val="bottom"/>
            <w:tcBorders>
              <w:top w:val="single" w:sz="8" w:color="0000EE"/>
              <w:bottom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gridSpan w:val="21"/>
            <w:vMerge w:val="restart"/>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Statements of Stockholders’ Equity for the three months ended March 31, 2021</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gridSpan w:val="21"/>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0000EE"/>
            </w:tcBorders>
            <w:gridSpan w:val="4"/>
          </w:tcPr>
          <w:p>
            <w:pPr>
              <w:spacing w:after="0" w:line="169"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and 2020</w:t>
              </w:r>
            </w:hyperlink>
          </w:p>
        </w:tc>
        <w:tc>
          <w:tcPr>
            <w:tcW w:w="300" w:type="dxa"/>
            <w:vAlign w:val="bottom"/>
            <w:tcBorders>
              <w:top w:val="single" w:sz="8" w:color="0000EE"/>
              <w:bottom w:val="single" w:sz="8" w:color="0000EE"/>
            </w:tcBorders>
          </w:tcPr>
          <w:p>
            <w:pPr>
              <w:spacing w:after="0"/>
              <w:rPr>
                <w:sz w:val="15"/>
                <w:szCs w:val="15"/>
                <w:color w:val="auto"/>
              </w:rPr>
            </w:pPr>
          </w:p>
        </w:tc>
        <w:tc>
          <w:tcPr>
            <w:tcW w:w="300" w:type="dxa"/>
            <w:vAlign w:val="bottom"/>
            <w:tcBorders>
              <w:top w:val="single" w:sz="8" w:color="0000EE"/>
              <w:bottom w:val="single" w:sz="8" w:color="0000EE"/>
            </w:tcBorders>
          </w:tcPr>
          <w:p>
            <w:pPr>
              <w:spacing w:after="0"/>
              <w:rPr>
                <w:sz w:val="15"/>
                <w:szCs w:val="15"/>
                <w:color w:val="auto"/>
              </w:rPr>
            </w:pPr>
          </w:p>
        </w:tc>
        <w:tc>
          <w:tcPr>
            <w:tcW w:w="440" w:type="dxa"/>
            <w:vAlign w:val="bottom"/>
            <w:tcBorders>
              <w:top w:val="single" w:sz="8" w:color="0000EE"/>
              <w:bottom w:val="single" w:sz="8" w:color="0000EE"/>
            </w:tcBorders>
          </w:tcPr>
          <w:p>
            <w:pPr>
              <w:spacing w:after="0"/>
              <w:rPr>
                <w:sz w:val="15"/>
                <w:szCs w:val="15"/>
                <w:color w:val="auto"/>
              </w:rPr>
            </w:pPr>
          </w:p>
        </w:tc>
        <w:tc>
          <w:tcPr>
            <w:tcW w:w="600" w:type="dxa"/>
            <w:vAlign w:val="bottom"/>
            <w:tcBorders>
              <w:top w:val="single" w:sz="8" w:color="0000EE"/>
              <w:bottom w:val="single" w:sz="8" w:color="0000EE"/>
            </w:tcBorders>
            <w:gridSpan w:val="3"/>
          </w:tcPr>
          <w:p>
            <w:pPr>
              <w:spacing w:after="0"/>
              <w:rPr>
                <w:sz w:val="15"/>
                <w:szCs w:val="15"/>
                <w:color w:val="auto"/>
              </w:rPr>
            </w:pPr>
          </w:p>
        </w:tc>
        <w:tc>
          <w:tcPr>
            <w:tcW w:w="1700" w:type="dxa"/>
            <w:vAlign w:val="bottom"/>
            <w:tcBorders>
              <w:top w:val="single" w:sz="8" w:color="0000EE"/>
              <w:bottom w:val="single" w:sz="8" w:color="0000EE"/>
            </w:tcBorders>
            <w:gridSpan w:val="2"/>
          </w:tcPr>
          <w:p>
            <w:pPr>
              <w:spacing w:after="0"/>
              <w:rPr>
                <w:sz w:val="15"/>
                <w:szCs w:val="15"/>
                <w:color w:val="auto"/>
              </w:rPr>
            </w:pPr>
          </w:p>
        </w:tc>
        <w:tc>
          <w:tcPr>
            <w:tcW w:w="280" w:type="dxa"/>
            <w:vAlign w:val="bottom"/>
            <w:tcBorders>
              <w:top w:val="single" w:sz="8" w:color="0000EE"/>
              <w:bottom w:val="single" w:sz="8" w:color="0000EE"/>
            </w:tcBorders>
          </w:tcPr>
          <w:p>
            <w:pPr>
              <w:spacing w:after="0"/>
              <w:rPr>
                <w:sz w:val="15"/>
                <w:szCs w:val="15"/>
                <w:color w:val="auto"/>
              </w:rPr>
            </w:pPr>
          </w:p>
        </w:tc>
        <w:tc>
          <w:tcPr>
            <w:tcW w:w="860" w:type="dxa"/>
            <w:vAlign w:val="bottom"/>
            <w:tcBorders>
              <w:top w:val="single" w:sz="8" w:color="0000EE"/>
              <w:bottom w:val="single" w:sz="8" w:color="0000EE"/>
            </w:tcBorders>
          </w:tcPr>
          <w:p>
            <w:pPr>
              <w:spacing w:after="0"/>
              <w:rPr>
                <w:sz w:val="15"/>
                <w:szCs w:val="15"/>
                <w:color w:val="auto"/>
              </w:rPr>
            </w:pPr>
          </w:p>
        </w:tc>
        <w:tc>
          <w:tcPr>
            <w:tcW w:w="1240" w:type="dxa"/>
            <w:vAlign w:val="bottom"/>
            <w:tcBorders>
              <w:top w:val="single" w:sz="8" w:color="0000EE"/>
              <w:bottom w:val="single" w:sz="8" w:color="0000EE"/>
            </w:tcBorders>
            <w:gridSpan w:val="3"/>
          </w:tcPr>
          <w:p>
            <w:pPr>
              <w:spacing w:after="0"/>
              <w:rPr>
                <w:sz w:val="15"/>
                <w:szCs w:val="15"/>
                <w:color w:val="auto"/>
              </w:rPr>
            </w:pPr>
          </w:p>
        </w:tc>
        <w:tc>
          <w:tcPr>
            <w:tcW w:w="800" w:type="dxa"/>
            <w:vAlign w:val="bottom"/>
            <w:tcBorders>
              <w:top w:val="single" w:sz="8" w:color="0000EE"/>
              <w:bottom w:val="single" w:sz="8" w:color="0000EE"/>
            </w:tcBorders>
          </w:tcPr>
          <w:p>
            <w:pPr>
              <w:spacing w:after="0"/>
              <w:rPr>
                <w:sz w:val="15"/>
                <w:szCs w:val="15"/>
                <w:color w:val="auto"/>
              </w:rPr>
            </w:pPr>
          </w:p>
        </w:tc>
        <w:tc>
          <w:tcPr>
            <w:tcW w:w="380" w:type="dxa"/>
            <w:vAlign w:val="bottom"/>
            <w:tcBorders>
              <w:top w:val="single" w:sz="8" w:color="0000EE"/>
              <w:bottom w:val="single" w:sz="8" w:color="0000EE"/>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gridSpan w:val="21"/>
            <w:vMerge w:val="restart"/>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Condensed Consolidated Statements of Cash Flows for the three months ended March 31, 2021 and</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gridSpan w:val="21"/>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0000EE"/>
              <w:bottom w:val="single" w:sz="8" w:color="0000EE"/>
            </w:tcBorders>
            <w:gridSpan w:val="2"/>
          </w:tcPr>
          <w:p>
            <w:pPr>
              <w:spacing w:after="0" w:line="169"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2020</w:t>
              </w:r>
            </w:hyperlink>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gridSpan w:val="12"/>
            <w:vMerge w:val="restart"/>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0" w:type="dxa"/>
            <w:vAlign w:val="bottom"/>
            <w:tcBorders>
              <w:bottom w:val="single" w:sz="8" w:color="0000EE"/>
            </w:tcBorders>
            <w:gridSpan w:val="12"/>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3"/>
          </w:tcPr>
          <w:p>
            <w:pPr>
              <w:spacing w:after="0"/>
              <w:rPr>
                <w:sz w:val="14"/>
                <w:szCs w:val="14"/>
                <w:color w:val="auto"/>
              </w:rPr>
            </w:pPr>
          </w:p>
        </w:tc>
        <w:tc>
          <w:tcPr>
            <w:tcW w:w="1280" w:type="dxa"/>
            <w:vAlign w:val="bottom"/>
            <w:gridSpan w:val="4"/>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1"/>
        </w:trPr>
        <w:tc>
          <w:tcPr>
            <w:tcW w:w="7020" w:type="dxa"/>
            <w:vAlign w:val="bottom"/>
            <w:gridSpan w:val="19"/>
            <w:vMerge w:val="restart"/>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2. Management’s Discussion and Analysis of Financial Condition and Results of Operations</w:t>
              </w:r>
            </w:hyperlink>
          </w:p>
        </w:tc>
        <w:tc>
          <w:tcPr>
            <w:tcW w:w="12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7020" w:type="dxa"/>
            <w:vAlign w:val="bottom"/>
            <w:tcBorders>
              <w:bottom w:val="single" w:sz="8" w:color="0000EE"/>
            </w:tcBorders>
            <w:gridSpan w:val="19"/>
            <w:vMerge w:val="continue"/>
          </w:tcPr>
          <w:p>
            <w:pPr>
              <w:spacing w:after="0"/>
              <w:rPr>
                <w:sz w:val="14"/>
                <w:szCs w:val="14"/>
                <w:color w:val="auto"/>
              </w:rPr>
            </w:pPr>
          </w:p>
        </w:tc>
        <w:tc>
          <w:tcPr>
            <w:tcW w:w="1280" w:type="dxa"/>
            <w:vAlign w:val="bottom"/>
            <w:gridSpan w:val="4"/>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3"/>
        </w:trPr>
        <w:tc>
          <w:tcPr>
            <w:tcW w:w="760" w:type="dxa"/>
            <w:vAlign w:val="bottom"/>
            <w:gridSpan w:val="3"/>
          </w:tcPr>
          <w:p>
            <w:pPr>
              <w:spacing w:after="0"/>
              <w:rPr>
                <w:sz w:val="2"/>
                <w:szCs w:val="2"/>
                <w:color w:val="auto"/>
              </w:rPr>
            </w:pPr>
          </w:p>
        </w:tc>
        <w:tc>
          <w:tcPr>
            <w:tcW w:w="40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98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40" w:type="dxa"/>
            <w:vAlign w:val="bottom"/>
            <w:tcBorders>
              <w:bottom w:val="single" w:sz="8" w:color="0000EE"/>
            </w:tcBorders>
          </w:tcPr>
          <w:p>
            <w:pPr>
              <w:spacing w:after="0" w:line="170"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Item 3.</w:t>
              </w:r>
            </w:hyperlink>
          </w:p>
        </w:tc>
        <w:tc>
          <w:tcPr>
            <w:tcW w:w="4380" w:type="dxa"/>
            <w:vAlign w:val="bottom"/>
            <w:tcBorders>
              <w:bottom w:val="single" w:sz="8" w:color="0000EE"/>
            </w:tcBorders>
            <w:gridSpan w:val="14"/>
          </w:tcPr>
          <w:p>
            <w:pPr>
              <w:ind w:left="20"/>
              <w:spacing w:after="0" w:line="170"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Quantitative and Qualitative Disclosures About Market Risk</w:t>
              </w:r>
            </w:hyperlink>
          </w:p>
        </w:tc>
        <w:tc>
          <w:tcPr>
            <w:tcW w:w="860" w:type="dxa"/>
            <w:vAlign w:val="bottom"/>
            <w:vMerge w:val="restart"/>
          </w:tcPr>
          <w:p>
            <w:pPr>
              <w:spacing w:after="0"/>
              <w:rPr>
                <w:sz w:val="16"/>
                <w:szCs w:val="16"/>
                <w:color w:val="auto"/>
              </w:rPr>
            </w:pPr>
          </w:p>
        </w:tc>
        <w:tc>
          <w:tcPr>
            <w:tcW w:w="2520" w:type="dxa"/>
            <w:vAlign w:val="bottom"/>
            <w:gridSpan w:val="7"/>
            <w:vMerge w:val="restart"/>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61"/>
        </w:trPr>
        <w:tc>
          <w:tcPr>
            <w:tcW w:w="540" w:type="dxa"/>
            <w:vAlign w:val="bottom"/>
            <w:vMerge w:val="restart"/>
          </w:tcPr>
          <w:p>
            <w:pPr>
              <w:spacing w:after="0"/>
              <w:rPr>
                <w:rFonts w:ascii="Arial" w:cs="Arial" w:eastAsia="Arial" w:hAnsi="Arial"/>
                <w:sz w:val="18"/>
                <w:szCs w:val="18"/>
                <w:color w:val="0000EE"/>
                <w:w w:val="94"/>
              </w:rPr>
            </w:pPr>
            <w:hyperlink w:anchor="page41">
              <w:r>
                <w:rPr>
                  <w:rFonts w:ascii="Arial" w:cs="Arial" w:eastAsia="Arial" w:hAnsi="Arial"/>
                  <w:sz w:val="18"/>
                  <w:szCs w:val="18"/>
                  <w:color w:val="0000EE"/>
                  <w:w w:val="94"/>
                </w:rPr>
                <w:t>Item 4.</w:t>
              </w:r>
            </w:hyperlink>
          </w:p>
        </w:tc>
        <w:tc>
          <w:tcPr>
            <w:tcW w:w="1800" w:type="dxa"/>
            <w:vAlign w:val="bottom"/>
            <w:gridSpan w:val="8"/>
            <w:vMerge w:val="restart"/>
          </w:tcPr>
          <w:p>
            <w:pPr>
              <w:ind w:left="20"/>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Controls and Procedures</w:t>
              </w:r>
            </w:hyperlink>
          </w:p>
        </w:tc>
        <w:tc>
          <w:tcPr>
            <w:tcW w:w="600" w:type="dxa"/>
            <w:vAlign w:val="bottom"/>
            <w:gridSpan w:val="3"/>
          </w:tcPr>
          <w:p>
            <w:pPr>
              <w:spacing w:after="0"/>
              <w:rPr>
                <w:sz w:val="5"/>
                <w:szCs w:val="5"/>
                <w:color w:val="auto"/>
              </w:rPr>
            </w:pPr>
          </w:p>
        </w:tc>
        <w:tc>
          <w:tcPr>
            <w:tcW w:w="1980" w:type="dxa"/>
            <w:vAlign w:val="bottom"/>
            <w:gridSpan w:val="3"/>
          </w:tcPr>
          <w:p>
            <w:pPr>
              <w:spacing w:after="0"/>
              <w:rPr>
                <w:sz w:val="5"/>
                <w:szCs w:val="5"/>
                <w:color w:val="auto"/>
              </w:rPr>
            </w:pPr>
          </w:p>
        </w:tc>
        <w:tc>
          <w:tcPr>
            <w:tcW w:w="860" w:type="dxa"/>
            <w:vAlign w:val="bottom"/>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40" w:type="dxa"/>
            <w:vAlign w:val="bottom"/>
            <w:tcBorders>
              <w:bottom w:val="single" w:sz="8" w:color="0000EE"/>
            </w:tcBorders>
            <w:vMerge w:val="continue"/>
          </w:tcPr>
          <w:p>
            <w:pPr>
              <w:spacing w:after="0"/>
              <w:rPr>
                <w:sz w:val="14"/>
                <w:szCs w:val="14"/>
                <w:color w:val="auto"/>
              </w:rPr>
            </w:pPr>
          </w:p>
        </w:tc>
        <w:tc>
          <w:tcPr>
            <w:tcW w:w="1800" w:type="dxa"/>
            <w:vAlign w:val="bottom"/>
            <w:tcBorders>
              <w:bottom w:val="single" w:sz="8" w:color="0000EE"/>
            </w:tcBorders>
            <w:gridSpan w:val="8"/>
            <w:vMerge w:val="continue"/>
          </w:tcPr>
          <w:p>
            <w:pPr>
              <w:spacing w:after="0"/>
              <w:rPr>
                <w:sz w:val="14"/>
                <w:szCs w:val="14"/>
                <w:color w:val="auto"/>
              </w:rPr>
            </w:pPr>
          </w:p>
        </w:tc>
        <w:tc>
          <w:tcPr>
            <w:tcW w:w="600" w:type="dxa"/>
            <w:vAlign w:val="bottom"/>
            <w:gridSpan w:val="3"/>
            <w:vMerge w:val="restart"/>
          </w:tcPr>
          <w:p>
            <w:pPr>
              <w:spacing w:after="0"/>
              <w:rPr>
                <w:sz w:val="14"/>
                <w:szCs w:val="14"/>
                <w:color w:val="auto"/>
              </w:rPr>
            </w:pPr>
          </w:p>
        </w:tc>
        <w:tc>
          <w:tcPr>
            <w:tcW w:w="2840" w:type="dxa"/>
            <w:vAlign w:val="bottom"/>
            <w:gridSpan w:val="4"/>
            <w:vMerge w:val="restart"/>
          </w:tcPr>
          <w:p>
            <w:pPr>
              <w:spacing w:after="0"/>
              <w:rPr>
                <w:sz w:val="14"/>
                <w:szCs w:val="14"/>
                <w:color w:val="auto"/>
              </w:rPr>
            </w:pPr>
          </w:p>
        </w:tc>
        <w:tc>
          <w:tcPr>
            <w:tcW w:w="2520" w:type="dxa"/>
            <w:vAlign w:val="bottom"/>
            <w:gridSpan w:val="7"/>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400" w:type="dxa"/>
            <w:vAlign w:val="bottom"/>
            <w:gridSpan w:val="2"/>
          </w:tcPr>
          <w:p>
            <w:pPr>
              <w:spacing w:after="0"/>
              <w:rPr>
                <w:sz w:val="5"/>
                <w:szCs w:val="5"/>
                <w:color w:val="auto"/>
              </w:rPr>
            </w:pPr>
          </w:p>
        </w:tc>
        <w:tc>
          <w:tcPr>
            <w:tcW w:w="44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2840" w:type="dxa"/>
            <w:vAlign w:val="bottom"/>
            <w:gridSpan w:val="4"/>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20" w:type="dxa"/>
            <w:vAlign w:val="bottom"/>
            <w:gridSpan w:val="12"/>
          </w:tcPr>
          <w:p>
            <w:pPr>
              <w:jc w:val="center"/>
              <w:ind w:right="2360"/>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 – OTHER INFORMATION</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Item 1.</w:t>
              </w:r>
            </w:hyperlink>
          </w:p>
        </w:tc>
        <w:tc>
          <w:tcPr>
            <w:tcW w:w="1360" w:type="dxa"/>
            <w:vAlign w:val="bottom"/>
            <w:tcBorders>
              <w:bottom w:val="single" w:sz="8" w:color="0000EE"/>
            </w:tcBorders>
            <w:gridSpan w:val="7"/>
          </w:tcPr>
          <w:p>
            <w:pPr>
              <w:ind w:left="20"/>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Legal Proceedings</w:t>
              </w:r>
            </w:hyperlink>
          </w:p>
        </w:tc>
        <w:tc>
          <w:tcPr>
            <w:tcW w:w="1040" w:type="dxa"/>
            <w:vAlign w:val="bottom"/>
            <w:gridSpan w:val="4"/>
            <w:vMerge w:val="restart"/>
          </w:tcPr>
          <w:p>
            <w:pPr>
              <w:spacing w:after="0"/>
              <w:rPr>
                <w:sz w:val="20"/>
                <w:szCs w:val="20"/>
                <w:color w:val="auto"/>
              </w:rPr>
            </w:pPr>
          </w:p>
        </w:tc>
        <w:tc>
          <w:tcPr>
            <w:tcW w:w="2840" w:type="dxa"/>
            <w:vAlign w:val="bottom"/>
            <w:tcBorders>
              <w:top w:val="single" w:sz="8" w:color="0000EE"/>
              <w:bottom w:val="single" w:sz="8" w:color="0000EE"/>
            </w:tcBorders>
            <w:gridSpan w:val="4"/>
            <w:vMerge w:val="restart"/>
          </w:tcPr>
          <w:p>
            <w:pPr>
              <w:spacing w:after="0"/>
              <w:rPr>
                <w:sz w:val="20"/>
                <w:szCs w:val="20"/>
                <w:color w:val="auto"/>
              </w:rPr>
            </w:pPr>
          </w:p>
        </w:tc>
        <w:tc>
          <w:tcPr>
            <w:tcW w:w="2520" w:type="dxa"/>
            <w:vAlign w:val="bottom"/>
            <w:gridSpan w:val="7"/>
            <w:vMerge w:val="restart"/>
          </w:tcPr>
          <w:p>
            <w:pPr>
              <w:spacing w:after="0"/>
              <w:rPr>
                <w:sz w:val="20"/>
                <w:szCs w:val="20"/>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61"/>
        </w:trPr>
        <w:tc>
          <w:tcPr>
            <w:tcW w:w="1600" w:type="dxa"/>
            <w:vAlign w:val="bottom"/>
            <w:gridSpan w:val="7"/>
            <w:vMerge w:val="restart"/>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Item 1A. Risk Factors</w:t>
              </w:r>
            </w:hyperlink>
          </w:p>
        </w:tc>
        <w:tc>
          <w:tcPr>
            <w:tcW w:w="30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2840" w:type="dxa"/>
            <w:vAlign w:val="bottom"/>
            <w:gridSpan w:val="4"/>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600" w:type="dxa"/>
            <w:vAlign w:val="bottom"/>
            <w:tcBorders>
              <w:bottom w:val="single" w:sz="8" w:color="0000EE"/>
            </w:tcBorders>
            <w:gridSpan w:val="7"/>
            <w:vMerge w:val="continue"/>
          </w:tcPr>
          <w:p>
            <w:pPr>
              <w:spacing w:after="0"/>
              <w:rPr>
                <w:sz w:val="14"/>
                <w:szCs w:val="14"/>
                <w:color w:val="auto"/>
              </w:rPr>
            </w:pPr>
          </w:p>
        </w:tc>
        <w:tc>
          <w:tcPr>
            <w:tcW w:w="6700" w:type="dxa"/>
            <w:vAlign w:val="bottom"/>
            <w:gridSpan w:val="16"/>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3"/>
        </w:trPr>
        <w:tc>
          <w:tcPr>
            <w:tcW w:w="760" w:type="dxa"/>
            <w:vAlign w:val="bottom"/>
            <w:gridSpan w:val="3"/>
          </w:tcPr>
          <w:p>
            <w:pPr>
              <w:spacing w:after="0"/>
              <w:rPr>
                <w:sz w:val="2"/>
                <w:szCs w:val="2"/>
                <w:color w:val="auto"/>
              </w:rPr>
            </w:pPr>
          </w:p>
        </w:tc>
        <w:tc>
          <w:tcPr>
            <w:tcW w:w="40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6700" w:type="dxa"/>
            <w:vAlign w:val="bottom"/>
            <w:gridSpan w:val="16"/>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40" w:type="dxa"/>
            <w:vAlign w:val="bottom"/>
            <w:tcBorders>
              <w:bottom w:val="single" w:sz="8" w:color="0000EE"/>
            </w:tcBorders>
          </w:tcPr>
          <w:p>
            <w:pPr>
              <w:spacing w:after="0" w:line="170" w:lineRule="exact"/>
              <w:rPr>
                <w:rFonts w:ascii="Arial" w:cs="Arial" w:eastAsia="Arial" w:hAnsi="Arial"/>
                <w:sz w:val="18"/>
                <w:szCs w:val="18"/>
                <w:color w:val="0000EE"/>
                <w:w w:val="94"/>
              </w:rPr>
            </w:pPr>
            <w:hyperlink w:anchor="page88">
              <w:r>
                <w:rPr>
                  <w:rFonts w:ascii="Arial" w:cs="Arial" w:eastAsia="Arial" w:hAnsi="Arial"/>
                  <w:sz w:val="18"/>
                  <w:szCs w:val="18"/>
                  <w:color w:val="0000EE"/>
                  <w:w w:val="94"/>
                </w:rPr>
                <w:t>Item 6.</w:t>
              </w:r>
            </w:hyperlink>
          </w:p>
        </w:tc>
        <w:tc>
          <w:tcPr>
            <w:tcW w:w="620" w:type="dxa"/>
            <w:vAlign w:val="bottom"/>
            <w:tcBorders>
              <w:bottom w:val="single" w:sz="8" w:color="0000EE"/>
            </w:tcBorders>
            <w:gridSpan w:val="4"/>
          </w:tcPr>
          <w:p>
            <w:pPr>
              <w:ind w:left="20"/>
              <w:spacing w:after="0" w:line="170"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Exhibits</w:t>
              </w:r>
            </w:hyperlink>
          </w:p>
        </w:tc>
        <w:tc>
          <w:tcPr>
            <w:tcW w:w="7140" w:type="dxa"/>
            <w:vAlign w:val="bottom"/>
            <w:gridSpan w:val="18"/>
            <w:vMerge w:val="restart"/>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7140" w:type="dxa"/>
            <w:vAlign w:val="bottom"/>
            <w:gridSpan w:val="18"/>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300" w:type="dxa"/>
            <w:vAlign w:val="bottom"/>
            <w:gridSpan w:val="23"/>
          </w:tcPr>
          <w:p>
            <w:pPr>
              <w:spacing w:after="0" w:line="190" w:lineRule="exact"/>
              <w:rPr>
                <w:rFonts w:ascii="Arial" w:cs="Arial" w:eastAsia="Arial" w:hAnsi="Arial"/>
                <w:sz w:val="18"/>
                <w:szCs w:val="18"/>
                <w:color w:val="0000EE"/>
              </w:rPr>
            </w:pPr>
            <w:hyperlink w:anchor="page89">
              <w:r>
                <w:rPr>
                  <w:rFonts w:ascii="Arial" w:cs="Arial" w:eastAsia="Arial" w:hAnsi="Arial"/>
                  <w:sz w:val="18"/>
                  <w:szCs w:val="18"/>
                  <w:color w:val="0000EE"/>
                </w:rPr>
                <w:t>Signatures</w:t>
              </w:r>
            </w:hyperlink>
          </w:p>
        </w:tc>
        <w:tc>
          <w:tcPr>
            <w:tcW w:w="500" w:type="dxa"/>
            <w:vAlign w:val="bottom"/>
          </w:tcPr>
          <w:p>
            <w:pPr>
              <w:jc w:val="right"/>
              <w:spacing w:after="0" w:line="190"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99" w:firstLine="648"/>
        <w:spacing w:after="0" w:line="221" w:lineRule="auto"/>
        <w:rPr>
          <w:sz w:val="20"/>
          <w:szCs w:val="20"/>
          <w:color w:val="auto"/>
        </w:rPr>
      </w:pPr>
      <w:r>
        <w:rPr>
          <w:rFonts w:ascii="Arial" w:cs="Arial" w:eastAsia="Arial" w:hAnsi="Arial"/>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subsidiaries. Blueprint Medicines, AYVAKIT</w:t>
      </w:r>
      <w:r>
        <w:rPr>
          <w:rFonts w:ascii="Arial" w:cs="Arial" w:eastAsia="Arial" w:hAnsi="Arial"/>
          <w:sz w:val="18"/>
          <w:szCs w:val="18"/>
          <w:color w:val="auto"/>
        </w:rPr>
        <w:t>™</w:t>
      </w:r>
      <w:r>
        <w:rPr>
          <w:rFonts w:ascii="Arial" w:cs="Arial" w:eastAsia="Arial" w:hAnsi="Arial"/>
          <w:sz w:val="18"/>
          <w:szCs w:val="18"/>
          <w:i w:val="1"/>
          <w:iCs w:val="1"/>
          <w:color w:val="auto"/>
        </w:rPr>
        <w:t>, AYVAKYT</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GAVRETO</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and associated logos are trademarks of Blueprint Medicines Corporation. Other brands, names and trademarks contained in this Quarterly Report on Form 10-Q are the property of their respective owners.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7"/>
          <w:szCs w:val="17"/>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“aim,”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forward-looking statements in this Quarterly Report on Form 10-Q include, but are not limited to, statements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about:</w:t>
      </w:r>
    </w:p>
    <w:p>
      <w:pPr>
        <w:spacing w:after="0" w:line="196" w:lineRule="exact"/>
        <w:rPr>
          <w:sz w:val="20"/>
          <w:szCs w:val="20"/>
          <w:color w:val="auto"/>
        </w:rPr>
      </w:pPr>
    </w:p>
    <w:p>
      <w:pPr>
        <w:ind w:left="1380" w:right="559" w:hanging="331"/>
        <w:spacing w:after="0" w:line="24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actions, filings and approvals for our current and future drug candidates, including our ability to obtain marketing approval for avapritinib and pralsetinib for additional indications or in additional geographies;</w:t>
      </w:r>
    </w:p>
    <w:p>
      <w:pPr>
        <w:spacing w:after="0" w:line="114" w:lineRule="exact"/>
        <w:rPr>
          <w:rFonts w:ascii="Arial" w:cs="Arial" w:eastAsia="Arial" w:hAnsi="Arial"/>
          <w:sz w:val="18"/>
          <w:szCs w:val="18"/>
          <w:color w:val="auto"/>
        </w:rPr>
      </w:pPr>
    </w:p>
    <w:p>
      <w:pPr>
        <w:ind w:left="1380" w:right="79" w:hanging="331"/>
        <w:spacing w:after="0" w:line="21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plans in continuing to build out our commercial infrastructure and successfully launching, marketing and selling AYVAKIT™ (avapritinib) (marketed in Europe under the brand name AYVAKYT</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GAVRETO</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(pralsetinib) and any current and future drug candidates for which we receive marketing approval;</w:t>
      </w:r>
    </w:p>
    <w:p>
      <w:pPr>
        <w:spacing w:after="0" w:line="109" w:lineRule="exact"/>
        <w:rPr>
          <w:rFonts w:ascii="Arial" w:cs="Arial" w:eastAsia="Arial" w:hAnsi="Arial"/>
          <w:sz w:val="18"/>
          <w:szCs w:val="18"/>
          <w:color w:val="auto"/>
        </w:rPr>
      </w:pPr>
    </w:p>
    <w:p>
      <w:pPr>
        <w:ind w:left="1380" w:right="41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AYVAKIT/AYVAKYT, GAVRETO and any current and future drug candidates for which we receive marketing approval;</w:t>
      </w:r>
    </w:p>
    <w:p>
      <w:pPr>
        <w:spacing w:after="0" w:line="103" w:lineRule="exact"/>
        <w:rPr>
          <w:rFonts w:ascii="Arial" w:cs="Arial" w:eastAsia="Arial" w:hAnsi="Arial"/>
          <w:sz w:val="18"/>
          <w:szCs w:val="18"/>
          <w:color w:val="auto"/>
        </w:rPr>
      </w:pPr>
    </w:p>
    <w:p>
      <w:pPr>
        <w:ind w:left="1380" w:right="29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AYVAKIT/AYVAKYT, GAVRETO and any current and future drug candidates for which we receive marketing approval;</w:t>
      </w:r>
    </w:p>
    <w:p>
      <w:pPr>
        <w:spacing w:after="0" w:line="103" w:lineRule="exact"/>
        <w:rPr>
          <w:rFonts w:ascii="Arial" w:cs="Arial" w:eastAsia="Arial" w:hAnsi="Arial"/>
          <w:sz w:val="18"/>
          <w:szCs w:val="18"/>
          <w:color w:val="auto"/>
        </w:rPr>
      </w:pPr>
    </w:p>
    <w:p>
      <w:pPr>
        <w:ind w:left="1380" w:right="419" w:hanging="331"/>
        <w:spacing w:after="0" w:line="24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clinical trials and any planned clinical trials for our current and future drug candidates and research and development programs;</w:t>
      </w:r>
    </w:p>
    <w:p>
      <w:pPr>
        <w:spacing w:after="0" w:line="100" w:lineRule="exact"/>
        <w:rPr>
          <w:rFonts w:ascii="Arial" w:cs="Arial" w:eastAsia="Arial" w:hAnsi="Arial"/>
          <w:sz w:val="18"/>
          <w:szCs w:val="18"/>
          <w:color w:val="auto"/>
        </w:rPr>
      </w:pPr>
    </w:p>
    <w:p>
      <w:pPr>
        <w:ind w:left="1380" w:hanging="331"/>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44" w:lineRule="exact"/>
        <w:rPr>
          <w:rFonts w:ascii="Arial" w:cs="Arial" w:eastAsia="Arial" w:hAnsi="Arial"/>
          <w:sz w:val="18"/>
          <w:szCs w:val="18"/>
          <w:color w:val="auto"/>
        </w:rPr>
      </w:pPr>
    </w:p>
    <w:p>
      <w:pPr>
        <w:ind w:left="1380" w:right="339" w:hanging="331"/>
        <w:spacing w:after="0" w:line="24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develop manufacturing processes for any of our current and future drugs or drug candidates and to secure manufacturing, packaging and labeling arrangements for development activities and commercial production;</w:t>
      </w:r>
    </w:p>
    <w:p>
      <w:pPr>
        <w:spacing w:after="0" w:line="114" w:lineRule="exact"/>
        <w:rPr>
          <w:rFonts w:ascii="Arial" w:cs="Arial" w:eastAsia="Arial" w:hAnsi="Arial"/>
          <w:sz w:val="18"/>
          <w:szCs w:val="18"/>
          <w:color w:val="auto"/>
        </w:rPr>
      </w:pPr>
    </w:p>
    <w:p>
      <w:pPr>
        <w:ind w:left="1380" w:right="27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drugs, drug candidates, platform and technology;</w:t>
      </w:r>
    </w:p>
    <w:p>
      <w:pPr>
        <w:spacing w:after="0" w:line="89" w:lineRule="exact"/>
        <w:rPr>
          <w:rFonts w:ascii="Arial" w:cs="Arial" w:eastAsia="Arial" w:hAnsi="Arial"/>
          <w:sz w:val="18"/>
          <w:szCs w:val="18"/>
          <w:color w:val="auto"/>
        </w:rPr>
      </w:pPr>
    </w:p>
    <w:p>
      <w:pPr>
        <w:ind w:left="1380" w:right="13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current and future drugs, drug candidates and technology;</w:t>
      </w:r>
    </w:p>
    <w:p>
      <w:pPr>
        <w:spacing w:after="0" w:line="103" w:lineRule="exact"/>
        <w:rPr>
          <w:rFonts w:ascii="Arial" w:cs="Arial" w:eastAsia="Arial" w:hAnsi="Arial"/>
          <w:sz w:val="18"/>
          <w:szCs w:val="18"/>
          <w:color w:val="auto"/>
        </w:rPr>
      </w:pPr>
    </w:p>
    <w:p>
      <w:pPr>
        <w:ind w:left="1380" w:right="119" w:hanging="331"/>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collaboration with F. Hoffmann-La Roche Ltd and Genentech, Inc. to develop and commercialize pralsetinib globally (excluding Greater China), our cancer immunotherapy collaboration with F. Hoffmann-La Roche Ltd and Hoffmann-La Roche Inc., and our collaboration with CStone Pharmaceuticals to develop and commercialize avapritinib, pralsetinib and fisogatinib in Greater China, as well as our ability to maintain these collaborations and establish additional strategic collaborations;</w:t>
      </w:r>
    </w:p>
    <w:p>
      <w:pPr>
        <w:spacing w:after="0" w:line="121" w:lineRule="exact"/>
        <w:rPr>
          <w:rFonts w:ascii="Arial" w:cs="Arial" w:eastAsia="Arial" w:hAnsi="Arial"/>
          <w:sz w:val="18"/>
          <w:szCs w:val="18"/>
          <w:color w:val="auto"/>
        </w:rPr>
      </w:pPr>
    </w:p>
    <w:p>
      <w:pPr>
        <w:ind w:left="1380" w:right="679" w:hanging="331"/>
        <w:spacing w:after="0" w:line="291" w:lineRule="auto"/>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benefits of our exclusive license agreement with Clementia Pharmaceuticals, Inc. to develop and commercialize BLU-782 for fibrodysplasia ossificans progressiva;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development of companion diagnostic tests for our current or future drugs or drug candidates;</w:t>
      </w:r>
    </w:p>
    <w:p>
      <w:pPr>
        <w:spacing w:after="0" w:line="155" w:lineRule="exact"/>
        <w:rPr>
          <w:rFonts w:ascii="Arial" w:cs="Arial" w:eastAsia="Arial" w:hAnsi="Arial"/>
          <w:sz w:val="17"/>
          <w:szCs w:val="17"/>
          <w:color w:val="auto"/>
        </w:rPr>
      </w:pPr>
    </w:p>
    <w:p>
      <w:pPr>
        <w:ind w:left="1380" w:right="259" w:hanging="331"/>
        <w:spacing w:after="0" w:line="291" w:lineRule="auto"/>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financial performance, estimates of our revenues, expenses and capital requirements and our needs for future financing, including our ability to achieve a self-sustainable financial profile;</w:t>
      </w:r>
    </w:p>
    <w:p>
      <w:pPr>
        <w:spacing w:after="0" w:line="79" w:lineRule="exact"/>
        <w:rPr>
          <w:rFonts w:ascii="Arial" w:cs="Arial" w:eastAsia="Arial" w:hAnsi="Arial"/>
          <w:sz w:val="17"/>
          <w:szCs w:val="17"/>
          <w:color w:val="auto"/>
        </w:rPr>
      </w:pPr>
    </w:p>
    <w:p>
      <w:pPr>
        <w:ind w:left="1380" w:hanging="331"/>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30" w:lineRule="exact"/>
        <w:rPr>
          <w:rFonts w:ascii="Arial" w:cs="Arial" w:eastAsia="Arial" w:hAnsi="Arial"/>
          <w:sz w:val="18"/>
          <w:szCs w:val="18"/>
          <w:color w:val="auto"/>
        </w:rPr>
      </w:pPr>
    </w:p>
    <w:p>
      <w:pPr>
        <w:ind w:left="1380" w:right="379" w:hanging="331"/>
        <w:spacing w:after="0" w:line="324" w:lineRule="auto"/>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actual or potential benefits of designations granted by the U.S. Food and Drug Administration, or FDA, such as orphan drug, fast track and breakthrough therapy designation or priority review; and</w:t>
      </w:r>
    </w:p>
    <w:p>
      <w:pPr>
        <w:spacing w:after="0" w:line="56" w:lineRule="exact"/>
        <w:rPr>
          <w:rFonts w:ascii="Arial" w:cs="Arial" w:eastAsia="Arial" w:hAnsi="Arial"/>
          <w:sz w:val="16"/>
          <w:szCs w:val="16"/>
          <w:color w:val="auto"/>
        </w:rPr>
      </w:pPr>
    </w:p>
    <w:p>
      <w:pPr>
        <w:ind w:left="1380" w:right="179" w:hanging="331"/>
        <w:spacing w:after="0" w:line="259" w:lineRule="auto"/>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and scope of the COVID-19 pandemic on our business, operations, strategy, goals and anticipated milestones, including our ongoing and planned research and discovery activities, ability to conduct ongoing and planned clinical trials, clinical supply of current or future drug candidates, and the launch, marketing, sale and commercial supply of AYVAKIT/AYVAKYT, GAVRETO and any current or future drug candidates for which we receive marketing approval.</w:t>
      </w:r>
    </w:p>
    <w:p>
      <w:pPr>
        <w:spacing w:after="0" w:line="106"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84"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55" w:lineRule="exact"/>
        <w:rPr>
          <w:sz w:val="20"/>
          <w:szCs w:val="20"/>
          <w:color w:val="auto"/>
        </w:rPr>
      </w:pPr>
    </w:p>
    <w:p>
      <w:pPr>
        <w:ind w:left="60" w:right="339" w:firstLine="648"/>
        <w:spacing w:after="0" w:line="254"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67"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8"/>
          <w:szCs w:val="18"/>
          <w:color w:val="auto"/>
        </w:rPr>
        <w:t>For purposes of this Quarterly Report on Form 10-Q, including the footnotes to our condensed consolidated financial statements, (i) with respect to our collaboration for pralsetinib, Roche means F. Hoffmann-La Roche Ltd and Genentech, Inc., and (ii) with respect to our cancer immunotherapy collaboration, Roche means F. Hoffmann-La Roche Ltd and Hoffmann-La Roche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6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6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697,966</w:t>
            </w:r>
          </w:p>
        </w:tc>
        <w:tc>
          <w:tcPr>
            <w:tcW w:w="380" w:type="dxa"/>
            <w:vAlign w:val="bottom"/>
            <w:gridSpan w:val="2"/>
            <w:shd w:val="clear" w:color="auto" w:fill="CCEEFF"/>
          </w:tcPr>
          <w:p>
            <w:pPr>
              <w:jc w:val="right"/>
              <w:ind w:right="6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684,636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rPr>
                <w:sz w:val="20"/>
                <w:szCs w:val="20"/>
                <w:color w:val="auto"/>
              </w:rPr>
            </w:pPr>
            <w:r>
              <w:rPr>
                <w:rFonts w:ascii="Arial" w:cs="Arial" w:eastAsia="Arial" w:hAnsi="Arial"/>
                <w:sz w:val="14"/>
                <w:szCs w:val="14"/>
                <w:color w:val="auto"/>
              </w:rPr>
              <w:t>Investments, available-for-sale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153,995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187,213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34,662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rPr>
                <w:sz w:val="20"/>
                <w:szCs w:val="20"/>
                <w:color w:val="auto"/>
              </w:rPr>
            </w:pPr>
            <w:r>
              <w:rPr>
                <w:rFonts w:ascii="Arial" w:cs="Arial" w:eastAsia="Arial" w:hAnsi="Arial"/>
                <w:sz w:val="14"/>
                <w:szCs w:val="14"/>
                <w:color w:val="auto"/>
              </w:rPr>
              <w:t>Unbilled accounts receivable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9,201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18,213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Inventory</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25,856</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937,710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927,759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Investments, available-for-sale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578,168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677,873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32,991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34,129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Operating lease right-of-use assets, net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65,987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67,539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1,625,387</w:t>
            </w: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1,718,393</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2,889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86,479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105,938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rPr>
                <w:sz w:val="20"/>
                <w:szCs w:val="20"/>
                <w:color w:val="auto"/>
              </w:rPr>
            </w:pPr>
            <w:r>
              <w:rPr>
                <w:rFonts w:ascii="Arial" w:cs="Arial" w:eastAsia="Arial" w:hAnsi="Arial"/>
                <w:sz w:val="14"/>
                <w:szCs w:val="14"/>
                <w:color w:val="auto"/>
              </w:rPr>
              <w:t>Current portion of operating lease liabilities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8,193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deferred revenue</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14,876</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Pr>
          <w:p>
            <w:pPr>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112,437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130,802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 net of current portion</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79,477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Deferred revenue, net of current portion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26,097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28,599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7,355</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Pr>
          <w:p>
            <w:pPr>
              <w:spacing w:after="0" w:line="155" w:lineRule="exact"/>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225,366</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248,305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Commitments (Note 15)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 $0.001 par value; 5,000,000 shares authorized; no shares issued and outstanding</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6600" w:type="dxa"/>
            <w:vAlign w:val="bottom"/>
          </w:tcPr>
          <w:p>
            <w:pPr>
              <w:spacing w:after="0" w:line="143" w:lineRule="exact"/>
              <w:rPr>
                <w:sz w:val="20"/>
                <w:szCs w:val="20"/>
                <w:color w:val="auto"/>
              </w:rPr>
            </w:pPr>
            <w:r>
              <w:rPr>
                <w:rFonts w:ascii="Arial" w:cs="Arial" w:eastAsia="Arial" w:hAnsi="Arial"/>
                <w:sz w:val="14"/>
                <w:szCs w:val="14"/>
                <w:color w:val="auto"/>
                <w:w w:val="93"/>
              </w:rPr>
              <w:t>Common stock, $0.001 par value; 120,000,000 shares authorized; 58,277,412 and 57,793,533 shares issued and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600" w:type="dxa"/>
            <w:vAlign w:val="bottom"/>
          </w:tcPr>
          <w:p>
            <w:pPr>
              <w:spacing w:after="0"/>
              <w:rPr>
                <w:sz w:val="20"/>
                <w:szCs w:val="20"/>
                <w:color w:val="auto"/>
              </w:rPr>
            </w:pPr>
            <w:r>
              <w:rPr>
                <w:rFonts w:ascii="Arial" w:cs="Arial" w:eastAsia="Arial" w:hAnsi="Arial"/>
                <w:sz w:val="14"/>
                <w:szCs w:val="14"/>
                <w:color w:val="auto"/>
              </w:rPr>
              <w:t>outstanding at March 31, 2021 and December 31, 2020, respectively</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2,136,130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2,106,600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(5,097)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(731,070)</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(631,356)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1,400,021</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1,470,088</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1,625,387</w:t>
            </w: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1,718,393</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67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7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Product revenue, net</w:t>
            </w:r>
          </w:p>
        </w:tc>
        <w:tc>
          <w:tcPr>
            <w:tcW w:w="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8,955</w:t>
            </w:r>
          </w:p>
        </w:tc>
        <w:tc>
          <w:tcPr>
            <w:tcW w:w="200" w:type="dxa"/>
            <w:vAlign w:val="bottom"/>
          </w:tcPr>
          <w:p>
            <w:pPr>
              <w:spacing w:after="0"/>
              <w:rPr>
                <w:sz w:val="17"/>
                <w:szCs w:val="17"/>
                <w:color w:val="auto"/>
              </w:rPr>
            </w:pPr>
          </w:p>
        </w:tc>
        <w:tc>
          <w:tcPr>
            <w:tcW w:w="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Collaboration revenue</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12,621</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2,709</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gridSpan w:val="2"/>
          </w:tcPr>
          <w:p>
            <w:pPr>
              <w:spacing w:after="0" w:line="196" w:lineRule="exact"/>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21,576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and operating expenses: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200"/>
              <w:spacing w:after="0" w:line="202" w:lineRule="exact"/>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79,710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84,146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670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42,002</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35,655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cost and operating expenses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121,814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119,825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income, net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(214)</w:t>
            </w:r>
          </w:p>
        </w:tc>
        <w:tc>
          <w:tcPr>
            <w:tcW w:w="28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96"/>
        </w:trPr>
        <w:tc>
          <w:tcPr>
            <w:tcW w:w="67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other income</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524</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2,703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(99,714)</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5"/>
              </w:rPr>
              <w:t>(110,955)</w:t>
            </w:r>
          </w:p>
        </w:tc>
        <w:tc>
          <w:tcPr>
            <w:tcW w:w="0" w:type="dxa"/>
            <w:vAlign w:val="bottom"/>
          </w:tcPr>
          <w:p>
            <w:pPr>
              <w:spacing w:after="0"/>
              <w:rPr>
                <w:sz w:val="1"/>
                <w:szCs w:val="1"/>
                <w:color w:val="auto"/>
              </w:rPr>
            </w:pPr>
          </w:p>
        </w:tc>
      </w:tr>
      <w:tr>
        <w:trPr>
          <w:trHeight w:val="183"/>
        </w:trPr>
        <w:tc>
          <w:tcPr>
            <w:tcW w:w="672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00" w:type="dxa"/>
            <w:vAlign w:val="bottom"/>
          </w:tcPr>
          <w:p>
            <w:pPr>
              <w:ind w:left="200"/>
              <w:spacing w:after="0" w:line="202" w:lineRule="exact"/>
              <w:rPr>
                <w:sz w:val="20"/>
                <w:szCs w:val="20"/>
                <w:color w:val="auto"/>
              </w:rPr>
            </w:pPr>
            <w:r>
              <w:rPr>
                <w:rFonts w:ascii="Arial" w:cs="Arial" w:eastAsia="Arial" w:hAnsi="Arial"/>
                <w:sz w:val="18"/>
                <w:szCs w:val="18"/>
                <w:color w:val="auto"/>
              </w:rPr>
              <w:t>Unrealized gain (losses) on available-for-sale investments</w:t>
            </w:r>
          </w:p>
        </w:tc>
        <w:tc>
          <w:tcPr>
            <w:tcW w:w="24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(400)</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2,492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517</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(99,597)</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5"/>
              </w:rPr>
              <w:t>(108,490)</w:t>
            </w:r>
          </w:p>
        </w:tc>
        <w:tc>
          <w:tcPr>
            <w:tcW w:w="0" w:type="dxa"/>
            <w:vAlign w:val="bottom"/>
          </w:tcPr>
          <w:p>
            <w:pPr>
              <w:spacing w:after="0"/>
              <w:rPr>
                <w:sz w:val="1"/>
                <w:szCs w:val="1"/>
                <w:color w:val="auto"/>
              </w:rPr>
            </w:pPr>
          </w:p>
        </w:tc>
      </w:tr>
      <w:tr>
        <w:trPr>
          <w:trHeight w:val="183"/>
        </w:trPr>
        <w:tc>
          <w:tcPr>
            <w:tcW w:w="672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8"/>
                <w:szCs w:val="18"/>
                <w:color w:val="auto"/>
              </w:rPr>
              <w:t>Net loss per share - basic and diluted</w:t>
            </w:r>
          </w:p>
        </w:tc>
        <w:tc>
          <w:tcPr>
            <w:tcW w:w="240" w:type="dxa"/>
            <w:vAlign w:val="bottom"/>
            <w:tcBorders>
              <w:bottom w:val="single" w:sz="8" w:color="auto"/>
            </w:tcBorders>
            <w:shd w:val="clear" w:color="auto" w:fill="CCEEFF"/>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w w:val="91"/>
              </w:rPr>
              <w:t>Weighted-average number of common shares used in net loss per share - basic and diluted</w:t>
            </w: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20" w:type="dxa"/>
            <w:vAlign w:val="bottom"/>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58,023</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52,655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ind w:left="444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7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60" w:right="59"/>
        <w:spacing w:after="0" w:line="246" w:lineRule="auto"/>
        <w:rPr>
          <w:sz w:val="20"/>
          <w:szCs w:val="20"/>
          <w:color w:val="auto"/>
        </w:rPr>
      </w:pPr>
      <w:r>
        <w:rPr>
          <w:rFonts w:ascii="Arial" w:cs="Arial" w:eastAsia="Arial" w:hAnsi="Arial"/>
          <w:sz w:val="18"/>
          <w:szCs w:val="18"/>
          <w:b w:val="1"/>
          <w:bCs w:val="1"/>
          <w:color w:val="auto"/>
        </w:rPr>
        <w:t xml:space="preserve">Blueprint Medicines Corporation Condensed Consolidated Statements of Stockholders’ Equity (in thousands, except share data) </w:t>
      </w:r>
      <w:r>
        <w:rPr>
          <w:rFonts w:ascii="Arial" w:cs="Arial" w:eastAsia="Arial" w:hAnsi="Arial"/>
          <w:sz w:val="18"/>
          <w:szCs w:val="18"/>
          <w:b w:val="1"/>
          <w:bCs w:val="1"/>
          <w:i w:val="1"/>
          <w:iCs w:val="1"/>
          <w:color w:val="auto"/>
        </w:rPr>
        <w:t>(Unaudited)</w:t>
      </w:r>
    </w:p>
    <w:p>
      <w:pPr>
        <w:spacing w:after="0" w:line="33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gridSpan w:val="4"/>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Paid-in</w:t>
            </w:r>
          </w:p>
        </w:tc>
        <w:tc>
          <w:tcPr>
            <w:tcW w:w="96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Comprehensive</w:t>
            </w: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Accumulated</w:t>
            </w:r>
          </w:p>
        </w:tc>
        <w:tc>
          <w:tcPr>
            <w:tcW w:w="8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Pr>
          <w:p>
            <w:pPr>
              <w:jc w:val="right"/>
              <w:ind w:right="97"/>
              <w:spacing w:after="0" w:line="144" w:lineRule="exact"/>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37"/>
              <w:spacing w:after="0" w:line="144" w:lineRule="exact"/>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2"/>
                <w:szCs w:val="12"/>
                <w:color w:val="auto"/>
              </w:rPr>
            </w:pPr>
          </w:p>
        </w:tc>
        <w:tc>
          <w:tcPr>
            <w:tcW w:w="7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5"/>
              </w:rPr>
              <w:t>Deficit</w:t>
            </w:r>
          </w:p>
        </w:tc>
        <w:tc>
          <w:tcPr>
            <w:tcW w:w="160" w:type="dxa"/>
            <w:vAlign w:val="bottom"/>
          </w:tcPr>
          <w:p>
            <w:pPr>
              <w:spacing w:after="0"/>
              <w:rPr>
                <w:sz w:val="12"/>
                <w:szCs w:val="12"/>
                <w:color w:val="auto"/>
              </w:rPr>
            </w:pPr>
          </w:p>
        </w:tc>
        <w:tc>
          <w:tcPr>
            <w:tcW w:w="7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2020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57,793,533</w:t>
            </w:r>
          </w:p>
        </w:tc>
        <w:tc>
          <w:tcPr>
            <w:tcW w:w="3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2,106,600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(631,356)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1,470,088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Issuance of common stock under stock plan</w:t>
            </w:r>
          </w:p>
        </w:tc>
        <w:tc>
          <w:tcPr>
            <w:tcW w:w="660" w:type="dxa"/>
            <w:vAlign w:val="bottom"/>
          </w:tcPr>
          <w:p>
            <w:pPr>
              <w:jc w:val="right"/>
              <w:spacing w:after="0"/>
              <w:rPr>
                <w:sz w:val="20"/>
                <w:szCs w:val="20"/>
                <w:color w:val="auto"/>
              </w:rPr>
            </w:pPr>
            <w:r>
              <w:rPr>
                <w:rFonts w:ascii="Arial" w:cs="Arial" w:eastAsia="Arial" w:hAnsi="Arial"/>
                <w:sz w:val="13"/>
                <w:szCs w:val="13"/>
                <w:color w:val="auto"/>
              </w:rPr>
              <w:t>483,879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8,318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8,318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line="142" w:lineRule="exact"/>
              <w:rPr>
                <w:sz w:val="20"/>
                <w:szCs w:val="20"/>
                <w:color w:val="auto"/>
              </w:rPr>
            </w:pPr>
            <w:r>
              <w:rPr>
                <w:rFonts w:ascii="Arial" w:cs="Arial" w:eastAsia="Arial" w:hAnsi="Arial"/>
                <w:sz w:val="13"/>
                <w:szCs w:val="13"/>
                <w:color w:val="auto"/>
              </w:rPr>
              <w:t>Balance at March 31, 2021</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58,277,412</w:t>
            </w:r>
          </w:p>
        </w:tc>
        <w:tc>
          <w:tcPr>
            <w:tcW w:w="1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58</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2,136,130</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(5,097)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(731,070)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1,400,021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0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Balance at December 31, 2019</w:t>
            </w:r>
          </w:p>
        </w:tc>
        <w:tc>
          <w:tcPr>
            <w:tcW w:w="660" w:type="dxa"/>
            <w:vAlign w:val="bottom"/>
          </w:tcPr>
          <w:p>
            <w:pPr>
              <w:jc w:val="right"/>
              <w:spacing w:after="0"/>
              <w:rPr>
                <w:sz w:val="20"/>
                <w:szCs w:val="20"/>
                <w:color w:val="auto"/>
              </w:rPr>
            </w:pPr>
            <w:r>
              <w:rPr>
                <w:rFonts w:ascii="Arial" w:cs="Arial" w:eastAsia="Arial" w:hAnsi="Arial"/>
                <w:sz w:val="13"/>
                <w:szCs w:val="13"/>
                <w:color w:val="auto"/>
                <w:w w:val="92"/>
              </w:rPr>
              <w:t>49,272,223</w:t>
            </w:r>
          </w:p>
        </w:tc>
        <w:tc>
          <w:tcPr>
            <w:tcW w:w="3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w w:val="96"/>
              </w:rPr>
              <w:t>49</w:t>
            </w:r>
          </w:p>
        </w:tc>
        <w:tc>
          <w:tcPr>
            <w:tcW w:w="1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1,412,083</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(2,534)</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(945,239)</w:t>
            </w:r>
          </w:p>
        </w:tc>
        <w:tc>
          <w:tcPr>
            <w:tcW w:w="1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464,359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under stock plan</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186,166</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17,026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17,026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Follow-on offering, net of issuance costs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4,710,144</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308,419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308,423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(110,955)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gridSpan w:val="2"/>
          </w:tcPr>
          <w:p>
            <w:pPr>
              <w:spacing w:after="0" w:line="142" w:lineRule="exact"/>
              <w:rPr>
                <w:sz w:val="20"/>
                <w:szCs w:val="20"/>
                <w:color w:val="auto"/>
              </w:rPr>
            </w:pPr>
            <w:r>
              <w:rPr>
                <w:rFonts w:ascii="Arial" w:cs="Arial" w:eastAsia="Arial" w:hAnsi="Arial"/>
                <w:sz w:val="13"/>
                <w:szCs w:val="13"/>
                <w:color w:val="auto"/>
              </w:rPr>
              <w:t>Balance at March 31, 2020</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54,168,533</w:t>
            </w:r>
          </w:p>
        </w:tc>
        <w:tc>
          <w:tcPr>
            <w:tcW w:w="1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54</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1,739,140</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(69)</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3"/>
              </w:rPr>
              <w:t>(1,056,194)</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682,931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6"/>
          </w:tcPr>
          <w:p>
            <w:pPr>
              <w:jc w:val="center"/>
              <w:ind w:right="7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5"/>
        </w:trPr>
        <w:tc>
          <w:tcPr>
            <w:tcW w:w="6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center"/>
              <w:ind w:left="472"/>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1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(99,714)</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(110,955)</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Noncash lease expense</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20,684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16,859</w:t>
            </w: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536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2"/>
        </w:trPr>
        <w:tc>
          <w:tcPr>
            <w:tcW w:w="6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Changes in assets and liabilities: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(27,613)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Unbilled accounts receivable</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9,013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Inventory</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(4,837)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Accounts payable</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(20,785)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(16,576)</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Deferred revenue</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Operating lease liabilities</w:t>
            </w:r>
          </w:p>
        </w:tc>
        <w:tc>
          <w:tcPr>
            <w:tcW w:w="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620"/>
              <w:spacing w:after="0" w:line="196" w:lineRule="exact"/>
              <w:rPr>
                <w:sz w:val="20"/>
                <w:szCs w:val="20"/>
                <w:color w:val="auto"/>
              </w:rPr>
            </w:pPr>
            <w:r>
              <w:rPr>
                <w:rFonts w:ascii="Arial" w:cs="Arial" w:eastAsia="Arial" w:hAnsi="Arial"/>
                <w:sz w:val="18"/>
                <w:szCs w:val="18"/>
                <w:color w:val="auto"/>
              </w:rPr>
              <w:t>Net cash used in operating activities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(125,778)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(109,328)</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Purchases of investments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(83,080)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95"/>
              </w:rPr>
              <w:t>(139,250)</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Maturities of investments</w:t>
            </w:r>
          </w:p>
        </w:tc>
        <w:tc>
          <w:tcPr>
            <w:tcW w:w="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215,450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200,635</w:t>
            </w:r>
          </w:p>
        </w:tc>
        <w:tc>
          <w:tcPr>
            <w:tcW w:w="0" w:type="dxa"/>
            <w:vAlign w:val="bottom"/>
          </w:tcPr>
          <w:p>
            <w:pPr>
              <w:spacing w:after="0"/>
              <w:rPr>
                <w:sz w:val="1"/>
                <w:szCs w:val="1"/>
                <w:color w:val="auto"/>
              </w:rPr>
            </w:pPr>
          </w:p>
        </w:tc>
      </w:tr>
      <w:tr>
        <w:trPr>
          <w:trHeight w:val="196"/>
        </w:trPr>
        <w:tc>
          <w:tcPr>
            <w:tcW w:w="6120" w:type="dxa"/>
            <w:vAlign w:val="bottom"/>
          </w:tcPr>
          <w:p>
            <w:pPr>
              <w:ind w:left="580"/>
              <w:spacing w:after="0" w:line="196" w:lineRule="exact"/>
              <w:rPr>
                <w:sz w:val="20"/>
                <w:szCs w:val="20"/>
                <w:color w:val="auto"/>
              </w:rPr>
            </w:pPr>
            <w:r>
              <w:rPr>
                <w:rFonts w:ascii="Arial" w:cs="Arial" w:eastAsia="Arial" w:hAnsi="Arial"/>
                <w:sz w:val="18"/>
                <w:szCs w:val="18"/>
                <w:color w:val="auto"/>
              </w:rPr>
              <w:t>Net cash provided by investing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132,197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59,860</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Proceeds from public offerings of common stock, net of issuance cost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308,541</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Net proceeds from stock option exercises and employee stock purchase plan</w:t>
            </w:r>
          </w:p>
        </w:tc>
        <w:tc>
          <w:tcPr>
            <w:tcW w:w="5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7,011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196"/>
        </w:trPr>
        <w:tc>
          <w:tcPr>
            <w:tcW w:w="6120" w:type="dxa"/>
            <w:vAlign w:val="bottom"/>
          </w:tcPr>
          <w:p>
            <w:pPr>
              <w:ind w:left="54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7,011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310,150</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260,682</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689,804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119,604</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w w:val="97"/>
              </w:rPr>
              <w:t>Effect of exchange rate changes on cash, cash equivalents and restricted cash</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6"/>
        </w:trPr>
        <w:tc>
          <w:tcPr>
            <w:tcW w:w="6120" w:type="dxa"/>
            <w:vAlign w:val="bottom"/>
          </w:tcPr>
          <w:p>
            <w:pPr>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703,137</w:t>
            </w:r>
          </w:p>
        </w:tc>
        <w:tc>
          <w:tcPr>
            <w:tcW w:w="200" w:type="dxa"/>
            <w:vAlign w:val="bottom"/>
          </w:tcPr>
          <w:p>
            <w:pPr>
              <w:spacing w:after="0"/>
              <w:rPr>
                <w:sz w:val="20"/>
                <w:szCs w:val="20"/>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380,336</w:t>
            </w: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Supplemental cash flow information</w:t>
            </w:r>
          </w:p>
        </w:tc>
        <w:tc>
          <w:tcPr>
            <w:tcW w:w="5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120" w:type="dxa"/>
            <w:vAlign w:val="bottom"/>
          </w:tcPr>
          <w:p>
            <w:pPr>
              <w:spacing w:after="0"/>
              <w:rPr>
                <w:sz w:val="20"/>
                <w:szCs w:val="20"/>
                <w:color w:val="auto"/>
              </w:rPr>
            </w:pPr>
            <w:r>
              <w:rPr>
                <w:rFonts w:ascii="Arial" w:cs="Arial" w:eastAsia="Arial" w:hAnsi="Arial"/>
                <w:sz w:val="18"/>
                <w:szCs w:val="18"/>
                <w:color w:val="auto"/>
              </w:rPr>
              <w:t>Public offering costs incurred but unpaid at period end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Property and equipment purchases unpaid at period end</w:t>
            </w: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443</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Cash paid for taxes, net</w:t>
            </w:r>
          </w:p>
        </w:tc>
        <w:tc>
          <w:tcPr>
            <w:tcW w:w="5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574</w:t>
            </w:r>
          </w:p>
        </w:tc>
        <w:tc>
          <w:tcPr>
            <w:tcW w:w="20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right="79" w:firstLine="648"/>
        <w:spacing w:after="0" w:line="248"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85"/>
        </w:trPr>
        <w:tc>
          <w:tcPr>
            <w:tcW w:w="6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r>
      <w:tr>
        <w:trPr>
          <w:trHeight w:val="155"/>
        </w:trPr>
        <w:tc>
          <w:tcPr>
            <w:tcW w:w="65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697,966</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375,168</w:t>
            </w:r>
          </w:p>
        </w:tc>
        <w:tc>
          <w:tcPr>
            <w:tcW w:w="80" w:type="dxa"/>
            <w:vAlign w:val="bottom"/>
            <w:shd w:val="clear" w:color="auto" w:fill="CCEEFF"/>
          </w:tcPr>
          <w:p>
            <w:pPr>
              <w:spacing w:after="0"/>
              <w:rPr>
                <w:sz w:val="13"/>
                <w:szCs w:val="13"/>
                <w:color w:val="auto"/>
              </w:rPr>
            </w:pPr>
          </w:p>
        </w:tc>
      </w:tr>
      <w:tr>
        <w:trPr>
          <w:trHeight w:val="162"/>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5,168</w:t>
            </w:r>
          </w:p>
        </w:tc>
        <w:tc>
          <w:tcPr>
            <w:tcW w:w="80" w:type="dxa"/>
            <w:vAlign w:val="bottom"/>
            <w:tcBorders>
              <w:bottom w:val="single" w:sz="8" w:color="CCEEFF"/>
            </w:tcBorders>
          </w:tcPr>
          <w:p>
            <w:pPr>
              <w:spacing w:after="0"/>
              <w:rPr>
                <w:sz w:val="14"/>
                <w:szCs w:val="14"/>
                <w:color w:val="auto"/>
              </w:rPr>
            </w:pPr>
          </w:p>
        </w:tc>
      </w:tr>
      <w:tr>
        <w:trPr>
          <w:trHeight w:val="155"/>
        </w:trPr>
        <w:tc>
          <w:tcPr>
            <w:tcW w:w="658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97"/>
              </w:rPr>
              <w:t>Total cash, cash equivalents, and restricted cash shown in condensed consolidated statements of cash flows</w:t>
            </w: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703,137</w:t>
            </w: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380,336</w:t>
            </w:r>
          </w:p>
        </w:tc>
        <w:tc>
          <w:tcPr>
            <w:tcW w:w="80" w:type="dxa"/>
            <w:vAlign w:val="bottom"/>
            <w:tcBorders>
              <w:bottom w:val="single" w:sz="8" w:color="CCEEFF"/>
            </w:tcBorders>
            <w:shd w:val="clear" w:color="auto" w:fill="CCEEFF"/>
          </w:tcPr>
          <w:p>
            <w:pPr>
              <w:spacing w:after="0"/>
              <w:rPr>
                <w:sz w:val="13"/>
                <w:szCs w:val="13"/>
                <w:color w:val="auto"/>
              </w:rPr>
            </w:pPr>
          </w:p>
        </w:tc>
      </w:tr>
      <w:tr>
        <w:trPr>
          <w:trHeight w:val="20"/>
        </w:trPr>
        <w:tc>
          <w:tcPr>
            <w:tcW w:w="6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16"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Blueprint Medicines Corporation (the Company), a Delaware corporation incorporated on October 14, 2008, is a precision therapy company focused on genomically defined cancers and hematologic disorders. The Company’s approach is to leverage its novel target discovery engine to systematically and reproducibly identify kinases that are drivers of diseases and to craft highly selective and potent drug candidates that may provide significant and durable clinical responses for patients without adequate treatment options.</w:t>
      </w:r>
    </w:p>
    <w:p>
      <w:pPr>
        <w:spacing w:after="0" w:line="189"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color w:val="auto"/>
        </w:rPr>
        <w:t>The Company has two approved precision therapies and is globally advancing multiple programs for genomically defined cancers, systemic mastocytosis, and cancer immunotherapy. The Company is devoting substantially all of its efforts to research and development for current and future drug candidates and commercialization of AYVAKIT/AYVAKYT, GAVRETO and any current or future drug candidates that obtain marketing approval.</w:t>
      </w:r>
    </w:p>
    <w:p>
      <w:pPr>
        <w:spacing w:after="0" w:line="155" w:lineRule="exact"/>
        <w:rPr>
          <w:sz w:val="20"/>
          <w:szCs w:val="20"/>
          <w:color w:val="auto"/>
        </w:rPr>
      </w:pPr>
    </w:p>
    <w:p>
      <w:pPr>
        <w:ind w:left="60" w:right="299" w:firstLine="648"/>
        <w:spacing w:after="0" w:line="243" w:lineRule="auto"/>
        <w:rPr>
          <w:sz w:val="20"/>
          <w:szCs w:val="20"/>
          <w:color w:val="auto"/>
        </w:rPr>
      </w:pPr>
      <w:r>
        <w:rPr>
          <w:rFonts w:ascii="Arial" w:cs="Arial" w:eastAsia="Arial" w:hAnsi="Arial"/>
          <w:sz w:val="18"/>
          <w:szCs w:val="18"/>
          <w:color w:val="auto"/>
        </w:rPr>
        <w:t xml:space="preserve">As of March 31, 2021, the Company had cash, cash equivalents and marketable securities of $1,430.1 million. Based on the Company’s current operating plans, the Company anticipates that its existing cash, cash equivalents and marketable securities will </w:t>
      </w:r>
      <w:r>
        <w:rPr>
          <w:rFonts w:ascii="Arial" w:cs="Arial" w:eastAsia="Arial" w:hAnsi="Arial"/>
          <w:sz w:val="18"/>
          <w:szCs w:val="18"/>
          <w:color w:val="212529"/>
        </w:rPr>
        <w:t>be sufficient to enable it to fund its current operations for at least the next twelve months from</w:t>
      </w:r>
      <w:r>
        <w:rPr>
          <w:rFonts w:ascii="Arial" w:cs="Arial" w:eastAsia="Arial" w:hAnsi="Arial"/>
          <w:sz w:val="18"/>
          <w:szCs w:val="18"/>
          <w:color w:val="auto"/>
        </w:rPr>
        <w:t xml:space="preserve"> </w:t>
      </w:r>
      <w:r>
        <w:rPr>
          <w:rFonts w:ascii="Arial" w:cs="Arial" w:eastAsia="Arial" w:hAnsi="Arial"/>
          <w:sz w:val="18"/>
          <w:szCs w:val="18"/>
          <w:color w:val="212529"/>
        </w:rPr>
        <w:t>the issuance of the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 and Recent Accounting Pronouncements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2020 and notes thereto included in the Company’s Annual Report on Form 10-K for the year ended December 31, 2020, filed with the SEC on February 17, 2021 (the 2020 Annual Report on Form 10-K).</w:t>
      </w:r>
    </w:p>
    <w:p>
      <w:pPr>
        <w:spacing w:after="0" w:line="184"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The unaudited interim condensed consolidated financial statements have been prepared on the same basis as the audited financial statements, and updated, as necessary, in this report. In the opinion of the Company’s management, the accompanying unaudited interim condensed consolidated financial statements contain all adjustments that are necessary to present fairly the Company’s financial position as of March 31, 2021, the results of its operations for the three months ended March 31, 2021 and 2020, stockholder’s equity for the three months ended March 31, 2021 and 2020 and cash flows for three months ended March 31, 2021 and 2020. Such adjustments are of a normal and recurring nature. The results for the three months ended March 31, 2021 are not necessarily indicative of the results for the year ending December 31, 2021 or for any future period.</w:t>
      </w:r>
    </w:p>
    <w:p>
      <w:pPr>
        <w:spacing w:after="0" w:line="181"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and Blueprint Medicines (Italy) S.r.L. All intercompany transactions and balances have been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inventory, operating lease right-of-use assets, operating lease liabilities, stock-based compensation expense, accrued expenses, and income taxes. The length of time and full extent to which the COVID-19 pandemic will directly or indirectly impact the Company’s business, results of operations and financial condition, including revenues, expenses, reserves and allowances, manufacturing, clinical trials, research and development costs and employee-related amounts, will depend on future developments that are highly uncertain, subject to change and difficult to predict, including as a result of new information that may emerge concerning COVID-19 and the actions taken to contain or treat COVID-19, as well as the economic impact thereof on local, regional, national and international customers and markets. The Company considers the impact of COVID-19 while making the estimates within its consolidated financial statements and there may be changes to those estimates in future periods. Actual results may differ from these estimates.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12" w:lineRule="exact"/>
        <w:rPr>
          <w:sz w:val="20"/>
          <w:szCs w:val="20"/>
          <w:color w:val="auto"/>
        </w:rPr>
      </w:pPr>
    </w:p>
    <w:p>
      <w:pPr>
        <w:ind w:left="60" w:right="279" w:firstLine="648"/>
        <w:spacing w:after="0" w:line="248"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months ended March 31, 2021 are consistent with those discussed in Note 2 to the consolidated financial statements in the 2020 Annual Report on Form 10-K.</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12" w:lineRule="exact"/>
        <w:rPr>
          <w:sz w:val="20"/>
          <w:szCs w:val="20"/>
          <w:color w:val="auto"/>
        </w:rPr>
      </w:pPr>
    </w:p>
    <w:p>
      <w:pPr>
        <w:jc w:val="both"/>
        <w:ind w:left="60" w:right="199" w:firstLine="648"/>
        <w:spacing w:after="0" w:line="294"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that the Company adopts as of the specified effective date. The Company does not believe that the adoption of recently issued standards have or may have a material impact on its condensed consolidated financial statements and disclosures.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98"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Certain items in the prior year’s condensed consolidated financial statements have been reclassified to conform to the current presentation.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Marketable securities</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Marketable securities consisted of the following at March 31, 2021 and December 31, 2020 (in thousands):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March 31, 2021</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3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1"/>
        </w:trPr>
        <w:tc>
          <w:tcPr>
            <w:tcW w:w="3580" w:type="dxa"/>
            <w:vAlign w:val="bottom"/>
            <w:tcBorders>
              <w:bottom w:val="single" w:sz="8" w:color="CCEEFF"/>
            </w:tcBorders>
            <w:gridSpan w:val="2"/>
            <w:vMerge w:val="continue"/>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Gain</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 available-for-sale:</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U.S. government agency securities</w:t>
            </w:r>
          </w:p>
        </w:tc>
        <w:tc>
          <w:tcPr>
            <w:tcW w:w="78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679,289</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380" w:type="dxa"/>
            <w:vAlign w:val="bottom"/>
            <w:gridSpan w:val="4"/>
          </w:tcPr>
          <w:p>
            <w:pPr>
              <w:jc w:val="right"/>
              <w:ind w:right="69"/>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679,583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obligations</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52,314</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52,580</w:t>
            </w: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731,603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643</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(83)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732,163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3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center"/>
              <w:ind w:right="15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1"/>
        </w:trPr>
        <w:tc>
          <w:tcPr>
            <w:tcW w:w="358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Gain</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 available-for-sale:</w:t>
            </w:r>
          </w:p>
        </w:tc>
        <w:tc>
          <w:tcPr>
            <w:tcW w:w="6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746,770</w:t>
            </w:r>
          </w:p>
        </w:tc>
        <w:tc>
          <w:tcPr>
            <w:tcW w:w="34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380" w:type="dxa"/>
            <w:vAlign w:val="bottom"/>
            <w:gridSpan w:val="4"/>
          </w:tcPr>
          <w:p>
            <w:pPr>
              <w:jc w:val="right"/>
              <w:ind w:right="89"/>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747,269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obligations</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117,368</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117,817</w:t>
            </w:r>
          </w:p>
        </w:tc>
        <w:tc>
          <w:tcPr>
            <w:tcW w:w="0" w:type="dxa"/>
            <w:vAlign w:val="bottom"/>
          </w:tcPr>
          <w:p>
            <w:pPr>
              <w:spacing w:after="0"/>
              <w:rPr>
                <w:sz w:val="1"/>
                <w:szCs w:val="1"/>
                <w:color w:val="auto"/>
              </w:rPr>
            </w:pPr>
          </w:p>
        </w:tc>
      </w:tr>
      <w:tr>
        <w:trPr>
          <w:trHeight w:val="196"/>
        </w:trPr>
        <w:tc>
          <w:tcPr>
            <w:tcW w:w="3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620" w:type="dxa"/>
            <w:vAlign w:val="bottom"/>
          </w:tcPr>
          <w:p>
            <w:pPr>
              <w:spacing w:after="0"/>
              <w:rPr>
                <w:sz w:val="17"/>
                <w:szCs w:val="17"/>
                <w:color w:val="auto"/>
              </w:rPr>
            </w:pPr>
          </w:p>
        </w:tc>
        <w:tc>
          <w:tcPr>
            <w:tcW w:w="16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864,138</w:t>
            </w:r>
          </w:p>
        </w:tc>
        <w:tc>
          <w:tcPr>
            <w:tcW w:w="180" w:type="dxa"/>
            <w:vAlign w:val="bottom"/>
          </w:tcPr>
          <w:p>
            <w:pPr>
              <w:spacing w:after="0"/>
              <w:rPr>
                <w:sz w:val="17"/>
                <w:szCs w:val="17"/>
                <w:color w:val="auto"/>
              </w:rPr>
            </w:pPr>
          </w:p>
        </w:tc>
        <w:tc>
          <w:tcPr>
            <w:tcW w:w="160" w:type="dxa"/>
            <w:vAlign w:val="bottom"/>
            <w:tcBorders>
              <w:top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962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200" w:type="dxa"/>
            <w:vAlign w:val="bottom"/>
            <w:tcBorders>
              <w:top w:val="single" w:sz="8" w:color="auto"/>
            </w:tcBorders>
            <w:gridSpan w:val="2"/>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865,086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76" w:lineRule="auto"/>
        <w:rPr>
          <w:sz w:val="20"/>
          <w:szCs w:val="20"/>
          <w:color w:val="auto"/>
        </w:rPr>
      </w:pPr>
      <w:r>
        <w:rPr>
          <w:rFonts w:ascii="Arial" w:cs="Arial" w:eastAsia="Arial" w:hAnsi="Arial"/>
          <w:sz w:val="16"/>
          <w:szCs w:val="16"/>
          <w:color w:val="auto"/>
        </w:rPr>
        <w:t>As of March 31, 2021, the Company held 12 debt securities that were in an unrealized loss position with an aggregate fair value of $169.0 million. As of December 31, 2020, the Company held 8 debt securities that were in an unrealized loss position with an aggregate fair value of $125.7 million. As of March 31, 2021 and December 31, 2020, there were no securities held by the Company in an unrealized loss position for more than twelve months. The Company has the intent and ability to hold such securities until recovery. As a result, the Company did not record any charges for credit-related impairments for its marketable debt securities for the three months ended March 31, 2021.</w:t>
      </w:r>
    </w:p>
    <w:p>
      <w:pPr>
        <w:spacing w:after="0" w:line="148" w:lineRule="exact"/>
        <w:rPr>
          <w:sz w:val="20"/>
          <w:szCs w:val="20"/>
          <w:color w:val="auto"/>
        </w:rPr>
      </w:pPr>
    </w:p>
    <w:p>
      <w:pPr>
        <w:ind w:left="60" w:right="359" w:firstLine="648"/>
        <w:spacing w:after="0" w:line="248" w:lineRule="auto"/>
        <w:rPr>
          <w:sz w:val="20"/>
          <w:szCs w:val="20"/>
          <w:color w:val="auto"/>
        </w:rPr>
      </w:pPr>
      <w:r>
        <w:rPr>
          <w:rFonts w:ascii="Arial" w:cs="Arial" w:eastAsia="Arial" w:hAnsi="Arial"/>
          <w:sz w:val="18"/>
          <w:szCs w:val="18"/>
          <w:color w:val="auto"/>
        </w:rPr>
        <w:t xml:space="preserve">As of March 31, 2021, 59 securities with an aggregate fair value of $578.2 million had remaining maturities between one year and five years. As of December 31, 2020, 65 </w:t>
      </w:r>
      <w:r>
        <w:rPr>
          <w:rFonts w:ascii="Arial" w:cs="Arial" w:eastAsia="Arial" w:hAnsi="Arial"/>
          <w:sz w:val="18"/>
          <w:szCs w:val="18"/>
          <w:color w:val="212529"/>
        </w:rPr>
        <w:t>securities with an aggregate fair value of $677.9 million</w:t>
      </w:r>
      <w:r>
        <w:rPr>
          <w:rFonts w:ascii="Arial" w:cs="Arial" w:eastAsia="Arial" w:hAnsi="Arial"/>
          <w:sz w:val="18"/>
          <w:szCs w:val="18"/>
          <w:color w:val="auto"/>
        </w:rPr>
        <w:t xml:space="preserve"> </w:t>
      </w:r>
      <w:r>
        <w:rPr>
          <w:rFonts w:ascii="Arial" w:cs="Arial" w:eastAsia="Arial" w:hAnsi="Arial"/>
          <w:sz w:val="18"/>
          <w:szCs w:val="18"/>
          <w:color w:val="212529"/>
        </w:rPr>
        <w:t>had remaining maturities between one year and five years.</w:t>
      </w:r>
    </w:p>
    <w:p>
      <w:pPr>
        <w:spacing w:after="0" w:line="168" w:lineRule="exact"/>
        <w:rPr>
          <w:sz w:val="20"/>
          <w:szCs w:val="20"/>
          <w:color w:val="auto"/>
        </w:rPr>
      </w:pPr>
    </w:p>
    <w:p>
      <w:pPr>
        <w:jc w:val="both"/>
        <w:ind w:left="60" w:right="179" w:firstLine="315"/>
        <w:spacing w:after="0" w:line="248" w:lineRule="auto"/>
        <w:rPr>
          <w:sz w:val="20"/>
          <w:szCs w:val="20"/>
          <w:color w:val="auto"/>
        </w:rPr>
      </w:pPr>
      <w:r>
        <w:rPr>
          <w:rFonts w:ascii="Arial" w:cs="Arial" w:eastAsia="Arial" w:hAnsi="Arial"/>
          <w:sz w:val="18"/>
          <w:szCs w:val="18"/>
          <w:color w:val="212529"/>
        </w:rPr>
        <w:t>The Company received proceeds of $215.5 million and $200.6 million from maturities of debt securities for the three months ended March 31, 2021 and 2020, respectively. The Company did not realize any gains or losses from maturities of debt securities for the three months ended March 31, 2021 and 2020.</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48" w:lineRule="exact"/>
        <w:rPr>
          <w:sz w:val="20"/>
          <w:szCs w:val="20"/>
          <w:color w:val="auto"/>
        </w:rPr>
      </w:pPr>
    </w:p>
    <w:p>
      <w:pPr>
        <w:ind w:left="60" w:right="199" w:firstLine="648"/>
        <w:spacing w:after="0" w:line="261" w:lineRule="auto"/>
        <w:rPr>
          <w:sz w:val="20"/>
          <w:szCs w:val="20"/>
          <w:color w:val="auto"/>
        </w:rPr>
      </w:pPr>
      <w:r>
        <w:rPr>
          <w:rFonts w:ascii="Arial" w:cs="Arial" w:eastAsia="Arial" w:hAnsi="Arial"/>
          <w:sz w:val="18"/>
          <w:szCs w:val="18"/>
          <w:color w:val="auto"/>
        </w:rPr>
        <w:t>The following table summarizes cash equivalents and marketable securities measured at fair value on a recurring basis as of March 31, 2021 (in thousands):</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Observable</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0"/>
              </w:rPr>
              <w:t>Unobservable</w:t>
            </w:r>
          </w:p>
        </w:tc>
      </w:tr>
      <w:tr>
        <w:trPr>
          <w:trHeight w:val="162"/>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16"/>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4"/>
                <w:szCs w:val="14"/>
                <w:b w:val="1"/>
                <w:bCs w:val="1"/>
                <w:color w:val="auto"/>
              </w:rPr>
              <w:t>Inputs</w:t>
            </w:r>
          </w:p>
        </w:tc>
      </w:tr>
      <w:tr>
        <w:trPr>
          <w:trHeight w:val="185"/>
        </w:trPr>
        <w:tc>
          <w:tcPr>
            <w:tcW w:w="396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r>
      <w:tr>
        <w:trPr>
          <w:trHeight w:val="223"/>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03"/>
        </w:trPr>
        <w:tc>
          <w:tcPr>
            <w:tcW w:w="3960" w:type="dxa"/>
            <w:vAlign w:val="bottom"/>
          </w:tcPr>
          <w:p>
            <w:pPr>
              <w:ind w:left="220"/>
              <w:spacing w:after="0" w:line="202" w:lineRule="exact"/>
              <w:rPr>
                <w:sz w:val="20"/>
                <w:szCs w:val="20"/>
                <w:color w:val="auto"/>
              </w:rPr>
            </w:pPr>
            <w:r>
              <w:rPr>
                <w:rFonts w:ascii="Arial" w:cs="Arial" w:eastAsia="Arial" w:hAnsi="Arial"/>
                <w:sz w:val="18"/>
                <w:szCs w:val="18"/>
                <w:color w:val="auto"/>
              </w:rPr>
              <w:t>Money market funds</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681,890</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5"/>
              </w:rPr>
              <w:t>681,890</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gridSpan w:val="2"/>
          </w:tcPr>
          <w:p>
            <w:pPr>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 available-for-sale:</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3960" w:type="dxa"/>
            <w:vAlign w:val="bottom"/>
          </w:tcPr>
          <w:p>
            <w:pPr>
              <w:ind w:left="220"/>
              <w:spacing w:after="0" w:line="202" w:lineRule="exact"/>
              <w:rPr>
                <w:sz w:val="20"/>
                <w:szCs w:val="20"/>
                <w:color w:val="auto"/>
              </w:rPr>
            </w:pPr>
            <w:r>
              <w:rPr>
                <w:rFonts w:ascii="Arial" w:cs="Arial" w:eastAsia="Arial" w:hAnsi="Arial"/>
                <w:sz w:val="18"/>
                <w:szCs w:val="18"/>
                <w:color w:val="auto"/>
              </w:rPr>
              <w:t>U.S. government agency securities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679,583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679,583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U.S. treasury obligations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52,580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52,580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r>
      <w:tr>
        <w:trPr>
          <w:trHeight w:val="196"/>
        </w:trPr>
        <w:tc>
          <w:tcPr>
            <w:tcW w:w="39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1,414,053</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734,470</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679,583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480"/>
              <w:spacing w:after="0" w:line="196" w:lineRule="exact"/>
              <w:rPr>
                <w:sz w:val="20"/>
                <w:szCs w:val="20"/>
                <w:color w:val="auto"/>
              </w:rPr>
            </w:pPr>
            <w:r>
              <w:rPr>
                <w:rFonts w:ascii="Arial" w:cs="Arial" w:eastAsia="Arial" w:hAnsi="Arial"/>
                <w:sz w:val="18"/>
                <w:szCs w:val="18"/>
                <w:color w:val="auto"/>
              </w:rPr>
              <w:t>—</w:t>
            </w: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99" w:firstLine="648"/>
        <w:spacing w:after="0" w:line="261" w:lineRule="auto"/>
        <w:rPr>
          <w:sz w:val="20"/>
          <w:szCs w:val="20"/>
          <w:color w:val="auto"/>
        </w:rPr>
      </w:pPr>
      <w:r>
        <w:rPr>
          <w:rFonts w:ascii="Arial" w:cs="Arial" w:eastAsia="Arial" w:hAnsi="Arial"/>
          <w:sz w:val="18"/>
          <w:szCs w:val="18"/>
          <w:color w:val="auto"/>
        </w:rPr>
        <w:t>The following table summarizes cash equivalents and marketable securities measured at fair value on a recurring basis as of December 31, 2020 (in thousands):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Observable</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0"/>
              </w:rPr>
              <w:t>Unobservable</w:t>
            </w:r>
          </w:p>
        </w:tc>
      </w:tr>
      <w:tr>
        <w:trPr>
          <w:trHeight w:val="162"/>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4"/>
                <w:szCs w:val="14"/>
                <w:b w:val="1"/>
                <w:bCs w:val="1"/>
                <w:color w:val="auto"/>
              </w:rPr>
              <w:t>Inputs</w:t>
            </w:r>
          </w:p>
        </w:tc>
      </w:tr>
      <w:tr>
        <w:trPr>
          <w:trHeight w:val="185"/>
        </w:trPr>
        <w:tc>
          <w:tcPr>
            <w:tcW w:w="396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r>
      <w:tr>
        <w:trPr>
          <w:trHeight w:val="223"/>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03"/>
        </w:trPr>
        <w:tc>
          <w:tcPr>
            <w:tcW w:w="3960" w:type="dxa"/>
            <w:vAlign w:val="bottom"/>
          </w:tcPr>
          <w:p>
            <w:pPr>
              <w:ind w:left="220"/>
              <w:spacing w:after="0" w:line="202" w:lineRule="exact"/>
              <w:rPr>
                <w:sz w:val="20"/>
                <w:szCs w:val="20"/>
                <w:color w:val="auto"/>
              </w:rPr>
            </w:pPr>
            <w:r>
              <w:rPr>
                <w:rFonts w:ascii="Arial" w:cs="Arial" w:eastAsia="Arial" w:hAnsi="Arial"/>
                <w:sz w:val="18"/>
                <w:szCs w:val="18"/>
                <w:color w:val="auto"/>
              </w:rPr>
              <w:t>Money market funds</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420,567</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5"/>
              </w:rPr>
              <w:t>420,567</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gridSpan w:val="2"/>
          </w:tcPr>
          <w:p>
            <w:pPr>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 available-for-sale: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3960" w:type="dxa"/>
            <w:vAlign w:val="bottom"/>
          </w:tcPr>
          <w:p>
            <w:pPr>
              <w:ind w:left="220"/>
              <w:spacing w:after="0" w:line="202" w:lineRule="exact"/>
              <w:rPr>
                <w:sz w:val="20"/>
                <w:szCs w:val="20"/>
                <w:color w:val="auto"/>
              </w:rPr>
            </w:pPr>
            <w:r>
              <w:rPr>
                <w:rFonts w:ascii="Arial" w:cs="Arial" w:eastAsia="Arial" w:hAnsi="Arial"/>
                <w:sz w:val="18"/>
                <w:szCs w:val="18"/>
                <w:color w:val="auto"/>
              </w:rPr>
              <w:t>U.S. government agency securities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747,269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747,269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U.S. treasury obligations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117,817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117,817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r>
      <w:tr>
        <w:trPr>
          <w:trHeight w:val="196"/>
        </w:trPr>
        <w:tc>
          <w:tcPr>
            <w:tcW w:w="39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1,285,653</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538,384</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747,269</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480"/>
              <w:spacing w:after="0" w:line="196" w:lineRule="exact"/>
              <w:rPr>
                <w:sz w:val="20"/>
                <w:szCs w:val="20"/>
                <w:color w:val="auto"/>
              </w:rPr>
            </w:pPr>
            <w:r>
              <w:rPr>
                <w:rFonts w:ascii="Arial" w:cs="Arial" w:eastAsia="Arial" w:hAnsi="Arial"/>
                <w:sz w:val="18"/>
                <w:szCs w:val="18"/>
                <w:color w:val="auto"/>
              </w:rPr>
              <w:t>—</w:t>
            </w: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Product Revenue Reserves and Allowances</w:t>
      </w:r>
    </w:p>
    <w:p>
      <w:pPr>
        <w:spacing w:after="0" w:line="216"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6"/>
          <w:szCs w:val="16"/>
          <w:color w:val="auto"/>
        </w:rPr>
        <w:t xml:space="preserve">In January 2020, the U.S. Food and Drug Administration (FDA) approved </w:t>
      </w:r>
      <w:r>
        <w:rPr>
          <w:rFonts w:ascii="Arial" w:cs="Arial" w:eastAsia="Arial" w:hAnsi="Arial"/>
          <w:sz w:val="16"/>
          <w:szCs w:val="16"/>
          <w:color w:val="0A0A0A"/>
          <w:highlight w:val="white"/>
        </w:rPr>
        <w:t>AYVAKIT</w:t>
      </w:r>
      <w:r>
        <w:rPr>
          <w:rFonts w:ascii="Arial" w:cs="Arial" w:eastAsia="Arial" w:hAnsi="Arial"/>
          <w:sz w:val="16"/>
          <w:szCs w:val="16"/>
          <w:color w:val="auto"/>
        </w:rPr>
        <w:t xml:space="preserve"> for the treatment of adults with unresectable or metastatic gastrointestinal stromal tumor (GIST) harboring a </w:t>
      </w:r>
      <w:r>
        <w:rPr>
          <w:rFonts w:ascii="Arial" w:cs="Arial" w:eastAsia="Arial" w:hAnsi="Arial"/>
          <w:sz w:val="16"/>
          <w:szCs w:val="16"/>
          <w:color w:val="0A0A0A"/>
          <w:highlight w:val="white"/>
        </w:rPr>
        <w:t>PDGFRA exon 18 mutation, including</w:t>
      </w:r>
      <w:r>
        <w:rPr>
          <w:rFonts w:ascii="Arial" w:cs="Arial" w:eastAsia="Arial" w:hAnsi="Arial"/>
          <w:sz w:val="16"/>
          <w:szCs w:val="16"/>
          <w:color w:val="auto"/>
        </w:rPr>
        <w:t xml:space="preserve"> </w:t>
      </w:r>
      <w:r>
        <w:rPr>
          <w:rFonts w:ascii="Arial" w:cs="Arial" w:eastAsia="Arial" w:hAnsi="Arial"/>
          <w:sz w:val="16"/>
          <w:szCs w:val="16"/>
          <w:color w:val="0A0A0A"/>
          <w:highlight w:val="white"/>
        </w:rPr>
        <w:t>PDGFRA D842V mutations</w:t>
      </w:r>
      <w:r>
        <w:rPr>
          <w:rFonts w:ascii="Arial" w:cs="Arial" w:eastAsia="Arial" w:hAnsi="Arial"/>
          <w:sz w:val="16"/>
          <w:szCs w:val="16"/>
          <w:color w:val="000000"/>
        </w:rPr>
        <w:t>. In September 2020, the FDA granted accelerated approval of GAVRETO for the treatment of</w:t>
      </w:r>
      <w:r>
        <w:rPr>
          <w:rFonts w:ascii="Arial" w:cs="Arial" w:eastAsia="Arial" w:hAnsi="Arial"/>
          <w:sz w:val="16"/>
          <w:szCs w:val="16"/>
          <w:color w:val="0A0A0A"/>
          <w:highlight w:val="white"/>
        </w:rPr>
        <w:t xml:space="preserve"> </w:t>
      </w:r>
      <w:r>
        <w:rPr>
          <w:rFonts w:ascii="Arial" w:cs="Arial" w:eastAsia="Arial" w:hAnsi="Arial"/>
          <w:sz w:val="16"/>
          <w:szCs w:val="16"/>
          <w:color w:val="000000"/>
        </w:rPr>
        <w:t>adult patients with metastatic RET fusion-positive non-small cell lung cancer (NSCLC) as detected by an FDA approved test, and the European Commission granted conditional marketing authorization to AYVAKYT as a monotherapy for the treatment of adult patients with unresectable or metastatic GIST harboring the PDGFRA D842V mutation. In December 2020, the FDA granted a subsequent accelerated approval for GAVRETO, expanding the labeled indications to include adult and pediatric patients 12 years of age and older with advanced or metastatic RET-mutant medullary thyroid cancer (MTC) who require systemic therapy, or with advanced or metastatic RET fusion-positive thyroid cancer who require systemic therapy and who are radioactive iodine-refractory (if radioactive iodine is appropriate).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648"/>
        <w:spacing w:after="0" w:line="294" w:lineRule="auto"/>
        <w:rPr>
          <w:sz w:val="20"/>
          <w:szCs w:val="20"/>
          <w:color w:val="auto"/>
        </w:rPr>
      </w:pPr>
      <w:r>
        <w:rPr>
          <w:rFonts w:ascii="Arial" w:cs="Arial" w:eastAsia="Arial" w:hAnsi="Arial"/>
          <w:sz w:val="16"/>
          <w:szCs w:val="16"/>
          <w:color w:val="auto"/>
        </w:rPr>
        <w:t>For the three months ended March 31, 2021, the Company generated aggregate net product revenue of $9.0 million from sales of AYVAKIT/AYVAKYT and GAVRETO. The following table summarizes activity in each of the product revenue allowance and reserve categories for the three months ended March 31, 2021 and 2020 (in thousands):</w:t>
      </w:r>
    </w:p>
    <w:p>
      <w:pPr>
        <w:spacing w:after="0" w:line="220" w:lineRule="exact"/>
        <w:rPr>
          <w:sz w:val="20"/>
          <w:szCs w:val="20"/>
          <w:color w:val="auto"/>
        </w:rPr>
      </w:pPr>
    </w:p>
    <w:p>
      <w:pPr>
        <w:ind w:left="696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3991610</wp:posOffset>
            </wp:positionH>
            <wp:positionV relativeFrom="paragraph">
              <wp:posOffset>15240</wp:posOffset>
            </wp:positionV>
            <wp:extent cx="16891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2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at January 1</w:t>
            </w: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Provision related to product sales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1,582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Credits and payments made</w:t>
            </w:r>
          </w:p>
        </w:tc>
        <w:tc>
          <w:tcPr>
            <w:tcW w:w="7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196"/>
        </w:trPr>
        <w:tc>
          <w:tcPr>
            <w:tcW w:w="6240" w:type="dxa"/>
            <w:vAlign w:val="bottom"/>
          </w:tcPr>
          <w:p>
            <w:pPr>
              <w:ind w:left="20"/>
              <w:spacing w:after="0" w:line="196" w:lineRule="exact"/>
              <w:rPr>
                <w:sz w:val="20"/>
                <w:szCs w:val="20"/>
                <w:color w:val="auto"/>
              </w:rPr>
            </w:pPr>
            <w:r>
              <w:rPr>
                <w:rFonts w:ascii="Arial" w:cs="Arial" w:eastAsia="Arial" w:hAnsi="Arial"/>
                <w:sz w:val="18"/>
                <w:szCs w:val="18"/>
                <w:color w:val="auto"/>
              </w:rPr>
              <w:t>Ending balance at March 31</w:t>
            </w:r>
          </w:p>
        </w:tc>
        <w:tc>
          <w:tcPr>
            <w:tcW w:w="780" w:type="dxa"/>
            <w:vAlign w:val="bottom"/>
            <w:tcBorders>
              <w:top w:val="single" w:sz="8" w:color="auto"/>
              <w:bottom w:val="single" w:sz="8" w:color="auto"/>
            </w:tcBorders>
          </w:tcPr>
          <w:p>
            <w:pPr>
              <w:jc w:val="right"/>
              <w:ind w:right="59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2,000</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488</w:t>
            </w:r>
          </w:p>
        </w:tc>
      </w:tr>
      <w:tr>
        <w:trPr>
          <w:trHeight w:val="20"/>
        </w:trPr>
        <w:tc>
          <w:tcPr>
            <w:tcW w:w="6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0" w:right="579" w:firstLine="648"/>
        <w:spacing w:after="0" w:line="261" w:lineRule="auto"/>
        <w:rPr>
          <w:sz w:val="20"/>
          <w:szCs w:val="20"/>
          <w:color w:val="auto"/>
        </w:rPr>
      </w:pPr>
      <w:r>
        <w:rPr>
          <w:rFonts w:ascii="Arial" w:cs="Arial" w:eastAsia="Arial" w:hAnsi="Arial"/>
          <w:sz w:val="18"/>
          <w:szCs w:val="18"/>
          <w:color w:val="auto"/>
        </w:rPr>
        <w:t>The total reserves that are included in the Company’s unaudited condensed consolidated balance sheets, are summarized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6"/>
                <w:szCs w:val="16"/>
                <w:color w:val="auto"/>
              </w:rPr>
            </w:pPr>
          </w:p>
        </w:tc>
        <w:tc>
          <w:tcPr>
            <w:tcW w:w="112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December 31,</w:t>
            </w:r>
          </w:p>
        </w:tc>
      </w:tr>
      <w:tr>
        <w:trPr>
          <w:trHeight w:val="228"/>
        </w:trPr>
        <w:tc>
          <w:tcPr>
            <w:tcW w:w="6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r>
      <w:tr>
        <w:trPr>
          <w:trHeight w:val="20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of accounts receivable,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Component of accrued expenses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r>
      <w:tr>
        <w:trPr>
          <w:trHeight w:val="196"/>
        </w:trPr>
        <w:tc>
          <w:tcPr>
            <w:tcW w:w="6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revenue-related reserves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1,192</w:t>
            </w: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Inventory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Capitalized inventory consists of the following at March 31, 2021 and December 31, 2020 (in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5"/>
        </w:trPr>
        <w:tc>
          <w:tcPr>
            <w:tcW w:w="67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Work in process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16,243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9,488</w:t>
            </w: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17,243</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Balance sheet classification</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39"/>
        </w:trPr>
        <w:tc>
          <w:tcPr>
            <w:tcW w:w="6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7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16,030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1,213</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17,243</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59" w:firstLine="648"/>
        <w:spacing w:after="0" w:line="294" w:lineRule="auto"/>
        <w:rPr>
          <w:sz w:val="20"/>
          <w:szCs w:val="20"/>
          <w:color w:val="auto"/>
        </w:rPr>
      </w:pPr>
      <w:r>
        <w:rPr>
          <w:rFonts w:ascii="Arial" w:cs="Arial" w:eastAsia="Arial" w:hAnsi="Arial"/>
          <w:sz w:val="16"/>
          <w:szCs w:val="16"/>
          <w:color w:val="auto"/>
        </w:rPr>
        <w:t>Inventory amounts written down as a result of excess, obsolescence, unmarketability or other reasons are charged to cost of sales and there was no such written down for the three months ended March 31, 2021 and 2020. Long-term inventory, which primarily consists of work in process, is included in other assets in the consolidated balance sheets.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Restricted Cash</w:t>
      </w:r>
    </w:p>
    <w:p>
      <w:pPr>
        <w:spacing w:after="0" w:line="216"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7"/>
          <w:szCs w:val="17"/>
          <w:color w:val="auto"/>
        </w:rPr>
        <w:t>At March 31, 2021 and December 31, 2020, $5.2 million and $5.2 million, respectively, of the Company’s cash is restricted by a bank primarily related to security deposits for the Company’s building lease agreements.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Property and Equipment, Net</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and related accumulated depreciation are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Estimated</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504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9"/>
                <w:szCs w:val="19"/>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December 31,</w:t>
            </w:r>
          </w:p>
        </w:tc>
      </w:tr>
      <w:tr>
        <w:trPr>
          <w:trHeight w:val="201"/>
        </w:trPr>
        <w:tc>
          <w:tcPr>
            <w:tcW w:w="504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7"/>
                <w:szCs w:val="17"/>
                <w:color w:val="auto"/>
              </w:rPr>
            </w:pPr>
          </w:p>
        </w:tc>
        <w:tc>
          <w:tcPr>
            <w:tcW w:w="100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33"/>
              <w:spacing w:after="0"/>
              <w:rPr>
                <w:sz w:val="20"/>
                <w:szCs w:val="20"/>
                <w:color w:val="auto"/>
              </w:rPr>
            </w:pPr>
            <w:r>
              <w:rPr>
                <w:rFonts w:ascii="Arial" w:cs="Arial" w:eastAsia="Arial" w:hAnsi="Arial"/>
                <w:sz w:val="14"/>
                <w:szCs w:val="14"/>
                <w:b w:val="1"/>
                <w:bCs w:val="1"/>
                <w:color w:val="auto"/>
              </w:rPr>
              <w:t>2020</w:t>
            </w:r>
          </w:p>
        </w:tc>
      </w:tr>
      <w:tr>
        <w:trPr>
          <w:trHeight w:val="196"/>
        </w:trPr>
        <w:tc>
          <w:tcPr>
            <w:tcW w:w="50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Lab equipment</w:t>
            </w:r>
          </w:p>
        </w:tc>
        <w:tc>
          <w:tcPr>
            <w:tcW w:w="1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5</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11,729</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11,418</w:t>
            </w: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3,415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3,420</w:t>
            </w: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1,513</w:t>
            </w: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30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87"/>
              </w:rPr>
              <w:t>Term of lease</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36,944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36,946</w:t>
            </w: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Software</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w:t>
            </w:r>
          </w:p>
        </w:tc>
      </w:tr>
      <w:tr>
        <w:trPr>
          <w:trHeight w:val="203"/>
        </w:trPr>
        <w:tc>
          <w:tcPr>
            <w:tcW w:w="50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Construction-in-progress</w:t>
            </w:r>
          </w:p>
        </w:tc>
        <w:tc>
          <w:tcPr>
            <w:tcW w:w="10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232</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w:t>
            </w: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cost</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54,287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53,860</w:t>
            </w: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(21,296)</w:t>
            </w: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(19,731)</w:t>
            </w:r>
          </w:p>
        </w:tc>
      </w:tr>
      <w:tr>
        <w:trPr>
          <w:trHeight w:val="196"/>
        </w:trPr>
        <w:tc>
          <w:tcPr>
            <w:tcW w:w="50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32,991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34,129</w:t>
            </w:r>
          </w:p>
        </w:tc>
      </w:tr>
      <w:tr>
        <w:trPr>
          <w:trHeight w:val="20"/>
        </w:trPr>
        <w:tc>
          <w:tcPr>
            <w:tcW w:w="5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299" w:firstLine="648"/>
        <w:spacing w:after="0" w:line="248" w:lineRule="auto"/>
        <w:rPr>
          <w:sz w:val="20"/>
          <w:szCs w:val="20"/>
          <w:color w:val="auto"/>
        </w:rPr>
      </w:pPr>
      <w:r>
        <w:rPr>
          <w:rFonts w:ascii="Arial" w:cs="Arial" w:eastAsia="Arial" w:hAnsi="Arial"/>
          <w:sz w:val="18"/>
          <w:szCs w:val="18"/>
          <w:color w:val="auto"/>
        </w:rPr>
        <w:t>Property, plant and equipment are recorded at historical cost, net of accumulated depreciation. For the three months ended March 31, 2021, depreciation expense totaled $1.6 million, compared to $1.6 million for the three months ended March 31, 2020.</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Accrued Expenses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67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development and commercial contract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56,049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60,255</w:t>
            </w:r>
          </w:p>
        </w:tc>
        <w:tc>
          <w:tcPr>
            <w:tcW w:w="80" w:type="dxa"/>
            <w:vAlign w:val="bottom"/>
            <w:shd w:val="clear" w:color="auto" w:fill="CCEEFF"/>
          </w:tcPr>
          <w:p>
            <w:pPr>
              <w:spacing w:after="0"/>
              <w:rPr>
                <w:sz w:val="17"/>
                <w:szCs w:val="17"/>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Employee compensation</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11,327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27,622</w:t>
            </w:r>
          </w:p>
        </w:tc>
        <w:tc>
          <w:tcPr>
            <w:tcW w:w="80" w:type="dxa"/>
            <w:vAlign w:val="bottom"/>
          </w:tcPr>
          <w:p>
            <w:pPr>
              <w:spacing w:after="0"/>
              <w:rPr>
                <w:sz w:val="19"/>
                <w:szCs w:val="19"/>
                <w:color w:val="auto"/>
              </w:rPr>
            </w:pPr>
          </w:p>
        </w:tc>
      </w:tr>
      <w:tr>
        <w:trPr>
          <w:trHeight w:val="203"/>
        </w:trPr>
        <w:tc>
          <w:tcPr>
            <w:tcW w:w="6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professional fees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11,797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10,986</w:t>
            </w:r>
          </w:p>
        </w:tc>
        <w:tc>
          <w:tcPr>
            <w:tcW w:w="80" w:type="dxa"/>
            <w:vAlign w:val="bottom"/>
            <w:shd w:val="clear" w:color="auto" w:fill="CCEEFF"/>
          </w:tcPr>
          <w:p>
            <w:pPr>
              <w:spacing w:after="0"/>
              <w:rPr>
                <w:sz w:val="17"/>
                <w:szCs w:val="17"/>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Revenue-related reserves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19"/>
                <w:szCs w:val="19"/>
                <w:color w:val="auto"/>
              </w:rPr>
            </w:pPr>
          </w:p>
        </w:tc>
      </w:tr>
      <w:tr>
        <w:trPr>
          <w:trHeight w:val="203"/>
        </w:trPr>
        <w:tc>
          <w:tcPr>
            <w:tcW w:w="6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5,657</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6,109</w:t>
            </w:r>
          </w:p>
        </w:tc>
        <w:tc>
          <w:tcPr>
            <w:tcW w:w="80" w:type="dxa"/>
            <w:vAlign w:val="bottom"/>
            <w:shd w:val="clear" w:color="auto" w:fill="CCEEFF"/>
          </w:tcPr>
          <w:p>
            <w:pPr>
              <w:spacing w:after="0"/>
              <w:rPr>
                <w:sz w:val="17"/>
                <w:szCs w:val="17"/>
                <w:color w:val="auto"/>
              </w:rPr>
            </w:pPr>
          </w:p>
        </w:tc>
      </w:tr>
      <w:tr>
        <w:trPr>
          <w:trHeight w:val="196"/>
        </w:trPr>
        <w:tc>
          <w:tcPr>
            <w:tcW w:w="67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86,479</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105,938</w:t>
            </w:r>
          </w:p>
        </w:tc>
        <w:tc>
          <w:tcPr>
            <w:tcW w:w="80" w:type="dxa"/>
            <w:vAlign w:val="bottom"/>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Collaboration and License Agreements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Roche – Pralsetinib Collaboration</w:t>
      </w:r>
    </w:p>
    <w:p>
      <w:pPr>
        <w:spacing w:after="0" w:line="212" w:lineRule="exact"/>
        <w:rPr>
          <w:sz w:val="20"/>
          <w:szCs w:val="20"/>
          <w:color w:val="auto"/>
        </w:rPr>
      </w:pPr>
    </w:p>
    <w:p>
      <w:pPr>
        <w:ind w:left="60" w:right="219" w:firstLine="648"/>
        <w:spacing w:after="0"/>
        <w:rPr>
          <w:sz w:val="20"/>
          <w:szCs w:val="20"/>
          <w:color w:val="auto"/>
        </w:rPr>
      </w:pPr>
      <w:r>
        <w:rPr>
          <w:rFonts w:ascii="Arial" w:cs="Arial" w:eastAsia="Arial" w:hAnsi="Arial"/>
          <w:sz w:val="18"/>
          <w:szCs w:val="18"/>
          <w:color w:val="auto"/>
        </w:rPr>
        <w:t>On July 13,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In addition, Roche has the right to opt in to a next-generation RET compound co-developed by the Company and Roche.</w:t>
      </w:r>
    </w:p>
    <w:p>
      <w:pPr>
        <w:spacing w:after="0" w:line="189" w:lineRule="exact"/>
        <w:rPr>
          <w:sz w:val="20"/>
          <w:szCs w:val="20"/>
          <w:color w:val="auto"/>
        </w:rPr>
      </w:pPr>
    </w:p>
    <w:p>
      <w:pPr>
        <w:ind w:left="60" w:right="239" w:firstLine="648"/>
        <w:spacing w:after="0" w:line="279" w:lineRule="auto"/>
        <w:rPr>
          <w:sz w:val="20"/>
          <w:szCs w:val="20"/>
          <w:color w:val="auto"/>
        </w:rPr>
      </w:pPr>
      <w:r>
        <w:rPr>
          <w:rFonts w:ascii="Arial" w:cs="Arial" w:eastAsia="Arial" w:hAnsi="Arial"/>
          <w:sz w:val="16"/>
          <w:szCs w:val="16"/>
          <w:color w:val="auto"/>
        </w:rPr>
        <w:t>Under the Roche pralsetinib collaboration agreement, the Company received an upfront cash payment of $675.0 million, and through March 31, 2021, the Company has received a total of $55.0 million in specified regulatory and commercialization milestones. In addition to upfront and milestone payments received through March 31, 2021, the Company is eligible to receive up to $872.0 million in contingent payments, including specified development, regulatory and sales-based milestones for pralsetinib and any licensed product containing a next-generation RET compound.</w:t>
      </w:r>
    </w:p>
    <w:p>
      <w:pPr>
        <w:spacing w:after="0" w:line="159"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color w:val="auto"/>
        </w:rPr>
        <w:t>In the U.S., the Company and Roche will work together to co-commercialize pralsetinib and will equally share responsibilities, profits and losses. In addition, the Company is eligible to receive tiered royalties ranging from high-teens to mid-twenties on annual net sales of pralsetinib outside the U.S., excluding Greater China (the Roche territory). The Company and Roche have also agreed to co-develop pralsetinib globally in RET-altered solid tumors, including</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non-small cell lung cancer, medullary thyroid carcinoma and other thyroid cancers, as well as other solid tumors. The Company and Roche will share global development costs for pralsetinib at a rate of 45 percent for the Company and 55 percent for Roche up to a specified amount of aggregate joint development costs, after which the Company’s share of global development costs for pralsetinib will be reduced by a specified percentage. The Company and Roche will also share specified global development costs for any next-generation RET compound co-developed under the collaboration in a similar manner.</w:t>
      </w:r>
    </w:p>
    <w:p>
      <w:pPr>
        <w:spacing w:after="0" w:line="189"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7"/>
          <w:szCs w:val="17"/>
          <w:color w:val="auto"/>
        </w:rPr>
        <w:t>Unless earlier terminated in accordance with its terms, the Roche pralsetinib collaboration agreement will expire on a licensed product-by-licensed product basis (i) in the U.S. upon the expiration of the gross profit sharing term for such licensed product and (ii) outside the U.S. on a country-by-country basis at the end of the applicable royalty term for such licensed product. Roche may terminate the agreement in its entirety or on a licensed product-by-licensed product or country-by-country basis subject to certain notice periods. Either party may terminate the Roche pralsetinib collaboration agreement for the other party’s uncured material breach or insolvency. Subject to the terms of the Roche pralsetinib collaboration agreement, effective upon termination of the agreement, the Company is entitled to retain specified licenses to be able to continue to exploit the licensed products.</w:t>
      </w:r>
    </w:p>
    <w:p>
      <w:pPr>
        <w:spacing w:after="0" w:line="181"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In connection with the Roche collaboration agreement, on July 13, 2020, the Company also entered into a stock purchase agreement with Roche Holdings, Inc. (Roche Holdings) pursuant to which the Company issued and sold an aggregate of 1,035,519 of shares of common stock to Roche Holdings at a purchase price of $96.57 per share and received $100.0 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spacing w:after="0" w:line="189"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The Company considered the ASC 606 criteria for combining contracts and determined that the Roche pralsetinib collaboration agreement and stock purchase agreement should be combined into a single contract because they were negotiated and entered into in contemplation of one another. The Company accounted for the common stock issued to Roche Holdings based on the fair market value of the common stock on the dates of issuance. The fair market value of the common stock issued to Roche Holdings was $79.3 million, based on the closing price of the Company’s common stock on the dates of issuance, resulting in a $20.7 million premium. The Company determined that the premium paid by Roche Holdings for the common stock should be attributed to the transaction price of the Roche pralsetinib collaboration agreement.</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determined that the Roche pralsetinib collaboration agreement contained four material components:</w:t>
      </w:r>
    </w:p>
    <w:p>
      <w:pPr>
        <w:spacing w:after="0" w:line="35" w:lineRule="exact"/>
        <w:rPr>
          <w:sz w:val="20"/>
          <w:szCs w:val="20"/>
          <w:color w:val="auto"/>
        </w:rPr>
      </w:pPr>
    </w:p>
    <w:p>
      <w:pPr>
        <w:ind w:left="60" w:right="199" w:hanging="10"/>
        <w:spacing w:after="0" w:line="270" w:lineRule="auto"/>
        <w:tabs>
          <w:tab w:leader="none" w:pos="275" w:val="left"/>
        </w:tabs>
        <w:numPr>
          <w:ilvl w:val="0"/>
          <w:numId w:val="5"/>
        </w:numPr>
        <w:rPr>
          <w:rFonts w:ascii="Arial" w:cs="Arial" w:eastAsia="Arial" w:hAnsi="Arial"/>
          <w:sz w:val="16"/>
          <w:szCs w:val="16"/>
          <w:color w:val="auto"/>
        </w:rPr>
      </w:pPr>
      <w:r>
        <w:rPr>
          <w:rFonts w:ascii="Arial" w:cs="Arial" w:eastAsia="Arial" w:hAnsi="Arial"/>
          <w:sz w:val="16"/>
          <w:szCs w:val="16"/>
          <w:color w:val="auto"/>
        </w:rPr>
        <w:t>licenses granted to Roche to develop and commercialize pralsetinib worldwide, excluding the CStone territory (pralsetinib license); (ii) the Roche territory-specific commercialization activities for pralsetinib, including manufacturing Roche territory activities); (iii) the parties’ joint development activities for pralsetinib worldwide, excluding the CStone territory; and (iv) the parties’ joint commercialization activities for pralsetinib in the U.S. The Company considered the guidance in ASC 606 to determine which of the components of the Roche pralsetinib collaboration agreement are performance obligations with a customer and concluded that the pralsetinib license and the Roche territory activities are within the scope of ASC 606 because Roche is the Company’s customer in those transactions.</w:t>
      </w:r>
    </w:p>
    <w:p>
      <w:pPr>
        <w:spacing w:after="0" w:line="169" w:lineRule="exact"/>
        <w:rPr>
          <w:sz w:val="20"/>
          <w:szCs w:val="20"/>
          <w:color w:val="auto"/>
        </w:rPr>
      </w:pPr>
    </w:p>
    <w:p>
      <w:pPr>
        <w:ind w:left="60" w:right="99" w:firstLine="648"/>
        <w:spacing w:after="0" w:line="243" w:lineRule="auto"/>
        <w:rPr>
          <w:sz w:val="20"/>
          <w:szCs w:val="20"/>
          <w:color w:val="auto"/>
        </w:rPr>
      </w:pPr>
      <w:r>
        <w:rPr>
          <w:rFonts w:ascii="Arial" w:cs="Arial" w:eastAsia="Arial" w:hAnsi="Arial"/>
          <w:sz w:val="18"/>
          <w:szCs w:val="18"/>
          <w:color w:val="auto"/>
        </w:rPr>
        <w:t>The Company evaluated the Roche pralsetinib license under ASC 606 and concluded that the pralsetinib license is a functional intellectual property license and is a distinct performance obligation. The Company determined that Roche benefited from the pralsetinib license at the time of grant, and therefore the related performance obligation is satisfied at a point in time.</w:t>
      </w:r>
    </w:p>
    <w:p>
      <w:pPr>
        <w:spacing w:after="0" w:line="188"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The Company evaluated the Roche territory activities under ASC 606 and identified one material promise associated with manufacturing activities related to development and commercial supply of pralsetinib in the Roche territory for up to 24 months. Given that Roche is not obligated to purchase any minimum amount or quantities of the development and commercial supply from the Company, the Company concluded that, for the purpose of ASC 606, the provision of manufacturing activities related to development and commercial supply of pralsetinib in Roche territory was an option but not a performance obligation of the Company at the inception of the Roche collaboration agreement and will be accounted for if and when exercised. The Company also concluded that there is no separate material right in connection with the development and commercial supply of pralsetinib, as the expected pricing was not issued at a significant and incremental discount. Therefore, the manufacturing activities were excluded as performance obligations</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94" w:lineRule="auto"/>
        <w:rPr>
          <w:sz w:val="20"/>
          <w:szCs w:val="20"/>
          <w:color w:val="auto"/>
        </w:rPr>
      </w:pPr>
      <w:r>
        <w:rPr>
          <w:rFonts w:ascii="Arial" w:cs="Arial" w:eastAsia="Arial" w:hAnsi="Arial"/>
          <w:sz w:val="16"/>
          <w:szCs w:val="16"/>
          <w:color w:val="auto"/>
        </w:rPr>
        <w:t>at the outset of the arrangement. Additionally, the Company is entitled to sales milestones and royalties from Roche upon future sales of pralsetinib in the Roche territory, and revenue will be recognized when the related sales occur. Costs that are incurred associated with the Roche territory activities are reimbursable from Roche and are recognized as revenue.</w:t>
      </w:r>
    </w:p>
    <w:p>
      <w:pPr>
        <w:spacing w:after="0" w:line="147"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For the purposes of ASC 606, the transaction price of the Roche collaboration agreement at the outset of the arrangement was determined to be $695.7 million, which consisted of the upfront cash payment of $675.0 million and the $20.7 million premium on the sale of common stock to Roche Holdings, which was allocated to the performance obligation related to the pralsetinib licenses. Through March 31, 2021, the Company has achieved $55.0 million in specified regulatory and commercialization milestones and added the $55.0 million to the estimated transaction price of the Roche pralsetinib agreement. The other potential milestone payments that the Company is eligible to receive under the Roche pralsetinib agreement have been excluded from the transaction price, as all the remaining milestone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67" w:lineRule="exact"/>
        <w:rPr>
          <w:sz w:val="20"/>
          <w:szCs w:val="20"/>
          <w:color w:val="auto"/>
        </w:rPr>
      </w:pPr>
    </w:p>
    <w:p>
      <w:pPr>
        <w:ind w:left="60" w:right="339" w:firstLine="648"/>
        <w:spacing w:after="0" w:line="261" w:lineRule="auto"/>
        <w:rPr>
          <w:sz w:val="20"/>
          <w:szCs w:val="20"/>
          <w:color w:val="auto"/>
        </w:rPr>
      </w:pPr>
      <w:r>
        <w:rPr>
          <w:rFonts w:ascii="Arial" w:cs="Arial" w:eastAsia="Arial" w:hAnsi="Arial"/>
          <w:sz w:val="18"/>
          <w:szCs w:val="18"/>
          <w:color w:val="auto"/>
        </w:rPr>
        <w:t>The following table summarizes revenue recognized under the Roche pralsetinib collaboration during the three months ended March 31, 2021 and 2020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4"/>
          </w:tcPr>
          <w:p>
            <w:pPr>
              <w:jc w:val="center"/>
              <w:ind w:right="156"/>
              <w:spacing w:after="0"/>
              <w:rPr>
                <w:sz w:val="20"/>
                <w:szCs w:val="20"/>
                <w:color w:val="auto"/>
              </w:rPr>
            </w:pPr>
            <w:r>
              <w:rPr>
                <w:rFonts w:ascii="Arial" w:cs="Arial" w:eastAsia="Arial" w:hAnsi="Arial"/>
                <w:sz w:val="14"/>
                <w:szCs w:val="14"/>
                <w:b w:val="1"/>
                <w:bCs w:val="1"/>
                <w:color w:val="auto"/>
                <w:w w:val="95"/>
              </w:rPr>
              <w:t>Three Months Ended</w:t>
            </w:r>
          </w:p>
        </w:tc>
      </w:tr>
      <w:tr>
        <w:trPr>
          <w:trHeight w:val="201"/>
        </w:trPr>
        <w:tc>
          <w:tcPr>
            <w:tcW w:w="6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7"/>
                <w:szCs w:val="17"/>
                <w:color w:val="auto"/>
              </w:rPr>
            </w:pPr>
          </w:p>
        </w:tc>
      </w:tr>
      <w:tr>
        <w:trPr>
          <w:trHeight w:val="183"/>
        </w:trPr>
        <w:tc>
          <w:tcPr>
            <w:tcW w:w="65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r>
      <w:tr>
        <w:trPr>
          <w:trHeight w:val="196"/>
        </w:trPr>
        <w:tc>
          <w:tcPr>
            <w:tcW w:w="6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Services related to Roche territory-specific activities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1,772</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60"/>
              <w:spacing w:after="0" w:line="196" w:lineRule="exact"/>
              <w:rPr>
                <w:sz w:val="20"/>
                <w:szCs w:val="20"/>
                <w:color w:val="auto"/>
              </w:rPr>
            </w:pPr>
            <w:r>
              <w:rPr>
                <w:rFonts w:ascii="Arial" w:cs="Arial" w:eastAsia="Arial" w:hAnsi="Arial"/>
                <w:sz w:val="18"/>
                <w:szCs w:val="18"/>
                <w:color w:val="auto"/>
              </w:rPr>
              <w:t>—</w:t>
            </w:r>
          </w:p>
        </w:tc>
      </w:tr>
      <w:tr>
        <w:trPr>
          <w:trHeight w:val="196"/>
        </w:trPr>
        <w:tc>
          <w:tcPr>
            <w:tcW w:w="6520" w:type="dxa"/>
            <w:vAlign w:val="bottom"/>
          </w:tcPr>
          <w:p>
            <w:pPr>
              <w:ind w:left="20"/>
              <w:spacing w:after="0" w:line="196" w:lineRule="exact"/>
              <w:rPr>
                <w:sz w:val="20"/>
                <w:szCs w:val="20"/>
                <w:color w:val="auto"/>
              </w:rPr>
            </w:pPr>
            <w:r>
              <w:rPr>
                <w:rFonts w:ascii="Arial" w:cs="Arial" w:eastAsia="Arial" w:hAnsi="Arial"/>
                <w:sz w:val="18"/>
                <w:szCs w:val="18"/>
                <w:color w:val="auto"/>
              </w:rPr>
              <w:t>Total Roche pralsetinib collaboration revenue</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1,772</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rPr>
              <w:t>—</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 w:right="79" w:firstLine="693"/>
        <w:spacing w:after="0" w:line="269" w:lineRule="auto"/>
        <w:rPr>
          <w:sz w:val="20"/>
          <w:szCs w:val="20"/>
          <w:color w:val="auto"/>
        </w:rPr>
      </w:pPr>
      <w:r>
        <w:rPr>
          <w:rFonts w:ascii="Arial" w:cs="Arial" w:eastAsia="Arial" w:hAnsi="Arial"/>
          <w:sz w:val="16"/>
          <w:szCs w:val="16"/>
          <w:color w:val="auto"/>
        </w:rPr>
        <w:t>For the parties’ participation in global development for pralsetinib and the U.S. commercialization activities for GAVRETO, the Company concluded that those activities and cost-sharing payments related to such activities are within the scope of ASC 808, as both parties are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will be accounted for as an increase to or reduction of research and development expenses. Prior to the transition to Roche of specified responsibilities associated with product sales to customers, pricing and distribution matters in the U.S. which is expected to occur on or around June 30, 2021, the Company is the principal for product sales to customers in the U.S. and will recognize revenues on sales to third parties in product revenue, net in its consolidated statements of operations and comprehensive loss. After such transition, Roche will take over the responsibilities associated with product sales to customers, pricing and distribution matters for GAVRETO in the U.S. and become the principal for product sales to customers in the U.S., and the Company will recognize its portion of the commercial profits and losses sharing as revenue (expenses) from the collaboration arrangement in its consolidated statements of operations and comprehensive loss.</w:t>
      </w:r>
    </w:p>
    <w:p>
      <w:pPr>
        <w:spacing w:after="0" w:line="168" w:lineRule="exact"/>
        <w:rPr>
          <w:sz w:val="20"/>
          <w:szCs w:val="20"/>
          <w:color w:val="auto"/>
        </w:rPr>
      </w:pPr>
    </w:p>
    <w:p>
      <w:pPr>
        <w:ind w:left="60" w:right="79" w:firstLine="648"/>
        <w:spacing w:after="0" w:line="294" w:lineRule="auto"/>
        <w:rPr>
          <w:sz w:val="20"/>
          <w:szCs w:val="20"/>
          <w:color w:val="auto"/>
        </w:rPr>
      </w:pPr>
      <w:r>
        <w:rPr>
          <w:rFonts w:ascii="Arial" w:cs="Arial" w:eastAsia="Arial" w:hAnsi="Arial"/>
          <w:sz w:val="16"/>
          <w:szCs w:val="16"/>
          <w:color w:val="auto"/>
        </w:rPr>
        <w:t>During the three months ended March 31, 2021, the Company recorded a $3.0 million reduction in selling, general and administrative expenses in connection with the commercialization of GAVRETO in the U.S. and a $4.1 million reduction in research and development expenses in connection with global development activities for pralsetinib.</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the contract assets associated with the Roche pralsetinib collaboration as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2021 and December 31, 2020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201"/>
        </w:trPr>
        <w:tc>
          <w:tcPr>
            <w:tcW w:w="67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r>
      <w:tr>
        <w:trPr>
          <w:trHeight w:val="196"/>
        </w:trPr>
        <w:tc>
          <w:tcPr>
            <w:tcW w:w="6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18,536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8,536</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17,600</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Clementia</w:t>
      </w:r>
    </w:p>
    <w:p>
      <w:pPr>
        <w:spacing w:after="0" w:line="212"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color w:val="auto"/>
        </w:rPr>
        <w:t>On October 15,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progressiva (FOP), as well as specified other compounds related to the BLU-782 program.</w:t>
      </w:r>
    </w:p>
    <w:p>
      <w:pPr>
        <w:spacing w:after="0" w:line="159"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Under the Clementia agreement, the Company received an upfront cash payment of $25.0 million and through March 31, 2021, the Company has received $20.0 million in cash milestone payments. Subject to the terms of the Clementia agreement, in addition to the upfront and milestone payments received through March 31, 2021, the Company is eligible to receive up to $490.0 million in potential development, regulatory and sales-based milestone payments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Clementia purchased specified manufacturing inventory from the Company for a total of $1.5 million.</w:t>
      </w:r>
    </w:p>
    <w:p>
      <w:pPr>
        <w:spacing w:after="0" w:line="181"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on or after the second anniversary of the effective date of the agreement upon at least 12 months’ prior written notice to the Company, which cannot be delivered before the first anniversary of the effective date.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w:t>
      </w:r>
    </w:p>
    <w:p>
      <w:pPr>
        <w:spacing w:after="0" w:line="163"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spacing w:after="0" w:line="184" w:lineRule="exact"/>
        <w:rPr>
          <w:sz w:val="20"/>
          <w:szCs w:val="20"/>
          <w:color w:val="auto"/>
        </w:rPr>
      </w:pPr>
    </w:p>
    <w:p>
      <w:pPr>
        <w:ind w:left="60" w:right="139" w:firstLine="648"/>
        <w:spacing w:after="0" w:line="238" w:lineRule="auto"/>
        <w:rPr>
          <w:sz w:val="20"/>
          <w:szCs w:val="20"/>
          <w:color w:val="auto"/>
        </w:rPr>
      </w:pPr>
      <w:r>
        <w:rPr>
          <w:rFonts w:ascii="Arial" w:cs="Arial" w:eastAsia="Arial" w:hAnsi="Arial"/>
          <w:sz w:val="18"/>
          <w:szCs w:val="18"/>
          <w:color w:val="auto"/>
        </w:rPr>
        <w:t>The Company determined that the transaction price as of the outset of the arrangement was $46.5 million, which consisted of the upfront amount of $25.0 million, the $20.0 million cash milestone payment received in the third quarter of 2020, the purchase of existing manufacturing inventory of $1.2 million and the purchase of in-process manufacturing inventory of $0.3 million. The other potential milestone payments that the Company is eligible to receive were excluded from the transaction price, as all milestone amounts were fully constrained based on the probability of achievement. The transaction price was allocated to the three performance obligations on a relative stand-alone selling price basis. The Company satisfies the performance obligations upon delivery of the license and completion of the technology transfer and inventory transfers.</w:t>
      </w:r>
    </w:p>
    <w:p>
      <w:pPr>
        <w:spacing w:after="0" w:line="194" w:lineRule="exact"/>
        <w:rPr>
          <w:sz w:val="20"/>
          <w:szCs w:val="20"/>
          <w:color w:val="auto"/>
        </w:rPr>
      </w:pPr>
    </w:p>
    <w:p>
      <w:pPr>
        <w:ind w:left="60" w:right="539" w:firstLine="648"/>
        <w:spacing w:after="0" w:line="261" w:lineRule="auto"/>
        <w:rPr>
          <w:sz w:val="20"/>
          <w:szCs w:val="20"/>
          <w:color w:val="auto"/>
        </w:rPr>
      </w:pPr>
      <w:r>
        <w:rPr>
          <w:rFonts w:ascii="Arial" w:cs="Arial" w:eastAsia="Arial" w:hAnsi="Arial"/>
          <w:sz w:val="18"/>
          <w:szCs w:val="18"/>
          <w:color w:val="auto"/>
        </w:rPr>
        <w:t>During 2019, the Company completed the delivery of the license, the technology transfer and the transfer of existing manufacturing inventory and recognized a total of $46.2 million as revenue.</w:t>
      </w:r>
    </w:p>
    <w:p>
      <w:pPr>
        <w:spacing w:after="0" w:line="171" w:lineRule="exact"/>
        <w:rPr>
          <w:sz w:val="20"/>
          <w:szCs w:val="20"/>
          <w:color w:val="auto"/>
        </w:rPr>
      </w:pPr>
    </w:p>
    <w:p>
      <w:pPr>
        <w:ind w:left="60" w:right="199" w:firstLine="648"/>
        <w:spacing w:after="0" w:line="294" w:lineRule="auto"/>
        <w:rPr>
          <w:sz w:val="20"/>
          <w:szCs w:val="20"/>
          <w:color w:val="auto"/>
        </w:rPr>
      </w:pPr>
      <w:r>
        <w:rPr>
          <w:rFonts w:ascii="Arial" w:cs="Arial" w:eastAsia="Arial" w:hAnsi="Arial"/>
          <w:sz w:val="16"/>
          <w:szCs w:val="16"/>
          <w:color w:val="auto"/>
        </w:rPr>
        <w:t>During the three months ended March 31, 2021, no material revenue was recognized from the Clementia collaboration. No revenue was recognized during the three months ended March 31, 2020. There was no revenue deferred as a contract liability associated with the Clementia agreement as of March 31, 2021 and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CStone Pharmaceuticals</w:t>
      </w:r>
    </w:p>
    <w:p>
      <w:pPr>
        <w:spacing w:after="0" w:line="21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color w:val="auto"/>
        </w:rPr>
        <w:t>On June 1,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forms and certain other forms thereof, in Mainland China, Hong Kong, Macau and Taiwan (each, a CStone region and collectively, the CStone territory), either as a monotherapy or as part of a combination therapy.</w:t>
      </w:r>
    </w:p>
    <w:p>
      <w:pPr>
        <w:spacing w:after="0" w:line="174"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The Company received an upfront cash payment of $40.0 million, and through March 31, 2021, the Company has achieved $23.0 million in milestones under this collaboration. Subject to the terms of the CStone agreement, in addition to the upfront payments received and milestones achieved through March 31, 2021, the Company will be eligible to receive up to approximately $323.0 million in additional milestone payments, including $95.5 million related to development and regulatory milestones and $227.5 million related to sales-based milestones.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fisogatinib as a combination therapy in the CStone territory that will be shared by the Company and CStone.</w:t>
      </w:r>
    </w:p>
    <w:p>
      <w:pPr>
        <w:spacing w:after="0" w:line="18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7"/>
          <w:szCs w:val="17"/>
          <w:color w:val="auto"/>
        </w:rPr>
        <w:t>Pursuant to the terms of the CStone agreement, CStone will be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pacing w:after="0" w:line="181"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6"/>
          <w:szCs w:val="16"/>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after June 1, 2019,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7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248" w:lineRule="auto"/>
        <w:rPr>
          <w:sz w:val="20"/>
          <w:szCs w:val="20"/>
          <w:color w:val="auto"/>
        </w:rPr>
      </w:pPr>
      <w:r>
        <w:rPr>
          <w:rFonts w:ascii="Arial" w:cs="Arial" w:eastAsia="Arial" w:hAnsi="Arial"/>
          <w:sz w:val="18"/>
          <w:szCs w:val="18"/>
          <w:color w:val="auto"/>
        </w:rPr>
        <w:t>that CStone is not a customer with regard to the global development component in the context of the CStone agreement. Therefore, payments received by the Company for global development activities under the CStone agreement, including manufacturing, will be accounted for as a reduction of related expenses.</w:t>
      </w:r>
    </w:p>
    <w:p>
      <w:pPr>
        <w:spacing w:after="0" w:line="182" w:lineRule="exact"/>
        <w:rPr>
          <w:sz w:val="20"/>
          <w:szCs w:val="20"/>
          <w:color w:val="auto"/>
        </w:rPr>
      </w:pPr>
    </w:p>
    <w:p>
      <w:pPr>
        <w:ind w:left="60" w:right="179" w:firstLine="648"/>
        <w:spacing w:after="0" w:line="324" w:lineRule="auto"/>
        <w:rPr>
          <w:sz w:val="20"/>
          <w:szCs w:val="20"/>
          <w:color w:val="auto"/>
        </w:rPr>
      </w:pPr>
      <w:r>
        <w:rPr>
          <w:rFonts w:ascii="Arial" w:cs="Arial" w:eastAsia="Arial" w:hAnsi="Arial"/>
          <w:sz w:val="16"/>
          <w:szCs w:val="16"/>
          <w:color w:val="auto"/>
        </w:rPr>
        <w:t>A summary of manufacturing and research and development services related to the global development activities net of cost sharing payments during the three months ended March 31, 2021 and 2020 is as follows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r>
      <w:tr>
        <w:trPr>
          <w:trHeight w:val="185"/>
        </w:trPr>
        <w:tc>
          <w:tcPr>
            <w:tcW w:w="6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364"/>
              <w:spacing w:after="0"/>
              <w:rPr>
                <w:sz w:val="20"/>
                <w:szCs w:val="20"/>
                <w:color w:val="auto"/>
              </w:rPr>
            </w:pPr>
            <w:r>
              <w:rPr>
                <w:rFonts w:ascii="Arial" w:cs="Arial" w:eastAsia="Arial" w:hAnsi="Arial"/>
                <w:sz w:val="14"/>
                <w:szCs w:val="14"/>
                <w:b w:val="1"/>
                <w:bCs w:val="1"/>
                <w:color w:val="auto"/>
                <w:w w:val="95"/>
              </w:rPr>
              <w:t>March 31,</w:t>
            </w:r>
          </w:p>
        </w:tc>
        <w:tc>
          <w:tcPr>
            <w:tcW w:w="6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56"/>
        </w:trPr>
        <w:tc>
          <w:tcPr>
            <w:tcW w:w="6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r>
      <w:tr>
        <w:trPr>
          <w:trHeight w:val="168"/>
        </w:trPr>
        <w:tc>
          <w:tcPr>
            <w:tcW w:w="66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6"/>
              </w:rPr>
              <w:t>Manufacturing and research and development services related to global development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17"/>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 net of cost sharing payments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2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4"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pacing w:after="0" w:line="17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pacing w:after="0" w:line="174" w:lineRule="exact"/>
        <w:rPr>
          <w:sz w:val="20"/>
          <w:szCs w:val="20"/>
          <w:color w:val="auto"/>
        </w:rPr>
      </w:pPr>
    </w:p>
    <w:p>
      <w:pPr>
        <w:jc w:val="both"/>
        <w:ind w:left="60" w:right="319" w:firstLine="648"/>
        <w:spacing w:after="0" w:line="248" w:lineRule="auto"/>
        <w:rPr>
          <w:sz w:val="20"/>
          <w:szCs w:val="20"/>
          <w:color w:val="auto"/>
        </w:rPr>
      </w:pPr>
      <w:r>
        <w:rPr>
          <w:rFonts w:ascii="Arial" w:cs="Arial" w:eastAsia="Arial" w:hAnsi="Arial"/>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82" w:lineRule="exact"/>
        <w:rPr>
          <w:sz w:val="20"/>
          <w:szCs w:val="20"/>
          <w:color w:val="auto"/>
        </w:rPr>
      </w:pPr>
    </w:p>
    <w:p>
      <w:pPr>
        <w:ind w:left="60" w:right="299" w:firstLine="648"/>
        <w:spacing w:after="0" w:line="274" w:lineRule="auto"/>
        <w:rPr>
          <w:sz w:val="20"/>
          <w:szCs w:val="20"/>
          <w:color w:val="auto"/>
        </w:rPr>
      </w:pPr>
      <w:r>
        <w:rPr>
          <w:rFonts w:ascii="Arial" w:cs="Arial" w:eastAsia="Arial" w:hAnsi="Arial"/>
          <w:sz w:val="16"/>
          <w:szCs w:val="16"/>
          <w:color w:val="auto"/>
        </w:rPr>
        <w:t>Under the CStone agreement, in order to evaluate the transaction price for purposes of ASC 606, the Company determined that the upfront amount of $40.0 million constituted the entirety of the consideration to be included in the transaction price as of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during the second quarter of 2018.</w:t>
      </w:r>
    </w:p>
    <w:p>
      <w:pPr>
        <w:spacing w:after="0" w:line="163" w:lineRule="exact"/>
        <w:rPr>
          <w:sz w:val="20"/>
          <w:szCs w:val="20"/>
          <w:color w:val="auto"/>
        </w:rPr>
      </w:pPr>
    </w:p>
    <w:p>
      <w:pPr>
        <w:ind w:left="60" w:right="139" w:firstLine="648"/>
        <w:spacing w:after="0" w:line="276" w:lineRule="auto"/>
        <w:rPr>
          <w:sz w:val="20"/>
          <w:szCs w:val="20"/>
          <w:color w:val="auto"/>
        </w:rPr>
      </w:pPr>
      <w:r>
        <w:rPr>
          <w:rFonts w:ascii="Arial" w:cs="Arial" w:eastAsia="Arial" w:hAnsi="Arial"/>
          <w:sz w:val="16"/>
          <w:szCs w:val="16"/>
          <w:color w:val="auto"/>
        </w:rPr>
        <w:t>During the three months ended March 31, 2021 and 2020, cash consideration associated with achieved regulatory and development milestones of $9.0 million and $2.0 million, respectively, were added to the estimated transaction price for the CStone agreement and recognized as revenue in such periods.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648"/>
        <w:spacing w:after="0" w:line="261" w:lineRule="auto"/>
        <w:rPr>
          <w:sz w:val="20"/>
          <w:szCs w:val="20"/>
          <w:color w:val="auto"/>
        </w:rPr>
      </w:pPr>
      <w:r>
        <w:rPr>
          <w:rFonts w:ascii="Arial" w:cs="Arial" w:eastAsia="Arial" w:hAnsi="Arial"/>
          <w:sz w:val="18"/>
          <w:szCs w:val="18"/>
          <w:color w:val="auto"/>
        </w:rPr>
        <w:t>A summary of revenue recognized under the CStone agreement during the three months ended March 31, 2021 and 2020 is as follows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6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56"/>
        </w:trPr>
        <w:tc>
          <w:tcPr>
            <w:tcW w:w="66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r>
      <w:tr>
        <w:trPr>
          <w:trHeight w:val="196"/>
        </w:trPr>
        <w:tc>
          <w:tcPr>
            <w:tcW w:w="6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License milestone revenue</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9,000</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7"/>
                <w:szCs w:val="17"/>
                <w:color w:val="auto"/>
              </w:rPr>
            </w:pPr>
          </w:p>
        </w:tc>
      </w:tr>
      <w:tr>
        <w:trPr>
          <w:trHeight w:val="23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tcBorders>
          </w:tcPr>
          <w:p>
            <w:pPr>
              <w:spacing w:after="0"/>
              <w:rPr>
                <w:sz w:val="19"/>
                <w:szCs w:val="19"/>
                <w:color w:val="auto"/>
              </w:rPr>
            </w:pPr>
          </w:p>
        </w:tc>
      </w:tr>
      <w:tr>
        <w:trPr>
          <w:trHeight w:val="196"/>
        </w:trPr>
        <w:tc>
          <w:tcPr>
            <w:tcW w:w="6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CStone collaboration revenue</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9,271</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2,134</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 w:right="359" w:firstLine="648"/>
        <w:spacing w:after="0" w:line="261" w:lineRule="auto"/>
        <w:rPr>
          <w:sz w:val="20"/>
          <w:szCs w:val="20"/>
          <w:color w:val="auto"/>
        </w:rPr>
      </w:pPr>
      <w:r>
        <w:rPr>
          <w:rFonts w:ascii="Arial" w:cs="Arial" w:eastAsia="Arial" w:hAnsi="Arial"/>
          <w:sz w:val="18"/>
          <w:szCs w:val="18"/>
          <w:color w:val="auto"/>
        </w:rPr>
        <w:t>The following table presents the contract assets associated with the CStone collaboration as of March 31, 2021 and December 31, 2020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228"/>
        </w:trPr>
        <w:tc>
          <w:tcPr>
            <w:tcW w:w="67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467</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As of March 31, 2021, the Company had $7.6 million of deferred revenue as a contract liability associated with the CStone collaboration. This contract liability resulted from advance payments made by CStone in connection with commercial supply of avapritinib and pralsetinib for the CStone territory. The contract liability associated with the CStone collaboration was $6.5 million at December 31,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Roche – Immunotherapy Collaboration</w:t>
      </w:r>
    </w:p>
    <w:p>
      <w:pPr>
        <w:spacing w:after="0" w:line="212"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In March 2016, the Company entered into a collaboration and license agreement (as amended, the Roche immunotherapy agreement) with F. Hoffmann-La Roche Ltd and Hoffmann-La Roche Inc. (collectively, Roche) for the discovery, development and commercialization of small molecule therapeutics targeting kinases believed to be important in cancer immunotherapy (including BLU-852, a development candidate for the kinase target MAP4K1, which is believed to play a role in T cell regulation), as single products or possibly in combination with other therapeutics.</w:t>
      </w:r>
    </w:p>
    <w:p>
      <w:pPr>
        <w:spacing w:after="0" w:line="159" w:lineRule="exact"/>
        <w:rPr>
          <w:sz w:val="20"/>
          <w:szCs w:val="20"/>
          <w:color w:val="auto"/>
        </w:rPr>
      </w:pPr>
    </w:p>
    <w:p>
      <w:pPr>
        <w:ind w:left="60" w:right="59" w:firstLine="693"/>
        <w:spacing w:after="0" w:line="271" w:lineRule="auto"/>
        <w:rPr>
          <w:sz w:val="20"/>
          <w:szCs w:val="20"/>
          <w:color w:val="auto"/>
        </w:rPr>
      </w:pPr>
      <w:r>
        <w:rPr>
          <w:rFonts w:ascii="Arial" w:cs="Arial" w:eastAsia="Arial" w:hAnsi="Arial"/>
          <w:sz w:val="16"/>
          <w:szCs w:val="16"/>
          <w:color w:val="auto"/>
        </w:rPr>
        <w:t>Under the Roche immunotherapy agreement, Roche was originally granted up to five option rights to obtain an exclusive license to exploit products derived from the collaboration programs in the field of cancer immunotherapy. Such option rights are triggered upon the achievement of Phase 1 proof-of-concept. As a result of amendments to the Roche immunotherapy agreement in the fourth quarter of 2019 and in the first quarter of 2021, the Company and Roche are currently conducting activities for up to two programs under the collaboration. For one of the two collaboration programs, if Roche exercises its option, Roche will receive worldwide, exclusive commercialization rights for the licensed product. For the other collaboration program, if Roche exercises its option, the Company will retain commercialization rights in the U.S. for the licensed products, and Roche will receive commercialization rights outside of the U.S. for the licensed product. The Company will also retain worldwide rights to any products for which Roche elects not to exercise its applicable option.</w:t>
      </w:r>
    </w:p>
    <w:p>
      <w:pPr>
        <w:spacing w:after="0" w:line="169"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6"/>
          <w:szCs w:val="16"/>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immunotherapy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U.S.</w:t>
      </w:r>
    </w:p>
    <w:p>
      <w:pPr>
        <w:spacing w:after="0" w:line="168"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The Company received an upfront cash payment of $45.0 million, and through March 31, 2021, the Company has received $19.5 million in milestone payments under this collaboration. Subject to the terms of the Roche immunotherapy agreement, as amended, in addition to upfront and milestone payments received through</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2" w:lineRule="auto"/>
        <w:rPr>
          <w:sz w:val="20"/>
          <w:szCs w:val="20"/>
          <w:color w:val="auto"/>
        </w:rPr>
      </w:pPr>
      <w:r>
        <w:rPr>
          <w:rFonts w:ascii="Arial" w:cs="Arial" w:eastAsia="Arial" w:hAnsi="Arial"/>
          <w:sz w:val="16"/>
          <w:szCs w:val="16"/>
          <w:color w:val="auto"/>
        </w:rPr>
        <w:t>March 31, 2021, the Company is eligible to receive up to approximately $323.3 million in contingent option fees and milestone payments related to specified research, pre-clinical, clinical, regulatory and sales-based milestones.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68"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The Roche immunotherapy agreement will continue until the date when no royalty or other payment obligations are or will become due, unless earlier terminated in accordance with the terms of the Roche immunotherapy agreement. Prior to its exercise of its first option, Roche may terminate the Roche immunotherapy agreement at will, in whole or on a collaboration target-by-collaboration target basis, upon 120 days’ prior written notice to the Company. Following its exercise of an option, Roche may terminate the Roche immunotherapy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immunotherapy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67" w:lineRule="exact"/>
        <w:rPr>
          <w:sz w:val="20"/>
          <w:szCs w:val="20"/>
          <w:color w:val="auto"/>
        </w:rPr>
      </w:pPr>
    </w:p>
    <w:p>
      <w:pPr>
        <w:ind w:left="60" w:right="179" w:firstLine="648"/>
        <w:spacing w:after="0" w:line="268" w:lineRule="auto"/>
        <w:rPr>
          <w:sz w:val="20"/>
          <w:szCs w:val="20"/>
          <w:color w:val="auto"/>
        </w:rPr>
      </w:pPr>
      <w:r>
        <w:rPr>
          <w:rFonts w:ascii="Arial" w:cs="Arial" w:eastAsia="Arial" w:hAnsi="Arial"/>
          <w:sz w:val="16"/>
          <w:szCs w:val="16"/>
          <w:color w:val="auto"/>
        </w:rPr>
        <w:t>The Company assessed this arrangement in accordance with ASC 606 upon the adoption of the new standard on January 1, 2018,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w:t>
      </w:r>
    </w:p>
    <w:p>
      <w:pPr>
        <w:spacing w:after="0" w:line="1" w:lineRule="exact"/>
        <w:rPr>
          <w:sz w:val="20"/>
          <w:szCs w:val="20"/>
          <w:color w:val="auto"/>
        </w:rPr>
      </w:pPr>
    </w:p>
    <w:p>
      <w:pPr>
        <w:ind w:left="60" w:right="59" w:hanging="10"/>
        <w:spacing w:after="0" w:line="269" w:lineRule="auto"/>
        <w:tabs>
          <w:tab w:leader="none" w:pos="315" w:val="left"/>
        </w:tabs>
        <w:numPr>
          <w:ilvl w:val="0"/>
          <w:numId w:val="6"/>
        </w:numPr>
        <w:rPr>
          <w:rFonts w:ascii="Arial" w:cs="Arial" w:eastAsia="Arial" w:hAnsi="Arial"/>
          <w:sz w:val="16"/>
          <w:szCs w:val="16"/>
          <w:color w:val="auto"/>
        </w:rPr>
      </w:pPr>
      <w:r>
        <w:rPr>
          <w:rFonts w:ascii="Arial" w:cs="Arial" w:eastAsia="Arial" w:hAnsi="Arial"/>
          <w:sz w:val="16"/>
          <w:szCs w:val="16"/>
          <w:color w:val="auto"/>
        </w:rPr>
        <w:t>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drugs that may result from each program do not represent separate performance obligations based on their dependence on the research and development efforts. As such, the Company determined that these promises should be combined into a single performance obligation.</w:t>
      </w:r>
    </w:p>
    <w:p>
      <w:pPr>
        <w:spacing w:after="0" w:line="167" w:lineRule="exact"/>
        <w:rPr>
          <w:sz w:val="20"/>
          <w:szCs w:val="20"/>
          <w:color w:val="auto"/>
        </w:rPr>
      </w:pPr>
    </w:p>
    <w:p>
      <w:pPr>
        <w:ind w:left="60" w:right="379" w:firstLine="648"/>
        <w:spacing w:after="0" w:line="262" w:lineRule="auto"/>
        <w:rPr>
          <w:sz w:val="20"/>
          <w:szCs w:val="20"/>
          <w:color w:val="auto"/>
        </w:rPr>
      </w:pPr>
      <w:r>
        <w:rPr>
          <w:rFonts w:ascii="Arial" w:cs="Arial" w:eastAsia="Arial" w:hAnsi="Arial"/>
          <w:sz w:val="17"/>
          <w:szCs w:val="17"/>
          <w:color w:val="auto"/>
        </w:rPr>
        <w:t>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w:t>
      </w:r>
    </w:p>
    <w:p>
      <w:pPr>
        <w:spacing w:after="0" w:line="172" w:lineRule="exact"/>
        <w:rPr>
          <w:sz w:val="20"/>
          <w:szCs w:val="20"/>
          <w:color w:val="auto"/>
        </w:rPr>
      </w:pPr>
    </w:p>
    <w:p>
      <w:pPr>
        <w:ind w:left="60" w:right="339" w:firstLine="648"/>
        <w:spacing w:after="0" w:line="248" w:lineRule="auto"/>
        <w:rPr>
          <w:sz w:val="20"/>
          <w:szCs w:val="20"/>
          <w:color w:val="auto"/>
        </w:rPr>
      </w:pPr>
      <w:r>
        <w:rPr>
          <w:rFonts w:ascii="Arial" w:cs="Arial" w:eastAsia="Arial" w:hAnsi="Arial"/>
          <w:sz w:val="18"/>
          <w:szCs w:val="18"/>
          <w:color w:val="auto"/>
        </w:rPr>
        <w:t>Based on these assessments, the Company identified one performance obligation at the outset of the Roche immunotherapy agreement, which consists of: (1) the non-exclusive license; (2) the research and development activities through Phase 1; and (3) regulatory responsibilities under Phase 1 clinical trials.</w:t>
      </w:r>
    </w:p>
    <w:p>
      <w:pPr>
        <w:spacing w:after="0" w:line="182"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6"/>
          <w:szCs w:val="16"/>
          <w:color w:val="auto"/>
        </w:rPr>
        <w:t>Under the Roche immunotherapy agreement, in order to evaluate the appropriate transaction price, the Company determined that as of January 1, 2018, the upfront amount of $45.0 million constituted the entirety of the consideration to be included in the transaction price as of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initially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adjust its estimate of the transaction price.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43" w:lineRule="auto"/>
        <w:rPr>
          <w:sz w:val="20"/>
          <w:szCs w:val="20"/>
          <w:color w:val="auto"/>
        </w:rPr>
      </w:pPr>
      <w:r>
        <w:rPr>
          <w:rFonts w:ascii="Arial" w:cs="Arial" w:eastAsia="Arial" w:hAnsi="Arial"/>
          <w:sz w:val="18"/>
          <w:szCs w:val="18"/>
          <w:color w:val="auto"/>
        </w:rPr>
        <w:t>Through March 31, 2021, the Company has achieved $19.5 million in research milestones under this collaboration, and these amounts were added to the estimated transaction price and allocated to the existing performance obligation as it became probable that a significant reversal of cumulative revenue would not occur for each of the research milestones achieved.</w:t>
      </w:r>
    </w:p>
    <w:p>
      <w:pPr>
        <w:spacing w:after="0" w:line="188"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7"/>
          <w:szCs w:val="17"/>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summary of revenue recognized under the Roche immunotherapy agreement during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2021 and 2020 is as follows (in thousands):</w:t>
      </w:r>
    </w:p>
    <w:p>
      <w:pPr>
        <w:spacing w:after="0" w:line="309"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5080</wp:posOffset>
            </wp:positionV>
            <wp:extent cx="1165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7180"/>
        <w:spacing w:after="0"/>
        <w:tabs>
          <w:tab w:leader="none" w:pos="81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8255</wp:posOffset>
            </wp:positionV>
            <wp:extent cx="56489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tabs>
          <w:tab w:leader="none" w:pos="6900" w:val="left"/>
          <w:tab w:leader="none" w:pos="7260" w:val="left"/>
          <w:tab w:leader="none" w:pos="7900" w:val="left"/>
          <w:tab w:leader="none" w:pos="8420" w:val="left"/>
        </w:tabs>
        <w:rPr>
          <w:sz w:val="20"/>
          <w:szCs w:val="20"/>
          <w:color w:val="auto"/>
        </w:rPr>
      </w:pPr>
      <w:r>
        <w:rPr>
          <w:rFonts w:ascii="Arial" w:cs="Arial" w:eastAsia="Arial" w:hAnsi="Arial"/>
          <w:sz w:val="18"/>
          <w:szCs w:val="18"/>
          <w:color w:val="auto"/>
        </w:rPr>
        <w:t>Roche immunotherapy collaboration research and development services revenue</w:t>
      </w:r>
      <w:r>
        <w:rPr>
          <w:sz w:val="20"/>
          <w:szCs w:val="20"/>
          <w:color w:val="auto"/>
        </w:rPr>
        <w:tab/>
      </w:r>
      <w:r>
        <w:rPr>
          <w:rFonts w:ascii="Arial" w:cs="Arial" w:eastAsia="Arial" w:hAnsi="Arial"/>
          <w:sz w:val="18"/>
          <w:szCs w:val="18"/>
          <w:color w:val="auto"/>
        </w:rPr>
        <w:t>$</w:t>
        <w:tab/>
        <w:t>1,537</w:t>
        <w:tab/>
        <w:t>$</w:t>
      </w:r>
      <w:r>
        <w:rPr>
          <w:sz w:val="20"/>
          <w:szCs w:val="20"/>
          <w:color w:val="auto"/>
        </w:rPr>
        <w:tab/>
      </w:r>
      <w:r>
        <w:rPr>
          <w:rFonts w:ascii="Arial" w:cs="Arial" w:eastAsia="Arial" w:hAnsi="Arial"/>
          <w:sz w:val="15"/>
          <w:szCs w:val="15"/>
          <w:color w:val="auto"/>
        </w:rPr>
        <w:t>575</w:t>
      </w:r>
    </w:p>
    <w:p>
      <w:pPr>
        <w:spacing w:after="0" w:line="250" w:lineRule="exact"/>
        <w:rPr>
          <w:sz w:val="20"/>
          <w:szCs w:val="20"/>
          <w:color w:val="auto"/>
        </w:rPr>
      </w:pPr>
    </w:p>
    <w:p>
      <w:pPr>
        <w:ind w:left="60" w:right="199" w:firstLine="648"/>
        <w:spacing w:after="0" w:line="261" w:lineRule="auto"/>
        <w:rPr>
          <w:sz w:val="20"/>
          <w:szCs w:val="20"/>
          <w:color w:val="auto"/>
        </w:rPr>
      </w:pPr>
      <w:r>
        <w:rPr>
          <w:rFonts w:ascii="Arial" w:cs="Arial" w:eastAsia="Arial" w:hAnsi="Arial"/>
          <w:sz w:val="18"/>
          <w:szCs w:val="18"/>
          <w:color w:val="auto"/>
        </w:rPr>
        <w:t>During the three months ended March 31, 2021 and 2020, the Company recognized the following revenue due to the changes in the contract liability balances (in thousands):</w:t>
      </w:r>
    </w:p>
    <w:p>
      <w:pPr>
        <w:spacing w:after="0" w:line="216"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5080</wp:posOffset>
            </wp:positionV>
            <wp:extent cx="1165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7180"/>
        <w:spacing w:after="0"/>
        <w:tabs>
          <w:tab w:leader="none" w:pos="81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8255</wp:posOffset>
            </wp:positionV>
            <wp:extent cx="56489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tabs>
          <w:tab w:leader="none" w:pos="6900" w:val="left"/>
          <w:tab w:leader="none" w:pos="7260" w:val="left"/>
          <w:tab w:leader="none" w:pos="7900" w:val="left"/>
          <w:tab w:leader="none" w:pos="8420" w:val="left"/>
        </w:tabs>
        <w:rPr>
          <w:sz w:val="20"/>
          <w:szCs w:val="20"/>
          <w:color w:val="auto"/>
        </w:rPr>
      </w:pPr>
      <w:r>
        <w:rPr>
          <w:rFonts w:ascii="Arial" w:cs="Arial" w:eastAsia="Arial" w:hAnsi="Arial"/>
          <w:sz w:val="18"/>
          <w:szCs w:val="18"/>
          <w:color w:val="auto"/>
        </w:rPr>
        <w:t>Amounts included in the contract liability at the beginning of the period</w:t>
      </w:r>
      <w:r>
        <w:rPr>
          <w:sz w:val="20"/>
          <w:szCs w:val="20"/>
          <w:color w:val="auto"/>
        </w:rPr>
        <w:tab/>
      </w:r>
      <w:r>
        <w:rPr>
          <w:rFonts w:ascii="Arial" w:cs="Arial" w:eastAsia="Arial" w:hAnsi="Arial"/>
          <w:sz w:val="18"/>
          <w:szCs w:val="18"/>
          <w:color w:val="auto"/>
        </w:rPr>
        <w:t>$</w:t>
        <w:tab/>
        <w:t>1,238</w:t>
        <w:tab/>
        <w:t>$</w:t>
      </w:r>
      <w:r>
        <w:rPr>
          <w:sz w:val="20"/>
          <w:szCs w:val="20"/>
          <w:color w:val="auto"/>
        </w:rPr>
        <w:tab/>
      </w:r>
      <w:r>
        <w:rPr>
          <w:rFonts w:ascii="Arial" w:cs="Arial" w:eastAsia="Arial" w:hAnsi="Arial"/>
          <w:sz w:val="15"/>
          <w:szCs w:val="15"/>
          <w:color w:val="auto"/>
        </w:rPr>
        <w:t>989</w:t>
      </w:r>
    </w:p>
    <w:p>
      <w:pPr>
        <w:spacing w:after="0" w:line="263" w:lineRule="exact"/>
        <w:rPr>
          <w:sz w:val="20"/>
          <w:szCs w:val="20"/>
          <w:color w:val="auto"/>
        </w:rPr>
      </w:pPr>
    </w:p>
    <w:p>
      <w:pPr>
        <w:ind w:left="60" w:right="179" w:firstLine="648"/>
        <w:spacing w:after="0" w:line="243" w:lineRule="auto"/>
        <w:rPr>
          <w:sz w:val="20"/>
          <w:szCs w:val="20"/>
          <w:color w:val="auto"/>
        </w:rPr>
      </w:pPr>
      <w:r>
        <w:rPr>
          <w:rFonts w:ascii="Arial" w:cs="Arial" w:eastAsia="Arial" w:hAnsi="Arial"/>
          <w:sz w:val="18"/>
          <w:szCs w:val="18"/>
          <w:color w:val="auto"/>
        </w:rPr>
        <w:t>As of March 31, 2021, the Company had revenue deferred as a contract liability related to the Roche immunotherapy agreement of $33.4 million, of which $7.3 million was included in current liabilities, and the research and development services related to the performance obligation are expected to be performed over a remaining period of approximately 4.0 years.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212" w:lineRule="exact"/>
        <w:rPr>
          <w:sz w:val="20"/>
          <w:szCs w:val="20"/>
          <w:color w:val="auto"/>
        </w:rPr>
      </w:pPr>
    </w:p>
    <w:p>
      <w:pPr>
        <w:ind w:left="60" w:right="59" w:firstLine="648"/>
        <w:spacing w:after="0" w:line="266" w:lineRule="auto"/>
        <w:rPr>
          <w:sz w:val="20"/>
          <w:szCs w:val="20"/>
          <w:color w:val="auto"/>
        </w:rPr>
      </w:pPr>
      <w:r>
        <w:rPr>
          <w:rFonts w:ascii="Arial" w:cs="Arial" w:eastAsia="Arial" w:hAnsi="Arial"/>
          <w:sz w:val="16"/>
          <w:szCs w:val="16"/>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2021, the number of shares reserved for issuance under the 2015 Plan was increased by</w:t>
      </w:r>
    </w:p>
    <w:p>
      <w:pPr>
        <w:spacing w:after="0" w:line="3" w:lineRule="exact"/>
        <w:rPr>
          <w:sz w:val="20"/>
          <w:szCs w:val="20"/>
          <w:color w:val="auto"/>
        </w:rPr>
      </w:pPr>
    </w:p>
    <w:p>
      <w:pPr>
        <w:ind w:left="60" w:right="319"/>
        <w:spacing w:after="0" w:line="239" w:lineRule="auto"/>
        <w:rPr>
          <w:sz w:val="20"/>
          <w:szCs w:val="20"/>
          <w:color w:val="auto"/>
        </w:rPr>
      </w:pPr>
      <w:r>
        <w:rPr>
          <w:rFonts w:ascii="Arial" w:cs="Arial" w:eastAsia="Arial" w:hAnsi="Arial"/>
          <w:sz w:val="18"/>
          <w:szCs w:val="18"/>
          <w:color w:val="auto"/>
        </w:rPr>
        <w:t>2,311,741 shares. In addition, the total number of shares reserved for issuance is subject to adjustment in the event of a stock split, stock dividend or other change in the Company’s capitalization. As of March 31, 2021, there were 2,813,374 shares available for future grant under the 2015 Plan.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Inducement Plan</w:t>
      </w:r>
    </w:p>
    <w:p>
      <w:pPr>
        <w:spacing w:after="0" w:line="212" w:lineRule="exact"/>
        <w:rPr>
          <w:sz w:val="20"/>
          <w:szCs w:val="20"/>
          <w:color w:val="auto"/>
        </w:rPr>
      </w:pPr>
    </w:p>
    <w:p>
      <w:pPr>
        <w:ind w:left="60" w:right="419" w:firstLine="648"/>
        <w:spacing w:after="0" w:line="324" w:lineRule="auto"/>
        <w:rPr>
          <w:sz w:val="20"/>
          <w:szCs w:val="20"/>
          <w:color w:val="auto"/>
        </w:rPr>
      </w:pPr>
      <w:r>
        <w:rPr>
          <w:rFonts w:ascii="Arial" w:cs="Arial" w:eastAsia="Arial" w:hAnsi="Arial"/>
          <w:sz w:val="16"/>
          <w:szCs w:val="16"/>
          <w:color w:val="auto"/>
        </w:rPr>
        <w:t>In March 2020, the Company’s board of directors adopted the 2020 Inducement Plan (the Inducement Plan), pursuant to which the Company may grant, subject to the terms of the Inducement Plan and Nasdaq rules, nonstatutory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6" w:lineRule="auto"/>
        <w:rPr>
          <w:sz w:val="20"/>
          <w:szCs w:val="20"/>
          <w:color w:val="auto"/>
        </w:rPr>
      </w:pPr>
      <w:r>
        <w:rPr>
          <w:rFonts w:ascii="Arial" w:cs="Arial" w:eastAsia="Arial" w:hAnsi="Arial"/>
          <w:sz w:val="16"/>
          <w:szCs w:val="16"/>
          <w:color w:val="auto"/>
        </w:rPr>
        <w:t>stock options, stock appreciation rights, restricted stock awards, restricted stock units, and other stock-based awards. The Company initially reserved a total of 1,000,000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or a committee thereof to use the stock-based awards available under the Inducement Plan to attract key employees for the growth of the Company. As of March 31, 2021, there were 627,272 shares available for future grant under the Inducement Plan.</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stock option activity for the three months ended March 31, 2021:</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15"/>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5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2020</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6,030,641</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61.28</w:t>
            </w:r>
          </w:p>
        </w:tc>
        <w:tc>
          <w:tcPr>
            <w:tcW w:w="0" w:type="dxa"/>
            <w:vAlign w:val="bottom"/>
          </w:tcPr>
          <w:p>
            <w:pPr>
              <w:spacing w:after="0"/>
              <w:rPr>
                <w:sz w:val="1"/>
                <w:szCs w:val="1"/>
                <w:color w:val="auto"/>
              </w:rPr>
            </w:pPr>
          </w:p>
        </w:tc>
      </w:tr>
      <w:tr>
        <w:trPr>
          <w:trHeight w:val="229"/>
        </w:trPr>
        <w:tc>
          <w:tcPr>
            <w:tcW w:w="6400" w:type="dxa"/>
            <w:vAlign w:val="bottom"/>
          </w:tcPr>
          <w:p>
            <w:pPr>
              <w:ind w:left="22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755,639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100.26</w:t>
            </w: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Exercised</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(257,309)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Canceled</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(142,578)</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73.23</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March 31, 2021</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6,386,393</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66.79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Exercisable at March 31, 2021</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vMerge w:val="continue"/>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3,279,897</w:t>
            </w:r>
          </w:p>
        </w:tc>
        <w:tc>
          <w:tcPr>
            <w:tcW w:w="22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648"/>
        <w:spacing w:after="0" w:line="324" w:lineRule="auto"/>
        <w:rPr>
          <w:sz w:val="20"/>
          <w:szCs w:val="20"/>
          <w:color w:val="auto"/>
        </w:rPr>
      </w:pPr>
      <w:r>
        <w:rPr>
          <w:rFonts w:ascii="Arial" w:cs="Arial" w:eastAsia="Arial" w:hAnsi="Arial"/>
          <w:sz w:val="16"/>
          <w:szCs w:val="16"/>
          <w:color w:val="auto"/>
        </w:rPr>
        <w:t>As of March 31, 2021, the total unrecognized compensation expense related to unvested stock option awards was $133.2 million, which is expected to be recognized over a weighted-average period of approximately 2.73 years.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the restricted stock units activity for the three months ended March 31, 2021:</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Weighted-Average</w:t>
            </w:r>
          </w:p>
        </w:tc>
      </w:tr>
      <w:tr>
        <w:trPr>
          <w:trHeight w:val="201"/>
        </w:trPr>
        <w:tc>
          <w:tcPr>
            <w:tcW w:w="632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Grant Date Fair Value</w:t>
            </w:r>
          </w:p>
        </w:tc>
      </w:tr>
      <w:tr>
        <w:trPr>
          <w:trHeight w:val="196"/>
        </w:trPr>
        <w:tc>
          <w:tcPr>
            <w:tcW w:w="63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Unvested shares at December 31, 2020</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1,171,686</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65.37</w:t>
            </w:r>
          </w:p>
        </w:tc>
      </w:tr>
      <w:tr>
        <w:trPr>
          <w:trHeight w:val="203"/>
        </w:trPr>
        <w:tc>
          <w:tcPr>
            <w:tcW w:w="6320" w:type="dxa"/>
            <w:vAlign w:val="bottom"/>
          </w:tcPr>
          <w:p>
            <w:pPr>
              <w:ind w:left="220"/>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698,402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100.21</w:t>
            </w:r>
          </w:p>
        </w:tc>
      </w:tr>
      <w:tr>
        <w:trPr>
          <w:trHeight w:val="203"/>
        </w:trPr>
        <w:tc>
          <w:tcPr>
            <w:tcW w:w="6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(226,570)</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62.37</w:t>
            </w:r>
          </w:p>
        </w:tc>
      </w:tr>
      <w:tr>
        <w:trPr>
          <w:trHeight w:val="203"/>
        </w:trPr>
        <w:tc>
          <w:tcPr>
            <w:tcW w:w="6320" w:type="dxa"/>
            <w:vAlign w:val="bottom"/>
          </w:tcPr>
          <w:p>
            <w:pPr>
              <w:ind w:left="220"/>
              <w:spacing w:after="0" w:line="202" w:lineRule="exact"/>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(61,004)</w:t>
            </w: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68.34</w:t>
            </w:r>
          </w:p>
        </w:tc>
      </w:tr>
      <w:tr>
        <w:trPr>
          <w:trHeight w:val="196"/>
        </w:trPr>
        <w:tc>
          <w:tcPr>
            <w:tcW w:w="63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Unvested shares at March 31, 2021</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1,582,514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81.06</w:t>
            </w:r>
          </w:p>
        </w:tc>
      </w:tr>
      <w:tr>
        <w:trPr>
          <w:trHeight w:val="20"/>
        </w:trPr>
        <w:tc>
          <w:tcPr>
            <w:tcW w:w="6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left="60" w:right="119" w:firstLine="648"/>
        <w:spacing w:after="0" w:line="324" w:lineRule="auto"/>
        <w:rPr>
          <w:sz w:val="20"/>
          <w:szCs w:val="20"/>
          <w:color w:val="auto"/>
        </w:rPr>
      </w:pPr>
      <w:r>
        <w:rPr>
          <w:rFonts w:ascii="Arial" w:cs="Arial" w:eastAsia="Arial" w:hAnsi="Arial"/>
          <w:sz w:val="16"/>
          <w:szCs w:val="16"/>
          <w:color w:val="auto"/>
        </w:rPr>
        <w:t>As of March 31, 2021, the total unrecognized compensation expense related to unvested restricted stock units was $120.5 million, which is expected to be recognize over a weighted-average period of approximately 3.26 years.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21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In 2015, the Company’s board of directors and stockholders approved the 2015 Employee Stock Purchase Plan (the 2015 ESPP), which became effective upon the closing of the Company’s initial public offering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2021, the number of shares reserved for issuance under the 2015 ESPP was increased by 577,935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ind w:left="60" w:right="320" w:firstLine="648"/>
        <w:spacing w:after="0" w:line="243" w:lineRule="auto"/>
        <w:rPr>
          <w:sz w:val="20"/>
          <w:szCs w:val="20"/>
          <w:color w:val="auto"/>
        </w:rPr>
      </w:pPr>
      <w:r>
        <w:rPr>
          <w:rFonts w:ascii="Arial" w:cs="Arial" w:eastAsia="Arial" w:hAnsi="Arial"/>
          <w:sz w:val="18"/>
          <w:szCs w:val="18"/>
          <w:color w:val="auto"/>
        </w:rPr>
        <w:t>The Company recognized stock-based compensation expense totaling $20.7 million and $16.9 million for the three months ended March 31, 2021, and 2020, respectively. Stock-based compensation expense by award type included within the unaudited condensed consolidated statements of operations and comprehensive loss was as follows (in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Three Months Ended</w:t>
            </w:r>
          </w:p>
        </w:tc>
      </w:tr>
      <w:tr>
        <w:trPr>
          <w:trHeight w:val="228"/>
        </w:trPr>
        <w:tc>
          <w:tcPr>
            <w:tcW w:w="6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9"/>
                <w:szCs w:val="19"/>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r>
      <w:tr>
        <w:trPr>
          <w:trHeight w:val="196"/>
        </w:trPr>
        <w:tc>
          <w:tcPr>
            <w:tcW w:w="6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14,141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13,716</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3,153</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682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17,026</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stock-based compensation costs</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196"/>
        </w:trPr>
        <w:tc>
          <w:tcPr>
            <w:tcW w:w="6820" w:type="dxa"/>
            <w:vAlign w:val="bottom"/>
          </w:tcPr>
          <w:p>
            <w:pPr>
              <w:ind w:left="20"/>
              <w:spacing w:after="0" w:line="196" w:lineRule="exact"/>
              <w:rPr>
                <w:sz w:val="20"/>
                <w:szCs w:val="20"/>
                <w:color w:val="auto"/>
              </w:rPr>
            </w:pPr>
            <w:r>
              <w:rPr>
                <w:rFonts w:ascii="Arial" w:cs="Arial" w:eastAsia="Arial" w:hAnsi="Arial"/>
                <w:sz w:val="18"/>
                <w:szCs w:val="18"/>
                <w:color w:val="auto"/>
              </w:rPr>
              <w:t>Stock-based compensation expense included in total cost and operating expenses</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20,684</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16,859</w:t>
            </w: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300" w:firstLine="648"/>
        <w:spacing w:after="0" w:line="261" w:lineRule="auto"/>
        <w:rPr>
          <w:sz w:val="20"/>
          <w:szCs w:val="20"/>
          <w:color w:val="auto"/>
        </w:rPr>
      </w:pPr>
      <w:r>
        <w:rPr>
          <w:rFonts w:ascii="Arial" w:cs="Arial" w:eastAsia="Arial" w:hAnsi="Arial"/>
          <w:sz w:val="18"/>
          <w:szCs w:val="18"/>
          <w:color w:val="auto"/>
        </w:rPr>
        <w:t>Stock-based compensation expense by classification within the unaudited condensed consolidated statements of operations and comprehensive loss is as follows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7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6"/>
                <w:szCs w:val="16"/>
                <w:color w:val="auto"/>
              </w:rPr>
            </w:pPr>
          </w:p>
        </w:tc>
      </w:tr>
      <w:tr>
        <w:trPr>
          <w:trHeight w:val="156"/>
        </w:trPr>
        <w:tc>
          <w:tcPr>
            <w:tcW w:w="70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7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8,946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7,798</w:t>
            </w:r>
          </w:p>
        </w:tc>
      </w:tr>
      <w:tr>
        <w:trPr>
          <w:trHeight w:val="203"/>
        </w:trPr>
        <w:tc>
          <w:tcPr>
            <w:tcW w:w="70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11,738</w:t>
            </w: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9,061</w:t>
            </w:r>
          </w:p>
        </w:tc>
      </w:tr>
      <w:tr>
        <w:trPr>
          <w:trHeight w:val="196"/>
        </w:trPr>
        <w:tc>
          <w:tcPr>
            <w:tcW w:w="70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20,684</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16,859</w:t>
            </w:r>
          </w:p>
        </w:tc>
      </w:tr>
      <w:tr>
        <w:trPr>
          <w:trHeight w:val="20"/>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Net Loss per Share</w:t>
      </w:r>
    </w:p>
    <w:p>
      <w:pPr>
        <w:spacing w:after="0" w:line="216" w:lineRule="exact"/>
        <w:rPr>
          <w:sz w:val="20"/>
          <w:szCs w:val="20"/>
          <w:color w:val="auto"/>
        </w:rPr>
      </w:pPr>
    </w:p>
    <w:p>
      <w:pPr>
        <w:ind w:left="60" w:right="160" w:firstLine="648"/>
        <w:spacing w:after="0" w:line="239" w:lineRule="auto"/>
        <w:rPr>
          <w:sz w:val="20"/>
          <w:szCs w:val="20"/>
          <w:color w:val="auto"/>
        </w:rPr>
      </w:pPr>
      <w:r>
        <w:rPr>
          <w:rFonts w:ascii="Arial" w:cs="Arial" w:eastAsia="Arial" w:hAnsi="Arial"/>
          <w:sz w:val="18"/>
          <w:szCs w:val="18"/>
          <w:color w:val="auto"/>
        </w:rPr>
        <w:t>Basic net loss per share is calculated by dividing net loss by the weighted average shares outstanding during the period, without consideration for common stock equivalents. Diluted net loss per share is calculated by adjusting weighted average shares outstanding for the dilutive effect of common stock equivalents outstanding for the period. For purposes of the dilutive net loss per share calculation, stock options, unvested restricted stock units and ESPP shares are considered to be common stock equivalents but are excluded from the calculation of diluted net loss per share, as their effect would be anti-dilutive; therefore, basic and diluted net loss per share were the same for all periods presented as a result of the Company’s net loss.</w:t>
      </w:r>
    </w:p>
    <w:p>
      <w:pPr>
        <w:spacing w:after="0" w:line="191" w:lineRule="exact"/>
        <w:rPr>
          <w:sz w:val="20"/>
          <w:szCs w:val="20"/>
          <w:color w:val="auto"/>
        </w:rPr>
      </w:pPr>
    </w:p>
    <w:p>
      <w:pPr>
        <w:jc w:val="both"/>
        <w:ind w:left="60" w:right="220" w:firstLine="648"/>
        <w:spacing w:after="0" w:line="261"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for the periods indicated because including them would have had an anti-dilutive effect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120" w:type="dxa"/>
            <w:vAlign w:val="bottom"/>
          </w:tcPr>
          <w:p>
            <w:pPr>
              <w:spacing w:after="0"/>
              <w:rPr>
                <w:sz w:val="16"/>
                <w:szCs w:val="16"/>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87"/>
        </w:trPr>
        <w:tc>
          <w:tcPr>
            <w:tcW w:w="7120" w:type="dxa"/>
            <w:vAlign w:val="bottom"/>
          </w:tcPr>
          <w:p>
            <w:pPr>
              <w:spacing w:after="0"/>
              <w:rPr>
                <w:sz w:val="16"/>
                <w:szCs w:val="16"/>
                <w:color w:val="auto"/>
              </w:rPr>
            </w:pPr>
          </w:p>
        </w:tc>
        <w:tc>
          <w:tcPr>
            <w:tcW w:w="122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tcBorders>
              <w:bottom w:val="single" w:sz="8" w:color="auto"/>
            </w:tcBorders>
          </w:tcPr>
          <w:p>
            <w:pPr>
              <w:spacing w:after="0"/>
              <w:rPr>
                <w:sz w:val="16"/>
                <w:szCs w:val="16"/>
                <w:color w:val="auto"/>
              </w:rPr>
            </w:pPr>
          </w:p>
        </w:tc>
      </w:tr>
      <w:tr>
        <w:trPr>
          <w:trHeight w:val="196"/>
        </w:trPr>
        <w:tc>
          <w:tcPr>
            <w:tcW w:w="7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2020</w:t>
            </w:r>
          </w:p>
        </w:tc>
      </w:tr>
      <w:tr>
        <w:trPr>
          <w:trHeight w:val="196"/>
        </w:trPr>
        <w:tc>
          <w:tcPr>
            <w:tcW w:w="7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6,386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6,643</w:t>
            </w:r>
          </w:p>
        </w:tc>
      </w:tr>
      <w:tr>
        <w:trPr>
          <w:trHeight w:val="203"/>
        </w:trPr>
        <w:tc>
          <w:tcPr>
            <w:tcW w:w="712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1,583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1,098</w:t>
            </w:r>
          </w:p>
        </w:tc>
      </w:tr>
      <w:tr>
        <w:trPr>
          <w:trHeight w:val="203"/>
        </w:trPr>
        <w:tc>
          <w:tcPr>
            <w:tcW w:w="7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ESPP shares</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r>
      <w:tr>
        <w:trPr>
          <w:trHeight w:val="196"/>
        </w:trPr>
        <w:tc>
          <w:tcPr>
            <w:tcW w:w="71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7,988</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7,755</w:t>
            </w:r>
          </w:p>
        </w:tc>
      </w:tr>
      <w:tr>
        <w:trPr>
          <w:trHeight w:val="20"/>
        </w:trPr>
        <w:tc>
          <w:tcPr>
            <w:tcW w:w="7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16" w:lineRule="exact"/>
        <w:rPr>
          <w:sz w:val="20"/>
          <w:szCs w:val="20"/>
          <w:color w:val="auto"/>
        </w:rPr>
      </w:pPr>
    </w:p>
    <w:p>
      <w:pPr>
        <w:jc w:val="both"/>
        <w:ind w:left="60" w:right="200" w:firstLine="648"/>
        <w:spacing w:after="0" w:line="270" w:lineRule="auto"/>
        <w:rPr>
          <w:sz w:val="20"/>
          <w:szCs w:val="20"/>
          <w:color w:val="auto"/>
        </w:rPr>
      </w:pPr>
      <w:r>
        <w:rPr>
          <w:rFonts w:ascii="Arial" w:cs="Arial" w:eastAsia="Arial" w:hAnsi="Arial"/>
          <w:sz w:val="17"/>
          <w:szCs w:val="17"/>
          <w:color w:val="auto"/>
        </w:rPr>
        <w:t>The Company utilizes the asset and liability method of accounting for income taxes. Under this method, deferred tax assets and liabilities are determined based on the difference between the financial statement carrying amounts and tax basis of assets and liabilities using enacted tax rates in effect for years in which the temporary</w:t>
      </w:r>
    </w:p>
    <w:p>
      <w:pPr>
        <w:sectPr>
          <w:pgSz w:w="11900" w:h="16838" w:orient="portrait"/>
          <w:cols w:equalWidth="0" w:num="1">
            <w:col w:w="9040"/>
          </w:cols>
          <w:pgMar w:left="1440" w:top="517" w:right="1419" w:bottom="1440" w:gutter="0" w:footer="0" w:header="0"/>
        </w:sectPr>
      </w:pP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61" w:lineRule="auto"/>
        <w:rPr>
          <w:sz w:val="20"/>
          <w:szCs w:val="20"/>
          <w:color w:val="auto"/>
        </w:rPr>
      </w:pPr>
      <w:r>
        <w:rPr>
          <w:rFonts w:ascii="Arial" w:cs="Arial" w:eastAsia="Arial" w:hAnsi="Arial"/>
          <w:sz w:val="18"/>
          <w:szCs w:val="18"/>
          <w:color w:val="auto"/>
        </w:rPr>
        <w:t>differences are expected to reverse. The Company provides a valuation allowance when it is more likely than not that deferred tax assets will not be realized.</w:t>
      </w:r>
    </w:p>
    <w:p>
      <w:pPr>
        <w:spacing w:after="0" w:line="171"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7"/>
          <w:szCs w:val="17"/>
          <w:color w:val="auto"/>
        </w:rPr>
        <w:t>The realization of deferred income tax assets is dependent on the generation of sufficient taxable income during future periods in which temporary differences are expected to reverse. Where the realization of such assets does not meet the more likely than not criterion, the Company applies a valuation allowance against the deferred income tax asset under consideration. The valuation allowance is reviewed periodically and if the assessment of the more likely than not criterion changes, the valuation allowance is adjusted accordingly. As of March 31, 2021, the Company has a full valuation allowance applied against its U.S. and foreign deferred tax assets.</w:t>
      </w:r>
    </w:p>
    <w:p>
      <w:pPr>
        <w:spacing w:after="0" w:line="17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6"/>
          <w:szCs w:val="16"/>
          <w:color w:val="auto"/>
        </w:rPr>
        <w:t>On March 11, 2021, President Joe Biden signed into law a relief and stimulus package known as the American Rescue Plan Act of 2021 (ARPA) stimulus package. While this Act provides various tax provisions including for example, extending the employee retention credit through the end of 2021, modifying the paid sick and family leave credits, repealing the worldwide interest allocation rules that were scheduled to take effect in 2021, and expanding the number of employees subject to the limit on the deduction for executive compensation under Section 162(m) beginning in 2027, among other things, based on the Company’s initial review of the various business tax provisions offered in the ARPA along with having a valuation allowance on its U.S. deferred tax assets, it does not believe that there is an impact to the Company and as such the recording of a discrete item in the first quarter of 2021 was not required.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Leases</w:t>
      </w:r>
    </w:p>
    <w:p>
      <w:pPr>
        <w:spacing w:after="0" w:line="216" w:lineRule="exact"/>
        <w:rPr>
          <w:sz w:val="20"/>
          <w:szCs w:val="20"/>
          <w:color w:val="auto"/>
        </w:rPr>
      </w:pPr>
    </w:p>
    <w:p>
      <w:pPr>
        <w:ind w:left="60" w:right="99" w:firstLine="648"/>
        <w:spacing w:after="0"/>
        <w:rPr>
          <w:sz w:val="20"/>
          <w:szCs w:val="20"/>
          <w:color w:val="auto"/>
        </w:rPr>
      </w:pPr>
      <w:r>
        <w:rPr>
          <w:rFonts w:ascii="Arial" w:cs="Arial" w:eastAsia="Arial" w:hAnsi="Arial"/>
          <w:sz w:val="18"/>
          <w:szCs w:val="18"/>
          <w:color w:val="auto"/>
        </w:rPr>
        <w:t>The Company’s building leases are comprised of office and laboratory spaces under non-cancelable operating leases. The lease agreements have remaining lease terms of two to nine years and contain various clauses for renewal at the Company’s option. The renewal options were not included in the calculation of the operating lease assets and the operating lease as the renewal option is not reasonably certain of being exercised. The lease agreements do not contain residual value guarantees and the components of lease cost for the three months ended March 31, 2021 and 2020 were as follows (in thousands):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1"/>
        </w:trPr>
        <w:tc>
          <w:tcPr>
            <w:tcW w:w="6540" w:type="dxa"/>
            <w:vAlign w:val="bottom"/>
            <w:vMerge w:val="restart"/>
          </w:tcPr>
          <w:p>
            <w:pPr>
              <w:ind w:left="2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Lease cost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4,722</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Sublease income</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(327)</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Net lease cost</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4,395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has not entered into any material short-term leases or financing leases as of March 31, 2021.</w:t>
      </w:r>
    </w:p>
    <w:p>
      <w:pPr>
        <w:spacing w:after="0" w:line="223" w:lineRule="exact"/>
        <w:rPr>
          <w:sz w:val="20"/>
          <w:szCs w:val="20"/>
          <w:color w:val="auto"/>
        </w:rPr>
      </w:pPr>
    </w:p>
    <w:p>
      <w:pPr>
        <w:ind w:left="60" w:right="239" w:firstLine="648"/>
        <w:spacing w:after="0" w:line="261" w:lineRule="auto"/>
        <w:rPr>
          <w:sz w:val="20"/>
          <w:szCs w:val="20"/>
          <w:color w:val="auto"/>
        </w:rPr>
      </w:pPr>
      <w:r>
        <w:rPr>
          <w:rFonts w:ascii="Arial" w:cs="Arial" w:eastAsia="Arial" w:hAnsi="Arial"/>
          <w:sz w:val="18"/>
          <w:szCs w:val="18"/>
          <w:color w:val="auto"/>
        </w:rPr>
        <w:t>Supplemental cash flow information related to leases for the three months ended March 31, 2021 was as follows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5"/>
          </w:tcPr>
          <w:p>
            <w:pPr>
              <w:jc w:val="right"/>
              <w:ind w:right="434"/>
              <w:spacing w:after="0"/>
              <w:rPr>
                <w:sz w:val="20"/>
                <w:szCs w:val="20"/>
                <w:color w:val="auto"/>
              </w:rPr>
            </w:pPr>
            <w:r>
              <w:rPr>
                <w:rFonts w:ascii="Arial" w:cs="Arial" w:eastAsia="Arial" w:hAnsi="Arial"/>
                <w:sz w:val="14"/>
                <w:szCs w:val="14"/>
                <w:b w:val="1"/>
                <w:bCs w:val="1"/>
                <w:color w:val="auto"/>
              </w:rPr>
              <w:t>Three Months Ended</w:t>
            </w:r>
          </w:p>
        </w:tc>
      </w:tr>
      <w:tr>
        <w:trPr>
          <w:trHeight w:val="201"/>
        </w:trPr>
        <w:tc>
          <w:tcPr>
            <w:tcW w:w="6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7"/>
                <w:szCs w:val="17"/>
                <w:color w:val="auto"/>
              </w:rPr>
            </w:pPr>
          </w:p>
        </w:tc>
      </w:tr>
      <w:tr>
        <w:trPr>
          <w:trHeight w:val="196"/>
        </w:trPr>
        <w:tc>
          <w:tcPr>
            <w:tcW w:w="65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r>
      <w:tr>
        <w:trPr>
          <w:trHeight w:val="196"/>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3,696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3,581</w:t>
            </w: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Lease liabilities arising from obtaining right-of-use assets: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523</w:t>
            </w:r>
          </w:p>
        </w:tc>
      </w:tr>
      <w:tr>
        <w:trPr>
          <w:trHeight w:val="607"/>
        </w:trPr>
        <w:tc>
          <w:tcPr>
            <w:tcW w:w="8900" w:type="dxa"/>
            <w:vAlign w:val="bottom"/>
            <w:gridSpan w:val="7"/>
          </w:tcPr>
          <w:p>
            <w:pPr>
              <w:jc w:val="right"/>
              <w:ind w:right="314"/>
              <w:spacing w:after="0"/>
              <w:rPr>
                <w:sz w:val="20"/>
                <w:szCs w:val="20"/>
                <w:color w:val="auto"/>
              </w:rPr>
            </w:pPr>
            <w:r>
              <w:rPr>
                <w:rFonts w:ascii="Arial" w:cs="Arial" w:eastAsia="Arial" w:hAnsi="Arial"/>
                <w:sz w:val="18"/>
                <w:szCs w:val="18"/>
                <w:color w:val="auto"/>
                <w:w w:val="95"/>
              </w:rPr>
              <w:t>The weighted average remaining lease term and weighted average discount rate of the operating leases are as</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follows: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9"/>
        </w:trPr>
        <w:tc>
          <w:tcPr>
            <w:tcW w:w="65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Operating leases</w:t>
            </w:r>
          </w:p>
        </w:tc>
      </w:tr>
      <w:tr>
        <w:trPr>
          <w:trHeight w:val="196"/>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remaining lease term in years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Commitments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 Agreements</w:t>
      </w:r>
    </w:p>
    <w:p>
      <w:pPr>
        <w:spacing w:after="0" w:line="212"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212529"/>
        </w:rPr>
        <w:t>In connection with the commercialization of AYVAKIT/AYVAKYT and GAVRETO, the Company has negotiated manufacturing agreements with certain vendors that require the Company to meet minimum purchase obligations on an annual basis. During the three months ended March 31, 2021</w:t>
      </w:r>
      <w:r>
        <w:rPr>
          <w:rFonts w:ascii="Arial" w:cs="Arial" w:eastAsia="Arial" w:hAnsi="Arial"/>
          <w:sz w:val="18"/>
          <w:szCs w:val="18"/>
          <w:color w:val="000000"/>
        </w:rPr>
        <w:t>, there were no material changes to the Company’s contractual</w:t>
      </w:r>
      <w:r>
        <w:rPr>
          <w:rFonts w:ascii="Arial" w:cs="Arial" w:eastAsia="Arial" w:hAnsi="Arial"/>
          <w:sz w:val="18"/>
          <w:szCs w:val="18"/>
          <w:color w:val="212529"/>
        </w:rPr>
        <w:t xml:space="preserve"> </w:t>
      </w:r>
      <w:r>
        <w:rPr>
          <w:rFonts w:ascii="Arial" w:cs="Arial" w:eastAsia="Arial" w:hAnsi="Arial"/>
          <w:sz w:val="18"/>
          <w:szCs w:val="18"/>
          <w:color w:val="000000"/>
        </w:rPr>
        <w:t>obligations described in Note 17 to the consolidated financial statements in the Company’s Annual Report on Form 10-K for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2020, filed with the Securities and Exchange Commission, or the SEC, on February 17, 2021.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left="60" w:right="99" w:firstLine="648"/>
        <w:spacing w:after="0" w:line="256" w:lineRule="auto"/>
        <w:rPr>
          <w:sz w:val="20"/>
          <w:szCs w:val="20"/>
          <w:color w:val="auto"/>
        </w:rPr>
      </w:pPr>
      <w:r>
        <w:rPr>
          <w:rFonts w:ascii="Arial" w:cs="Arial" w:eastAsia="Arial" w:hAnsi="Arial"/>
          <w:sz w:val="16"/>
          <w:szCs w:val="16"/>
          <w:color w:val="auto"/>
        </w:rPr>
        <w:t>We are a global precision therapy company that is inventing transformative medicines for people with cancer and hematologic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We are delivering our approved medicines, AYVAKIT™/AYVAKYT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(avapritinib) and GAVRETO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(pralsetinib), to patients in the U.S. and Europe, and we are globally advancing multiple programs for genomically defined cancers, systemic mastocytosis, and cancer immunotherapy.</w:t>
      </w:r>
    </w:p>
    <w:p>
      <w:pPr>
        <w:spacing w:after="0" w:line="201"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Our drug discovery approach combines our deep understanding of kinase biology with our proprietary compound library and chemistry expertise to design highly selective and potent precision therapies,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and hematology to create a cycle of innovation.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Systemic Mastocytosis and other Mast Cell Disorders — Avapritinib and BLU-263</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Avapritinib</w:t>
      </w:r>
    </w:p>
    <w:p>
      <w:pPr>
        <w:spacing w:after="0" w:line="239" w:lineRule="exact"/>
        <w:rPr>
          <w:sz w:val="20"/>
          <w:szCs w:val="20"/>
          <w:color w:val="auto"/>
        </w:rPr>
      </w:pPr>
    </w:p>
    <w:p>
      <w:pPr>
        <w:jc w:val="both"/>
        <w:ind w:left="60" w:right="139" w:firstLine="648"/>
        <w:spacing w:after="0" w:line="243" w:lineRule="auto"/>
        <w:rPr>
          <w:sz w:val="20"/>
          <w:szCs w:val="20"/>
          <w:color w:val="auto"/>
        </w:rPr>
      </w:pPr>
      <w:r>
        <w:rPr>
          <w:rFonts w:ascii="Arial" w:cs="Arial" w:eastAsia="Arial" w:hAnsi="Arial"/>
          <w:sz w:val="18"/>
          <w:szCs w:val="18"/>
          <w:color w:val="auto"/>
        </w:rPr>
        <w:t>We are developing avapritinib for the treatment of systemic mastocytosis, or SM, a rare hematologic disorder that causes an overproduction of mast cells and the accumulation of mast cells in the bone marrow and other organs, which can lead to a wide range of debilitating symptoms and organ dysfunction and failure. Nearly all cases of SM are driven by the KIT D816V mutation, which aberrantly activates mast cells.</w:t>
      </w:r>
    </w:p>
    <w:p>
      <w:pPr>
        <w:spacing w:after="0" w:line="228"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In December 2020, we submitted a supplemental new drug application, or NDA, to the U.S. Food and Drug Administration, or FDA, for avapritinib for the treatment of adult patients with advanced SM. In February 2021, the FDA accepted our application and set a Prescription Drug User Fee Act, or PDUFA, action date of June 16, 2021. In March 2021, we announced that the European Medicines Agency, or EMA, validated our marketing authorization application, or MAA, for avapritinib for the treatment of advanced SM. Validation of the MAA confirms that the application is sufficiently complete to begin the formal review process.</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are currently evaluating avapritinib in an ongoing registration-enabling Phase 1 clinical trial in advanced SM,</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which we refer to as our EXPLORER trial, and an ongoing registration-enabling Phase 2 clinical trial in advanced SM,</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7"/>
          <w:szCs w:val="17"/>
          <w:color w:val="auto"/>
        </w:rPr>
        <w:t>which we refer to as our PATHFINDER trial. In April 2021, we presented registrational data from the PATHFINDER</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trial at the virtual American Association for Cancer Research, or AACR, Annual Meeting 2021, following the presentation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 positive top-line data from the EXPLORER and PATHFINDER trials in September 2020. In addition, we are evaluating</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avapritinib in an ongoing registration-enabling Phase 2 clinical trial in non-advanced SM, which we refer to as our</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PIONEER trial. We expect to complete enrollment of Part 2 of the PIONEER trial in mid-2021.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354965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The FDA has granted breakthrough therapy designation to avapritinib for (i) the treatment of advanced SM, including the subtypes of aggressive SM, SM with an associated hematologic neoplasm and mast cell leukemia, and (ii) the treatment of moderate to severe indolent SM. In addition, the FDA has granted orphan drug designation to avapritinib for the treatment of mastocytosis, and the European Commission has granted orphan medicinal product designation to avapritinib for the treatment of mastocytosis.</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BLU-263</w:t>
      </w:r>
    </w:p>
    <w:p>
      <w:pPr>
        <w:spacing w:after="0" w:line="252"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7"/>
          <w:szCs w:val="17"/>
          <w:color w:val="auto"/>
        </w:rPr>
        <w:t>BLU-263 is an investigational, orally available, potent and highly selective KIT inhibitor that we are developing for the treatment of non-advanced SM and other mast cell disorders. BLU-263 is designed to have equivalent potency as avapritinib, with low off-target activity and lower penetration of the central nervous system, or CNS, relative to avapritinib based on preclinical data, which we believe will enable development of BLU-263 in a broad population of patients with non-advanced SM, including patients with lower disease burden requiring potentially life-long chronic therapy, and potentially patients with other mast cell disorders. In January and April 2021, we announced positive top-line results from a Phase 1 trial of BLU-263 in healthy volunteers. Based on these data, in mid-2021, we plan to initiate a Phase 2/3 trial of BLU-263 in patients with non-advanced SM, which we refer to as our HARBOR trial.</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RET-altered Cancers — GAVRETO</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(pralsetinib)</w:t>
      </w:r>
    </w:p>
    <w:p>
      <w:pPr>
        <w:spacing w:after="0" w:line="170"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7"/>
          <w:szCs w:val="17"/>
          <w:color w:val="auto"/>
        </w:rPr>
        <w:t>We are developing and commercializing pralsetinib for the treatment of RET fusion-positive non-small cell lung cancer, or NSCLC, and for the treatment of RET-altered thyroid carcinoma, including medullary thyroid carcinoma, or MTC. We are also developing pralsetinib for the treatment of other RET-altered solid tumors. We have granted exclusive licenses to Roche and CStone Pharmaceuticals, or CStone, to develop and commercialize pralsetinib in their respective territories. See “—Collaborations and Licenses” below.</w:t>
      </w:r>
    </w:p>
    <w:p>
      <w:pPr>
        <w:spacing w:after="0" w:line="214"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7"/>
          <w:szCs w:val="17"/>
          <w:color w:val="auto"/>
        </w:rPr>
        <w:t>Pralsetinib is approved in the U.S. with accelerated approval under the brand name GAVRETO for the treatment of (i) adult patients with metastatic RET fusion-positive NSCLC as detected by an FDA approved test, (ii) adult and pediatric patients 12 years of age and older with advanced or metastatic RET-mutant MTC who require systemic therapy, and (iii) adult and pediatric patients 12 years of age and older with advanced or metastatic RET fusion-positive thyroid cancer who require systemic therapy and who are radioactive iodine-refractory (if radioactive iodine is appropriate). In addition, in March 2021, CStone announced that China’s National Medical Products Administration, or NMPA, approved GAVRETO for the treatment of adult patients with locally advanced or metastatic RET fusion-positive NSCLC after platinum-based chemotherapy.</w:t>
      </w:r>
    </w:p>
    <w:p>
      <w:pPr>
        <w:spacing w:after="0" w:line="208" w:lineRule="exact"/>
        <w:rPr>
          <w:sz w:val="20"/>
          <w:szCs w:val="20"/>
          <w:color w:val="auto"/>
        </w:rPr>
      </w:pPr>
    </w:p>
    <w:p>
      <w:pPr>
        <w:ind w:left="60" w:right="219" w:firstLine="648"/>
        <w:spacing w:after="0" w:line="239" w:lineRule="auto"/>
        <w:rPr>
          <w:sz w:val="20"/>
          <w:szCs w:val="20"/>
          <w:color w:val="auto"/>
        </w:rPr>
      </w:pPr>
      <w:r>
        <w:rPr>
          <w:rFonts w:ascii="Arial" w:cs="Arial" w:eastAsia="Arial" w:hAnsi="Arial"/>
          <w:sz w:val="18"/>
          <w:szCs w:val="18"/>
          <w:color w:val="auto"/>
        </w:rPr>
        <w:t>The EMA is currently reviewing our MAA for pralsetinib for RET fusion-positive NSCLC. If approved by the European Commission, Roche plans to launch pralsetinib in RET fusion-positive NSCLC in Europe in the second half of 2021. Roche also plans to submit a Type II variation MAA to the EMA for pralsetinib for RET-altered thyroid cancers in the second half of 2021, and to submit marketing applications for pralsetinib for RET-altered NSCLC and thyroid cancers across multiple additional global geographies in 2021. In addition, in April 2021, CStone announced that China’s NMPA accepted an NDA submitted by CStone for pralsetinib for the treatment of patients with advanced or metastatic RET-altered thyroid cancer.</w:t>
      </w:r>
    </w:p>
    <w:p>
      <w:pPr>
        <w:spacing w:after="0" w:line="231" w:lineRule="exact"/>
        <w:rPr>
          <w:sz w:val="20"/>
          <w:szCs w:val="20"/>
          <w:color w:val="auto"/>
        </w:rPr>
      </w:pPr>
    </w:p>
    <w:p>
      <w:pPr>
        <w:ind w:left="60" w:right="119" w:firstLine="648"/>
        <w:spacing w:after="0" w:line="243" w:lineRule="auto"/>
        <w:rPr>
          <w:sz w:val="20"/>
          <w:szCs w:val="20"/>
          <w:color w:val="auto"/>
        </w:rPr>
      </w:pPr>
      <w:r>
        <w:rPr>
          <w:rFonts w:ascii="Arial" w:cs="Arial" w:eastAsia="Arial" w:hAnsi="Arial"/>
          <w:sz w:val="18"/>
          <w:szCs w:val="18"/>
          <w:color w:val="auto"/>
        </w:rPr>
        <w:t>We are currently evaluating pralsetinib in an ongoing registration-enabling Phase 1/2 clinical trial in patients with RET-altered NSCLC, MTC and other advanced solid tumors, which we refer to as our ARROW trial. Pursuant to our collaboration with Roche, we plan to co-develop pralsetinib globally in RET-altered solid tumors, including NSCLC, MTC and other thyroid cancers, as well as other solid tumors.</w:t>
      </w:r>
    </w:p>
    <w:p>
      <w:pPr>
        <w:spacing w:after="0" w:line="228" w:lineRule="exact"/>
        <w:rPr>
          <w:sz w:val="20"/>
          <w:szCs w:val="20"/>
          <w:color w:val="auto"/>
        </w:rPr>
      </w:pPr>
    </w:p>
    <w:p>
      <w:pPr>
        <w:ind w:left="60" w:right="159" w:firstLine="648"/>
        <w:spacing w:after="0" w:line="241" w:lineRule="auto"/>
        <w:rPr>
          <w:sz w:val="20"/>
          <w:szCs w:val="20"/>
          <w:color w:val="auto"/>
        </w:rPr>
      </w:pPr>
      <w:r>
        <w:rPr>
          <w:rFonts w:ascii="Arial" w:cs="Arial" w:eastAsia="Arial" w:hAnsi="Arial"/>
          <w:sz w:val="18"/>
          <w:szCs w:val="18"/>
          <w:color w:val="auto"/>
        </w:rPr>
        <w:t>The FDA has granted breakthrough therapy designation to pralsetinib for (i) the treatment of patients with RET fusion-positive NSCLC that has progressed following platinum-based chemotherapy and (b) the treatment of patients with RET mutation-positive MTC that requires systemic treatment and for which there are no acceptable alternative treatments. In addition, the FDA has granted orphan drug designation to pralsetinib for the treatment of RET-rearranged NSCLC, JAK1/2-positive NSCLC or TRKC-positive NSCLC.</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PDGFRA-Driven Gastrointestinal Stromal Tumors — AYVAKIT™ / AYVAKYT</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(avapritinib)</w:t>
      </w:r>
    </w:p>
    <w:p>
      <w:pPr>
        <w:spacing w:after="0" w:line="170" w:lineRule="exact"/>
        <w:rPr>
          <w:sz w:val="20"/>
          <w:szCs w:val="20"/>
          <w:color w:val="auto"/>
        </w:rPr>
      </w:pPr>
    </w:p>
    <w:p>
      <w:pPr>
        <w:ind w:left="60" w:right="59" w:firstLine="648"/>
        <w:spacing w:after="0" w:line="238" w:lineRule="auto"/>
        <w:rPr>
          <w:sz w:val="20"/>
          <w:szCs w:val="20"/>
          <w:color w:val="auto"/>
        </w:rPr>
      </w:pPr>
      <w:r>
        <w:rPr>
          <w:rFonts w:ascii="Arial" w:cs="Arial" w:eastAsia="Arial" w:hAnsi="Arial"/>
          <w:sz w:val="18"/>
          <w:szCs w:val="18"/>
          <w:color w:val="auto"/>
        </w:rPr>
        <w:t>We are commercializing avapritinib for the treatment of patients with PDGFRA exon 18 mutant gastrointestinal stromal tumors, or GIST, a rare disease that is a sarcoma, or tumor of bone or connective tissue, of the gastrointestinal tract. Avapritinib is approved in the U.S. under the brand name AYVAKIT for the treatment of adults with unresectable or metastatic gastrointestinal stromal tumors harboring a PDGFRA exon 18 mutation, including PDGFRA D842V mutations, and is approved in the European Union with conditional marketing authorization under the brand name AYVAKYT as a monotherapy for the treatment of adult patients with unresectable or metastatic GIST harboring a PDGFRA D842V mutation. In addition, in March 2021, CStone announced that China’s NMPA approved AYVAKIT for the treatment of adults with unresectable or metastatic GIST harboring a PDGFRA exon 18 mutation, including PDGFRA D842V mutations.</w:t>
      </w:r>
    </w:p>
    <w:p>
      <w:pPr>
        <w:spacing w:after="0" w:line="232" w:lineRule="exact"/>
        <w:rPr>
          <w:sz w:val="20"/>
          <w:szCs w:val="20"/>
          <w:color w:val="auto"/>
        </w:rPr>
      </w:pPr>
    </w:p>
    <w:p>
      <w:pPr>
        <w:ind w:left="60" w:right="259" w:firstLine="648"/>
        <w:spacing w:after="0" w:line="262" w:lineRule="auto"/>
        <w:rPr>
          <w:sz w:val="20"/>
          <w:szCs w:val="20"/>
          <w:color w:val="auto"/>
        </w:rPr>
      </w:pPr>
      <w:r>
        <w:rPr>
          <w:rFonts w:ascii="Arial" w:cs="Arial" w:eastAsia="Arial" w:hAnsi="Arial"/>
          <w:sz w:val="17"/>
          <w:szCs w:val="17"/>
          <w:color w:val="auto"/>
        </w:rPr>
        <w:t>The European Commission has granted orphan medicinal product designation to avapritinib for the treatment of GIST. CStone has submitted an NDA to the Taiwan Food and Drug Administration, or the TFDA, for avapritinib for the indication of adult patients with unresectable or metastatic GIST harboring a PDGFRA exon 18 mutation, including PDGFRA D842V mutations, and received priority review designation from the TFDA.</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Treatment-Resistant EGFR-Mutated NSCLC — BLU-701 and BLU-945</w:t>
      </w:r>
    </w:p>
    <w:p>
      <w:pPr>
        <w:spacing w:after="0" w:line="252" w:lineRule="exact"/>
        <w:rPr>
          <w:sz w:val="20"/>
          <w:szCs w:val="20"/>
          <w:color w:val="auto"/>
        </w:rPr>
      </w:pPr>
    </w:p>
    <w:p>
      <w:pPr>
        <w:ind w:left="60" w:right="99" w:firstLine="648"/>
        <w:spacing w:after="0" w:line="243" w:lineRule="auto"/>
        <w:rPr>
          <w:sz w:val="20"/>
          <w:szCs w:val="20"/>
          <w:color w:val="auto"/>
        </w:rPr>
      </w:pPr>
      <w:r>
        <w:rPr>
          <w:rFonts w:ascii="Arial" w:cs="Arial" w:eastAsia="Arial" w:hAnsi="Arial"/>
          <w:sz w:val="18"/>
          <w:szCs w:val="18"/>
          <w:color w:val="auto"/>
        </w:rPr>
        <w:t>We are developing two investigational EGFR inhibitors, BLU-701 and BLU-945, with the goal of addressing the most common on-target resistance mutations to currently available EGFR-targeted therapies. While the introduction of EGFR-targeted therapies, including osimertinib, has transformed the care of patients with EGFR-driven NSCLC, treatment resistance is a significant emerging unmet medical need.</w:t>
      </w:r>
    </w:p>
    <w:p>
      <w:pPr>
        <w:spacing w:after="0" w:line="228" w:lineRule="exact"/>
        <w:rPr>
          <w:sz w:val="20"/>
          <w:szCs w:val="20"/>
          <w:color w:val="auto"/>
        </w:rPr>
      </w:pPr>
    </w:p>
    <w:p>
      <w:pPr>
        <w:ind w:left="60" w:right="179" w:firstLine="648"/>
        <w:spacing w:after="0"/>
        <w:rPr>
          <w:sz w:val="20"/>
          <w:szCs w:val="20"/>
          <w:color w:val="auto"/>
        </w:rPr>
      </w:pPr>
      <w:r>
        <w:rPr>
          <w:rFonts w:ascii="Arial" w:cs="Arial" w:eastAsia="Arial" w:hAnsi="Arial"/>
          <w:sz w:val="18"/>
          <w:szCs w:val="18"/>
          <w:color w:val="auto"/>
        </w:rPr>
        <w:t>In addition to targeting EGFR resistance mutations, BLU-701 and BLU-945 were specifically designed for selectivity over wild-type EGFR and other kinases to enable potential improved tolerability and combination strategies. In the second half of 2021, we plan to present preclinical data supporting combination of BLU-945 and BLU-701 in treatment-naïve EGFR-driven NSCLC. In addition, in preclinical tumor models, both drug candidates have shown CNS activity, highlighting the potential to treat or prevent CNS metastases, which are more common in treatment-experienced NSCLC patients.</w:t>
      </w:r>
    </w:p>
    <w:p>
      <w:pPr>
        <w:spacing w:after="0" w:line="216" w:lineRule="exact"/>
        <w:rPr>
          <w:sz w:val="20"/>
          <w:szCs w:val="20"/>
          <w:color w:val="auto"/>
        </w:rPr>
      </w:pPr>
    </w:p>
    <w:p>
      <w:pPr>
        <w:ind w:left="60" w:right="359" w:firstLine="648"/>
        <w:spacing w:after="0" w:line="291" w:lineRule="auto"/>
        <w:rPr>
          <w:sz w:val="20"/>
          <w:szCs w:val="20"/>
          <w:color w:val="auto"/>
        </w:rPr>
      </w:pPr>
      <w:r>
        <w:rPr>
          <w:rFonts w:ascii="Arial" w:cs="Arial" w:eastAsia="Arial" w:hAnsi="Arial"/>
          <w:sz w:val="17"/>
          <w:szCs w:val="17"/>
          <w:color w:val="auto"/>
        </w:rPr>
        <w:t>We plan to initially develop BLU-701 and BLU-945 as monotherapies and in combination with each other and other therapies to overcome treatment resistance in specific patient populations with EGFR-driven NSCLC.</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EGFR-Positive Double Mutant NSCLC — BLU-701</w:t>
      </w:r>
    </w:p>
    <w:p>
      <w:pPr>
        <w:spacing w:after="0" w:line="252" w:lineRule="exact"/>
        <w:rPr>
          <w:sz w:val="20"/>
          <w:szCs w:val="20"/>
          <w:color w:val="auto"/>
        </w:rPr>
      </w:pPr>
    </w:p>
    <w:p>
      <w:pPr>
        <w:ind w:left="60" w:right="59" w:firstLine="648"/>
        <w:spacing w:after="0" w:line="239" w:lineRule="auto"/>
        <w:rPr>
          <w:sz w:val="20"/>
          <w:szCs w:val="20"/>
          <w:color w:val="auto"/>
        </w:rPr>
      </w:pPr>
      <w:r>
        <w:rPr>
          <w:rFonts w:ascii="Arial" w:cs="Arial" w:eastAsia="Arial" w:hAnsi="Arial"/>
          <w:sz w:val="18"/>
          <w:szCs w:val="18"/>
          <w:color w:val="auto"/>
        </w:rPr>
        <w:t>BLU-701 is a selective and potent investigational inhibitor of double-mutant EGFR harboring either the activating L858R or exon 19 deletion mutations combined with the acquired C797S mutation, the most common on-target resistance mutation to osimertinib. In April 2021, we presented foundational preclinical data for BLU-701 at the virtual AACR Annual Meeting 2021 showing strong and durable inhibition of tumor growth at doses that are EGFR wild-type sparing and potential for BLU-701 to be used in both first- and second-line settings. Based on these preclinical data, we plan to initially develop BLU-701 as a monotherapy and in combination with other therapies. We plan to initiate a Phase 1 trial of BLU-701 in the second half of 2021.</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EGFR-Positive Triple Mutant NSCLC — BLU-945</w:t>
      </w:r>
    </w:p>
    <w:p>
      <w:pPr>
        <w:spacing w:after="0" w:line="252"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6"/>
          <w:szCs w:val="16"/>
          <w:color w:val="auto"/>
        </w:rPr>
        <w:t>BLU-945 is a selective and potent investigational inhibitor of triple-mutant EGFR harboring either the activating L858R or exon 19 deletion mutations combined with the acquired T790M and C797S mutations, the most common on-target resistance to first-generation EGFR inhibitors and osimertinib, respectively. In April 2021, we presented updated preclinical data for BLU-945 at the virtual AACR Annual Meeting 2021 demonstrating potent anti-tumor activity in triple-mutant osimertinib-resistant tumor models, as well as activity in a triple-mutant intracranial patient-derived xenograft model. In addition, the combination of BLU-945 with either gefitinib or osimertinib showed enhanced anti-tumor activity when compared with either gefitinib or osimertinib alone. Based on these preclinical data, we plan to initially develop BLU-945 as a monotherapy and in combination with other agents. We plan to initiate a</w:t>
      </w:r>
    </w:p>
    <w:p>
      <w:pPr>
        <w:sectPr>
          <w:pgSz w:w="11900" w:h="16838" w:orient="portrait"/>
          <w:cols w:equalWidth="0" w:num="1">
            <w:col w:w="9019"/>
          </w:cols>
          <w:pgMar w:left="1440" w:top="517" w:right="1440" w:bottom="1440" w:gutter="0" w:footer="0" w:header="0"/>
        </w:sect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Phase 1 trial of BLU-945 in patients with EGFR-driven NSCLC in the second quarter of 2021.</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Cyclin E-Aberrant Cancers — BLU-222</w:t>
      </w:r>
    </w:p>
    <w:p>
      <w:pPr>
        <w:spacing w:after="0" w:line="252" w:lineRule="exact"/>
        <w:rPr>
          <w:sz w:val="20"/>
          <w:szCs w:val="20"/>
          <w:color w:val="auto"/>
        </w:rPr>
      </w:pPr>
    </w:p>
    <w:p>
      <w:pPr>
        <w:ind w:left="60" w:right="279" w:firstLine="648"/>
        <w:spacing w:after="0" w:line="284" w:lineRule="auto"/>
        <w:rPr>
          <w:sz w:val="20"/>
          <w:szCs w:val="20"/>
          <w:color w:val="auto"/>
        </w:rPr>
      </w:pPr>
      <w:r>
        <w:rPr>
          <w:rFonts w:ascii="Arial" w:cs="Arial" w:eastAsia="Arial" w:hAnsi="Arial"/>
          <w:sz w:val="16"/>
          <w:szCs w:val="16"/>
          <w:color w:val="auto"/>
        </w:rPr>
        <w:t>We are developing an investigational inhibitor, BLU-222, targeting CDK2. Cyclin dependent kinases, or CDKs, and their cyclin partners regulate the cell cycle. In subsets of patients across multiple cancer types, aberrant cyclin E, or CCNE, hyperactivates CDK2, resulting in cell cycle dysregulation and tumor proliferation. Aberrant CCNE has been observed as a primary driver of disease as well as a mechanism of resistance to CDK4/6 inhibitors and other therapies.</w:t>
      </w:r>
    </w:p>
    <w:p>
      <w:pPr>
        <w:spacing w:after="0" w:line="182" w:lineRule="exact"/>
        <w:rPr>
          <w:sz w:val="20"/>
          <w:szCs w:val="20"/>
          <w:color w:val="auto"/>
        </w:rPr>
      </w:pPr>
    </w:p>
    <w:p>
      <w:pPr>
        <w:ind w:left="60" w:right="299" w:firstLine="648"/>
        <w:spacing w:after="0" w:line="239" w:lineRule="auto"/>
        <w:rPr>
          <w:sz w:val="20"/>
          <w:szCs w:val="20"/>
          <w:color w:val="auto"/>
        </w:rPr>
      </w:pPr>
      <w:r>
        <w:rPr>
          <w:rFonts w:ascii="Arial" w:cs="Arial" w:eastAsia="Arial" w:hAnsi="Arial"/>
          <w:sz w:val="18"/>
          <w:szCs w:val="18"/>
          <w:color w:val="auto"/>
        </w:rPr>
        <w:t>In April 2021, we presented preclinical data at the virtual AACR Annual Meeting 2021 that showed CDK2 inhibition arrested the cell cycle and blocked tumor proliferation in CCNE-amplified cell lines and demonstrated robust and sustained anti-tumor activity in vivo in models of CCNE-amplified ovarian, breast and gastric cancer. A selective CDK2 inhibitor also showed improved tolerability compared to a pan-CDK inhibitor and chemotherapy, as measured by animal body weight. Based on these preclinical studies, we announced the nomination of BLU-222 as a selective and potent CDK2 inhibitor development candidate. We plan to initiate clinical development for BLU-222 in the first half of 2022.</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Fisogatinib — Hepatocellular Carcinoma</w:t>
      </w:r>
    </w:p>
    <w:p>
      <w:pPr>
        <w:spacing w:after="0" w:line="252" w:lineRule="exact"/>
        <w:rPr>
          <w:sz w:val="20"/>
          <w:szCs w:val="20"/>
          <w:color w:val="auto"/>
        </w:rPr>
      </w:pPr>
    </w:p>
    <w:p>
      <w:pPr>
        <w:ind w:left="60" w:right="99" w:firstLine="648"/>
        <w:spacing w:after="0" w:line="239" w:lineRule="auto"/>
        <w:rPr>
          <w:sz w:val="20"/>
          <w:szCs w:val="20"/>
          <w:color w:val="auto"/>
        </w:rPr>
      </w:pPr>
      <w:r>
        <w:rPr>
          <w:rFonts w:ascii="Arial" w:cs="Arial" w:eastAsia="Arial" w:hAnsi="Arial"/>
          <w:sz w:val="18"/>
          <w:szCs w:val="18"/>
          <w:color w:val="auto"/>
        </w:rPr>
        <w:t>We are developing fisogatinib for the treatment of advanced hepatocellular carcinoma, or HCC. Fisogatinib is an investigational, orally available, potent and highly selective inhibitor that targets FGFR4, a kinase that is aberrantly activated in a defined subset of patients with HCC, the most common type of liver cancer. As part of our collaboration with CStone, we are evaluating fisogatinib as a monotherapy and in combination with sugemalimab, a clinical-stage anti-PDL1 immunotherapy being developed by CStone, for the treatment of locally advanced or metastatic HCC in an ongoing Phase 1b/2 trial conducted in multiple clinical sites in China. The FDA has granted orphan drug designation to fisogatinib for the treatment of HCC.</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Discovery Platform</w:t>
      </w:r>
    </w:p>
    <w:p>
      <w:pPr>
        <w:spacing w:after="0" w:line="252"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In addition to our discovery programs for treatment-resistant EGFR-mutated NSCLC and for CCNE-aberrant cancers, we have multiple wholly-owned pre-development candidate programs for undisclosed kinase targets.</w:t>
      </w:r>
    </w:p>
    <w:p>
      <w:pPr>
        <w:spacing w:after="0" w:line="196" w:lineRule="exact"/>
        <w:rPr>
          <w:sz w:val="20"/>
          <w:szCs w:val="20"/>
          <w:color w:val="auto"/>
        </w:rPr>
      </w:pPr>
    </w:p>
    <w:p>
      <w:pPr>
        <w:ind w:left="60" w:right="279" w:firstLine="648"/>
        <w:spacing w:after="0" w:line="243" w:lineRule="auto"/>
        <w:rPr>
          <w:sz w:val="20"/>
          <w:szCs w:val="20"/>
          <w:color w:val="auto"/>
        </w:rPr>
      </w:pPr>
      <w:r>
        <w:rPr>
          <w:rFonts w:ascii="Arial" w:cs="Arial" w:eastAsia="Arial" w:hAnsi="Arial"/>
          <w:sz w:val="18"/>
          <w:szCs w:val="18"/>
          <w:color w:val="auto"/>
        </w:rPr>
        <w:t>Under our immunotherapy collaboration with Roche, we are conducting activities for up to two discovery programs, including BLU-852, a development candidate for the kinase target MAP4K1. See “—</w:t>
      </w:r>
      <w:r>
        <w:rPr>
          <w:rFonts w:ascii="Arial" w:cs="Arial" w:eastAsia="Arial" w:hAnsi="Arial"/>
          <w:sz w:val="18"/>
          <w:szCs w:val="18"/>
          <w:i w:val="1"/>
          <w:iCs w:val="1"/>
          <w:color w:val="auto"/>
        </w:rPr>
        <w:t>Collaborations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Licenses</w:t>
      </w:r>
      <w:r>
        <w:rPr>
          <w:rFonts w:ascii="Arial" w:cs="Arial" w:eastAsia="Arial" w:hAnsi="Arial"/>
          <w:sz w:val="18"/>
          <w:szCs w:val="18"/>
          <w:color w:val="auto"/>
        </w:rPr>
        <w:t>” Summary below. In April 2021, we presented initial preclinical data for BLU-852 at the virtual AACR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Development and Commercialization Rights</w:t>
      </w:r>
    </w:p>
    <w:p>
      <w:pPr>
        <w:spacing w:after="0" w:line="252"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6"/>
          <w:szCs w:val="16"/>
          <w:color w:val="auto"/>
        </w:rPr>
        <w:t>We currently have worldwide development and commercialization rights to avapritinib and fisogatinib, other than the rights licensed to CStone for these drug candidates in Mainland China, Hong Kong, Macau and Taiwan, or the CStone territory. We have worldwide development and commercialization rights to BLU-263. We currently have worldwide development and commercialization rights to all of our discovery programs, including BLU-701, BLU-945 and BLU-222, other than the discovery-stage cancer immunotherapy programs (including BLU-852) under our collaboration with Roche.</w:t>
      </w:r>
    </w:p>
    <w:p>
      <w:pPr>
        <w:spacing w:after="0" w:line="200"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7"/>
          <w:szCs w:val="17"/>
          <w:color w:val="auto"/>
        </w:rPr>
        <w:t>We have granted Roche an exclusive license to develop and commercialize pralsetinib worldwide, excluding the CStone territory and the U.S., and a co-exclusive license in the U.S. to develop and commercialize pralsetinib. We have granted CStone an exclusive license to develop and commercialize pralsetinib in the CStone territory. We have granted an exclusive worldwide license to Clementia Pharmaceuticals, Inc., or Clementia, a wholly-owned subsidiary of Ipsen S.A., to develop and commercialize BLU-782.</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Collaborations and Licenses</w:t>
      </w:r>
    </w:p>
    <w:p>
      <w:pPr>
        <w:spacing w:after="0" w:line="252"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i w:val="1"/>
          <w:iCs w:val="1"/>
          <w:color w:val="auto"/>
        </w:rPr>
        <w:t xml:space="preserve">Roche—Immunotherapy Collaboration. </w:t>
      </w:r>
      <w:r>
        <w:rPr>
          <w:rFonts w:ascii="Arial" w:cs="Arial" w:eastAsia="Arial" w:hAnsi="Arial"/>
          <w:sz w:val="16"/>
          <w:szCs w:val="16"/>
          <w:color w:val="auto"/>
        </w:rPr>
        <w:t>In March 2016, we entered into a collaboration with Roche to discover,</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and commercialize up to two small molecule therapeutics targeting kinases believed to be important in cancer immunotherapy (including BLU-852, a development candidate for the kinase target MAP4K1, which is believed to play a role in T cell regulation), as single products or possibly in combination with other therapeutics.</w:t>
      </w:r>
    </w:p>
    <w:p>
      <w:pPr>
        <w:spacing w:after="0" w:line="196" w:lineRule="exact"/>
        <w:rPr>
          <w:sz w:val="20"/>
          <w:szCs w:val="20"/>
          <w:color w:val="auto"/>
        </w:rPr>
      </w:pPr>
    </w:p>
    <w:p>
      <w:pPr>
        <w:ind w:left="60" w:right="279" w:firstLine="648"/>
        <w:spacing w:after="0" w:line="239" w:lineRule="auto"/>
        <w:rPr>
          <w:sz w:val="20"/>
          <w:szCs w:val="20"/>
          <w:color w:val="auto"/>
        </w:rPr>
      </w:pPr>
      <w:r>
        <w:rPr>
          <w:rFonts w:ascii="Arial" w:cs="Arial" w:eastAsia="Arial" w:hAnsi="Arial"/>
          <w:sz w:val="18"/>
          <w:szCs w:val="18"/>
          <w:i w:val="1"/>
          <w:iCs w:val="1"/>
          <w:color w:val="auto"/>
        </w:rPr>
        <w:t xml:space="preserve">Roche—Pralsetinib Collaboration. </w:t>
      </w:r>
      <w:r>
        <w:rPr>
          <w:rFonts w:ascii="Arial" w:cs="Arial" w:eastAsia="Arial" w:hAnsi="Arial"/>
          <w:sz w:val="18"/>
          <w:szCs w:val="18"/>
          <w:color w:val="auto"/>
        </w:rPr>
        <w:t>In July 2020, we entered into a collaboration with Roche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 pralsetinib for the treatment of RET-altered cancers. Under the collaboration, we and Genentech are co-commercializing GAVRETO in the U.S., and Roche has exclusive commercialization rights for pralsetinib outside of the U.S., excluding the CStone territory. We and Roche also plan to co-develop pralsetinib globally in RET-altered solid tumors, including NSCLC, MTC and other thyroid cancers, and expand development of pralsetinib in multiple treatment settings. Further, we and Roche plan to explore development of a next-generation RET inhibitor as part of the collaboration.</w:t>
      </w:r>
    </w:p>
    <w:p>
      <w:pPr>
        <w:spacing w:after="0" w:line="218" w:lineRule="exact"/>
        <w:rPr>
          <w:sz w:val="20"/>
          <w:szCs w:val="20"/>
          <w:color w:val="auto"/>
        </w:rPr>
      </w:pPr>
    </w:p>
    <w:p>
      <w:pPr>
        <w:ind w:left="60" w:right="439" w:firstLine="648"/>
        <w:spacing w:after="0" w:line="248" w:lineRule="auto"/>
        <w:rPr>
          <w:sz w:val="20"/>
          <w:szCs w:val="20"/>
          <w:color w:val="auto"/>
        </w:rPr>
      </w:pPr>
      <w:r>
        <w:rPr>
          <w:rFonts w:ascii="Arial" w:cs="Arial" w:eastAsia="Arial" w:hAnsi="Arial"/>
          <w:sz w:val="18"/>
          <w:szCs w:val="18"/>
          <w:i w:val="1"/>
          <w:iCs w:val="1"/>
          <w:color w:val="auto"/>
        </w:rPr>
        <w:t xml:space="preserve">CStone. </w:t>
      </w:r>
      <w:r>
        <w:rPr>
          <w:rFonts w:ascii="Arial" w:cs="Arial" w:eastAsia="Arial" w:hAnsi="Arial"/>
          <w:sz w:val="18"/>
          <w:szCs w:val="18"/>
          <w:color w:val="auto"/>
        </w:rPr>
        <w:t>In June 2018, we entered into a collaboration with CStone to develop and commercialize avapritinib,</w:t>
      </w:r>
      <w:r>
        <w:rPr>
          <w:rFonts w:ascii="Arial" w:cs="Arial" w:eastAsia="Arial" w:hAnsi="Arial"/>
          <w:sz w:val="18"/>
          <w:szCs w:val="18"/>
          <w:i w:val="1"/>
          <w:iCs w:val="1"/>
          <w:color w:val="auto"/>
        </w:rPr>
        <w:t xml:space="preserve"> </w:t>
      </w:r>
      <w:r>
        <w:rPr>
          <w:rFonts w:ascii="Arial" w:cs="Arial" w:eastAsia="Arial" w:hAnsi="Arial"/>
          <w:sz w:val="18"/>
          <w:szCs w:val="18"/>
          <w:color w:val="auto"/>
        </w:rPr>
        <w:t>pralsetinib and fisogatinib, including back-up forms and certain other forms, in the CStone territory either as a monotherapy or as part of a combination therapy.</w:t>
      </w:r>
    </w:p>
    <w:p>
      <w:pPr>
        <w:spacing w:after="0" w:line="222" w:lineRule="exact"/>
        <w:rPr>
          <w:sz w:val="20"/>
          <w:szCs w:val="20"/>
          <w:color w:val="auto"/>
        </w:rPr>
      </w:pPr>
    </w:p>
    <w:p>
      <w:pPr>
        <w:ind w:left="60" w:right="119" w:firstLine="648"/>
        <w:spacing w:after="0" w:line="239" w:lineRule="auto"/>
        <w:rPr>
          <w:sz w:val="20"/>
          <w:szCs w:val="20"/>
          <w:color w:val="auto"/>
        </w:rPr>
      </w:pPr>
      <w:r>
        <w:rPr>
          <w:rFonts w:ascii="Arial" w:cs="Arial" w:eastAsia="Arial" w:hAnsi="Arial"/>
          <w:sz w:val="18"/>
          <w:szCs w:val="18"/>
          <w:i w:val="1"/>
          <w:iCs w:val="1"/>
          <w:color w:val="auto"/>
        </w:rPr>
        <w:t xml:space="preserve">Clementia. </w:t>
      </w:r>
      <w:r>
        <w:rPr>
          <w:rFonts w:ascii="Arial" w:cs="Arial" w:eastAsia="Arial" w:hAnsi="Arial"/>
          <w:sz w:val="18"/>
          <w:szCs w:val="18"/>
          <w:color w:val="auto"/>
        </w:rPr>
        <w:t>In October 2019, we entered into a license agreement with Clementia Pharmaceuticals, Inc., or</w:t>
      </w:r>
      <w:r>
        <w:rPr>
          <w:rFonts w:ascii="Arial" w:cs="Arial" w:eastAsia="Arial" w:hAnsi="Arial"/>
          <w:sz w:val="18"/>
          <w:szCs w:val="18"/>
          <w:i w:val="1"/>
          <w:iCs w:val="1"/>
          <w:color w:val="auto"/>
        </w:rPr>
        <w:t xml:space="preserve"> </w:t>
      </w:r>
      <w:r>
        <w:rPr>
          <w:rFonts w:ascii="Arial" w:cs="Arial" w:eastAsia="Arial" w:hAnsi="Arial"/>
          <w:sz w:val="18"/>
          <w:szCs w:val="18"/>
          <w:color w:val="auto"/>
        </w:rPr>
        <w:t>Clementia, a wholly-owned subsidiary of Ipsen S.A., and granted Clementia an exclusive, worldwide, royalty-bearing license to develop and commercialize BLU-782, as well as specified other compounds related to the BLU-782 program. BLU-782 is an investigational, orally available, potent and highly selective inhibitor that targets mutant activin-like kinase 2, or ALK2, in development for the treatment of fibrodysplasia ossificans progressiva, or FOP. The FDA has granted a rare pediatric disease designation, orphan drug designation and fast track designation to BLU-782, each for the treatment of FOP.</w:t>
      </w:r>
    </w:p>
    <w:p>
      <w:pPr>
        <w:spacing w:after="0" w:line="231"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We will continue to evaluate additional collaborations, partnerships and licenses that could maximize the value for our programs and allow us to leverage the expertise of strategic collaborators, partners and licensors, including in additional geographies where we may not have current operations or expertise. We are also focused on engaging in collaborations, partnerships and license agreements to capitalize on our discovery platform outside of our primary strategic focus area of cancer and rare diseases.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Note on the COVID-19 Pandemic</w:t>
      </w:r>
    </w:p>
    <w:p>
      <w:pPr>
        <w:spacing w:after="0" w:line="252" w:lineRule="exact"/>
        <w:rPr>
          <w:sz w:val="20"/>
          <w:szCs w:val="20"/>
          <w:color w:val="auto"/>
        </w:rPr>
      </w:pPr>
    </w:p>
    <w:p>
      <w:pPr>
        <w:ind w:left="60" w:right="79" w:firstLine="661"/>
        <w:spacing w:after="0" w:line="284" w:lineRule="auto"/>
        <w:rPr>
          <w:sz w:val="20"/>
          <w:szCs w:val="20"/>
          <w:color w:val="auto"/>
        </w:rPr>
      </w:pPr>
      <w:r>
        <w:rPr>
          <w:rFonts w:ascii="Arial" w:cs="Arial" w:eastAsia="Arial" w:hAnsi="Arial"/>
          <w:sz w:val="16"/>
          <w:szCs w:val="16"/>
          <w:color w:val="auto"/>
        </w:rPr>
        <w:t>Due to the continued evolution and uncertain global impacts of the COVID-19 pandemic, and the identification of new variants of COVID-19, we cannot precisely determine or quantify the impact this pandemic will have on our business, operations and financial performance. In 2020, we initially established a work-from-home policy for all employees, other than those performing or supporting business-critical activities, such as certain members of our</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0" w:lineRule="auto"/>
        <w:rPr>
          <w:sz w:val="20"/>
          <w:szCs w:val="20"/>
          <w:color w:val="auto"/>
        </w:rPr>
      </w:pPr>
      <w:r>
        <w:rPr>
          <w:rFonts w:ascii="Arial" w:cs="Arial" w:eastAsia="Arial" w:hAnsi="Arial"/>
          <w:sz w:val="17"/>
          <w:szCs w:val="17"/>
          <w:color w:val="auto"/>
        </w:rPr>
        <w:t>laboratory and facilities staff. While the majority of employees continue to work from home, we have continued to evaluate and update this policy for each of our locations and field-based employees based on guidance from federal, state and local government authorities and the severity of the pandemic. For our ongoing and planned clinical trials, while we anticipate and have experienced some delays or disruptions due to the COVID-19 pandemic, in particular with respect to activation of additional clinical trial sites and patient enrollment rates, we have continued to work with any impacted clinical trial sites to ensure study continuity, enable medical monitoring, facilitate study procedures and maintain clinical data and records, including the use of local laboratories for testing and tumor imaging, home delivery of study drug and remote data and records monitoring. In addition, we currently have sufficient supply or plans for supply to meet our anticipated global commercial and clinical development needs for our approved drugs and clinical-stage drug candidates through 2022. However, depending on the duration and impact of the COVID-19 pandemic on local and global supply chains, our suppliers could be adversely impacted, which may result in delays or disruptions in our current or future supply chain. COVID-19 may also impact and has impacted our commercial activities for AYVAKIT/AYVAKYT and GAVRETO, including patient access to testing and identification. We are committed to continuing to serve the needs of healthcare providers, patients and other stakeholders during this critical time, including by conducting commercial and medical affairs field activities across our portfolio in virtual formats where possible. We will continue to assess the duration, scope and severity of the COVID-19 pandemic and the existing and potential impacts on our business, operations and financial performance, and we will continue to work closely with our third-party vendors, collaborators and other parties in order to seek to advance our pipeline of targeted therapies as quickly as possible, while making the health and safety of our employees and their families, healthcare providers, patients and communities a top priority. Please refer to our Risk Factors in Part II, Item IA of this Quarterly Report on Form 10-Q for further discussion of risks related to the COVID-19 pandemic.</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56" w:lineRule="exact"/>
        <w:rPr>
          <w:sz w:val="20"/>
          <w:szCs w:val="20"/>
          <w:color w:val="auto"/>
        </w:rPr>
      </w:pPr>
    </w:p>
    <w:p>
      <w:pPr>
        <w:ind w:left="60" w:right="679" w:firstLine="648"/>
        <w:spacing w:after="0" w:line="274" w:lineRule="auto"/>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and common stock, collaborations and a license agreement. Through</w:t>
      </w:r>
    </w:p>
    <w:p>
      <w:pPr>
        <w:spacing w:after="0" w:line="1" w:lineRule="exact"/>
        <w:rPr>
          <w:sz w:val="20"/>
          <w:szCs w:val="20"/>
          <w:color w:val="auto"/>
        </w:rPr>
      </w:pPr>
    </w:p>
    <w:p>
      <w:pPr>
        <w:ind w:left="60" w:right="79"/>
        <w:spacing w:after="0" w:line="272" w:lineRule="auto"/>
        <w:rPr>
          <w:sz w:val="20"/>
          <w:szCs w:val="20"/>
          <w:color w:val="auto"/>
        </w:rPr>
      </w:pPr>
      <w:r>
        <w:rPr>
          <w:rFonts w:ascii="Arial" w:cs="Arial" w:eastAsia="Arial" w:hAnsi="Arial"/>
          <w:sz w:val="16"/>
          <w:szCs w:val="16"/>
          <w:color w:val="auto"/>
        </w:rPr>
        <w:t>March 31, 2021, we have received an aggregate of $2.9 billion from such transactions, including $1.9 billion in aggregate gross proceeds from the sale of common stock in our initial public offering, or IPO, follow-on public offerings, through our “at the market” stock offering program and the equity investment by Roche, $115.1 million in gross proceeds from the issuance of convertible preferred stock, $912.3 million in upfront payments and milestone payments under our collaborations with Roche and CStone, our license agreement with Clementia and our former collaboration with Alexion Pharma Holding, or Alexion. In addition, since January 2020, we have generated limited product revenue.</w:t>
      </w:r>
    </w:p>
    <w:p>
      <w:pPr>
        <w:spacing w:after="0" w:line="191"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7"/>
          <w:szCs w:val="17"/>
          <w:color w:val="auto"/>
        </w:rPr>
        <w:t>Since inception, we have incurred significant operating losses, with the exception of the year ended December 31, 2020. Our net loss was $99.7 million for three months ended March 31, 2021. Our net income was $313.9 million for the year ended December 31, 2020 primarily due to the collaboration revenue recorded under our collaboration with Roche for pralsetinib, and our net losses were $347.7 million and $236.6 million for the years ended December 31, 2019 and 2018, respectively. As of March 31, 2021, we had an accumulated deficit of $731.1 million. We expect to continue to incur significant expenses and operating losses over the next few years. We anticipate that our expenses will continue to increase in connection with our ongoing activities, particularly as we:</w:t>
      </w:r>
    </w:p>
    <w:p>
      <w:pPr>
        <w:spacing w:after="0" w:line="220" w:lineRule="exact"/>
        <w:rPr>
          <w:sz w:val="20"/>
          <w:szCs w:val="20"/>
          <w:color w:val="auto"/>
        </w:rPr>
      </w:pPr>
    </w:p>
    <w:p>
      <w:pPr>
        <w:ind w:left="1380" w:right="199" w:hanging="331"/>
        <w:spacing w:after="0" w:line="248"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and expand our sales, marketing and distribution infrastructure to continue to commercialize AYVAKIT/AYVAKYT, GAVRETO and any current or future drug candidates for which we may obtain marketing approval;</w:t>
      </w:r>
    </w:p>
    <w:p>
      <w:pPr>
        <w:spacing w:after="0" w:line="181" w:lineRule="exact"/>
        <w:rPr>
          <w:rFonts w:ascii="Arial" w:cs="Arial" w:eastAsia="Arial" w:hAnsi="Arial"/>
          <w:sz w:val="18"/>
          <w:szCs w:val="18"/>
          <w:color w:val="auto"/>
        </w:rPr>
      </w:pPr>
    </w:p>
    <w:p>
      <w:pPr>
        <w:ind w:left="1380" w:right="499" w:hanging="331"/>
        <w:spacing w:after="0" w:line="261"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marketing approval for our drug candidates, including avapritinib and pralsetinib in additional indications or in additional geographies;</w:t>
      </w:r>
    </w:p>
    <w:p>
      <w:pPr>
        <w:spacing w:after="0" w:line="170" w:lineRule="exact"/>
        <w:rPr>
          <w:rFonts w:ascii="Arial" w:cs="Arial" w:eastAsia="Arial" w:hAnsi="Arial"/>
          <w:sz w:val="18"/>
          <w:szCs w:val="18"/>
          <w:color w:val="auto"/>
        </w:rPr>
      </w:pPr>
    </w:p>
    <w:p>
      <w:pPr>
        <w:ind w:left="1380" w:right="99" w:hanging="331"/>
        <w:spacing w:after="0" w:line="261"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advance clinical development activities for avapritinib and pralsetinib and initiate or advance clinical development activities for other current or future drug candidates;</w:t>
      </w:r>
    </w:p>
    <w:p>
      <w:pPr>
        <w:spacing w:after="0" w:line="170" w:lineRule="exact"/>
        <w:rPr>
          <w:rFonts w:ascii="Arial" w:cs="Arial" w:eastAsia="Arial" w:hAnsi="Arial"/>
          <w:sz w:val="18"/>
          <w:szCs w:val="18"/>
          <w:color w:val="auto"/>
        </w:rPr>
      </w:pPr>
    </w:p>
    <w:p>
      <w:pPr>
        <w:ind w:left="1380" w:right="319" w:hanging="331"/>
        <w:spacing w:after="0" w:line="248"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discover, validate and develop additional drug candidates or development candidates, including our discovery programs for treatment-resistant EGFR-mutated NSCLC and CCNE-aberrant cancers;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hanging="331"/>
        <w:spacing w:after="0" w:line="261"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manufacture increasing quantities of drug substance and drug product material for use in pre-clinical studies, clinical trials and commercialization;</w:t>
      </w:r>
    </w:p>
    <w:p>
      <w:pPr>
        <w:spacing w:after="0" w:line="170" w:lineRule="exact"/>
        <w:rPr>
          <w:rFonts w:ascii="Arial" w:cs="Arial" w:eastAsia="Arial" w:hAnsi="Arial"/>
          <w:sz w:val="18"/>
          <w:szCs w:val="18"/>
          <w:color w:val="auto"/>
        </w:rPr>
      </w:pPr>
    </w:p>
    <w:p>
      <w:pPr>
        <w:ind w:left="1380" w:right="179" w:hanging="331"/>
        <w:spacing w:after="0" w:line="261"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development and commercialization activities for companion diagnostic tests for our drugs and drug candidates;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research and development activities under our collaborations with Roche and CStone;</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11" w:lineRule="exact"/>
        <w:rPr>
          <w:rFonts w:ascii="Arial" w:cs="Arial" w:eastAsia="Arial" w:hAnsi="Arial"/>
          <w:sz w:val="18"/>
          <w:szCs w:val="18"/>
          <w:color w:val="auto"/>
        </w:rPr>
      </w:pPr>
    </w:p>
    <w:p>
      <w:pPr>
        <w:ind w:left="1380" w:right="659" w:hanging="331"/>
        <w:spacing w:after="0" w:line="261"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acquire or in-license additional businesses, technologies, drugs or drug candidates, form strategic alliances or create joint ventures with third parties; and</w:t>
      </w:r>
    </w:p>
    <w:p>
      <w:pPr>
        <w:spacing w:after="0" w:line="170" w:lineRule="exact"/>
        <w:rPr>
          <w:rFonts w:ascii="Arial" w:cs="Arial" w:eastAsia="Arial" w:hAnsi="Arial"/>
          <w:sz w:val="18"/>
          <w:szCs w:val="18"/>
          <w:color w:val="auto"/>
        </w:rPr>
      </w:pPr>
    </w:p>
    <w:p>
      <w:pPr>
        <w:ind w:left="1380" w:right="679" w:hanging="331"/>
        <w:spacing w:after="0" w:line="261"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hire additional research, clinical, quality, manufacturing, regulatory, commercial and general and administrative personnel.</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6"/>
          <w:szCs w:val="16"/>
          <w:color w:val="auto"/>
        </w:rPr>
        <w:t>In January 2020, the FDA granted approval of avapritinib under the brand name AYVAKIT for the treatment of adults with unresectable or metastatic GIST harboring a PDGFRA exon 18 mutation, including PDGFRA D842V mutations. In September 2020, the FDA granted accelerated approval to pralsetinib under the brand name GAVRETO for the treatment of adult patients with metastatic RET fusion-positive NSCLC as detected by an FDA approved test, and the European Commission granted conditional marketing authorization to avapritinib under the brand name AYVAKYT as a monotherapy for the treatment of adult patients with unresectable or metastatic GIST harboring the PDGFRA D842V mutation. In December 2020, the FDA granted a subsequent accelerated approval for GAVRETO, expanding the labeled indications to include adult and pediatric patients 12 years of age and older with advanced or metastatic RET-mutant MTC who require systemic therapy, or with advanced or metastatic RET fusion-positive thyroid cancer who require systemic therapy and who are radioactive iodine-refractory (if radioactive iodine is appropriate).</w:t>
      </w:r>
    </w:p>
    <w:p>
      <w:pPr>
        <w:spacing w:after="0" w:line="198"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8"/>
          <w:szCs w:val="18"/>
          <w:color w:val="auto"/>
        </w:rPr>
        <w:t>For the three months ended March 31, 2021, our revenue consisted of sales of AYVAKIT/AYVAKYT, GAVRETO and collaboration revenue under our collaborations with Roche and CStone. Collaboration revenue for the three months ended March 31, 2021 includes amounts that were recognized related to milestone payments, and amounts due to us for supply of inventory and research and development services.</w:t>
      </w:r>
    </w:p>
    <w:p>
      <w:pPr>
        <w:spacing w:after="0" w:line="228"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In the future, we expect to generate revenue from a combination of sales of AYVAKIT/AYVAKYT, GAVRETO and any current or future drug candidates for which we receive marketing approval, royalties on drug sales, upfront, milestone, profit sharing and other payments, if any, under any current or future collaborations and licenses, including revenues related to the supply of our drug candidates or approved drugs to our various collaboration partners. We expect that any revenue we generate will fluctuate from quarter to quarter as a result of the timing and amount of product sales, license fees, research and development services, payments for manufacturing services, and option fees, milestone payments or other payments under our collaboration or license agreements, if any.</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239" w:lineRule="exact"/>
        <w:rPr>
          <w:sz w:val="20"/>
          <w:szCs w:val="20"/>
          <w:color w:val="auto"/>
        </w:rPr>
      </w:pPr>
    </w:p>
    <w:p>
      <w:pPr>
        <w:ind w:left="60" w:right="119" w:firstLine="648"/>
        <w:spacing w:after="0" w:line="243" w:lineRule="auto"/>
        <w:rPr>
          <w:sz w:val="20"/>
          <w:szCs w:val="20"/>
          <w:color w:val="auto"/>
        </w:rPr>
      </w:pPr>
      <w:r>
        <w:rPr>
          <w:rFonts w:ascii="Arial" w:cs="Arial" w:eastAsia="Arial" w:hAnsi="Arial"/>
          <w:sz w:val="18"/>
          <w:szCs w:val="18"/>
          <w:color w:val="auto"/>
        </w:rPr>
        <w:t>Our cost of sales includes the cost of producing and distributing inventories that are related to product revenue during the respective period, including salary related expenses and stock-based compensation expense for employees involved with production and distribution, freight, and indirect overhead costs. In addition, shipping and handling costs for product shipments are recorded in cost of sales as incurred.</w:t>
      </w:r>
    </w:p>
    <w:p>
      <w:pPr>
        <w:spacing w:after="0" w:line="188"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6"/>
          <w:szCs w:val="16"/>
          <w:color w:val="auto"/>
        </w:rPr>
        <w:t>Prior to receiving FDA approval for AYVAKIT and GAVRETO in January 2020 and September 2020, respectively, we manufactured inventory to be sold upon commercialization and recorded approximately $36.3 million related to this inventory as research and development expense. As a result, the manufacturing costs related to the inventory build-up incurred before FDA approval were expensed in a prior period and are therefore excluded from the cost of goods sold for the three months ended March 31, 2021. We estimate our cost of goods sold as a percentage of net</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91" w:lineRule="auto"/>
        <w:rPr>
          <w:sz w:val="20"/>
          <w:szCs w:val="20"/>
          <w:color w:val="auto"/>
        </w:rPr>
      </w:pPr>
      <w:r>
        <w:rPr>
          <w:rFonts w:ascii="Arial" w:cs="Arial" w:eastAsia="Arial" w:hAnsi="Arial"/>
          <w:sz w:val="17"/>
          <w:szCs w:val="17"/>
          <w:color w:val="auto"/>
        </w:rPr>
        <w:t>product revenue will continue to be positively impacted as we sell through certain inventory that was previously expensed prior to FDA approval. We expect to utilize zero cost inventory for an extended period of time.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Expenses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9" w:lineRule="exact"/>
        <w:rPr>
          <w:sz w:val="20"/>
          <w:szCs w:val="20"/>
          <w:color w:val="auto"/>
        </w:rPr>
      </w:pPr>
    </w:p>
    <w:p>
      <w:pPr>
        <w:ind w:left="60" w:right="719" w:firstLine="648"/>
        <w:spacing w:after="0" w:line="324" w:lineRule="auto"/>
        <w:rPr>
          <w:sz w:val="20"/>
          <w:szCs w:val="20"/>
          <w:color w:val="auto"/>
        </w:rPr>
      </w:pPr>
      <w:r>
        <w:rPr>
          <w:rFonts w:ascii="Arial" w:cs="Arial" w:eastAsia="Arial" w:hAnsi="Arial"/>
          <w:sz w:val="16"/>
          <w:szCs w:val="16"/>
          <w:color w:val="auto"/>
        </w:rPr>
        <w:t>Research and development expenses consist primarily of costs incurred for our research and development activities, including our drug discovery efforts, and the development of our drug candidates, which include:</w:t>
      </w:r>
    </w:p>
    <w:p>
      <w:pPr>
        <w:spacing w:after="0" w:line="165" w:lineRule="exact"/>
        <w:rPr>
          <w:sz w:val="20"/>
          <w:szCs w:val="20"/>
          <w:color w:val="auto"/>
        </w:rPr>
      </w:pPr>
    </w:p>
    <w:p>
      <w:pPr>
        <w:ind w:left="1380" w:hanging="331"/>
        <w:spacing w:after="0"/>
        <w:tabs>
          <w:tab w:leader="none" w:pos="1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and stock-based compensation expense;</w:t>
      </w:r>
    </w:p>
    <w:p>
      <w:pPr>
        <w:spacing w:after="0" w:line="223" w:lineRule="exact"/>
        <w:rPr>
          <w:rFonts w:ascii="Arial" w:cs="Arial" w:eastAsia="Arial" w:hAnsi="Arial"/>
          <w:sz w:val="17"/>
          <w:szCs w:val="17"/>
          <w:color w:val="auto"/>
        </w:rPr>
      </w:pPr>
    </w:p>
    <w:p>
      <w:pPr>
        <w:ind w:left="1380" w:right="519" w:hanging="331"/>
        <w:spacing w:after="0" w:line="261"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that conduct research and development, pre-clinical activities, clinical activities and manufacturing on our behalf;</w:t>
      </w:r>
    </w:p>
    <w:p>
      <w:pPr>
        <w:spacing w:after="0" w:line="170" w:lineRule="exact"/>
        <w:rPr>
          <w:rFonts w:ascii="Arial" w:cs="Arial" w:eastAsia="Arial" w:hAnsi="Arial"/>
          <w:sz w:val="18"/>
          <w:szCs w:val="18"/>
          <w:color w:val="auto"/>
        </w:rPr>
      </w:pPr>
    </w:p>
    <w:p>
      <w:pPr>
        <w:ind w:left="1380" w:right="379" w:hanging="331"/>
        <w:spacing w:after="0" w:line="261"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for the development and commercialization of companion diagnostic tests;</w:t>
      </w:r>
    </w:p>
    <w:p>
      <w:pPr>
        <w:spacing w:after="0" w:line="170" w:lineRule="exact"/>
        <w:rPr>
          <w:rFonts w:ascii="Arial" w:cs="Arial" w:eastAsia="Arial" w:hAnsi="Arial"/>
          <w:sz w:val="18"/>
          <w:szCs w:val="18"/>
          <w:color w:val="auto"/>
        </w:rPr>
      </w:pPr>
    </w:p>
    <w:p>
      <w:pPr>
        <w:ind w:left="1380" w:right="119" w:hanging="331"/>
        <w:spacing w:after="0" w:line="248"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incurred in connection with research and development activities under our immunotherapy collaboration with Roche, development activities under our collaboration with CStone, and development activities under our collaboration for pralsetinib with Roche;</w:t>
      </w:r>
    </w:p>
    <w:p>
      <w:pPr>
        <w:spacing w:after="0" w:line="181" w:lineRule="exact"/>
        <w:rPr>
          <w:rFonts w:ascii="Arial" w:cs="Arial" w:eastAsia="Arial" w:hAnsi="Arial"/>
          <w:sz w:val="18"/>
          <w:szCs w:val="18"/>
          <w:color w:val="auto"/>
        </w:rPr>
      </w:pPr>
    </w:p>
    <w:p>
      <w:pPr>
        <w:ind w:left="1380" w:hanging="331"/>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consultants in connection with our research and development activities;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associated with regulatory quality assurance and quality control operations;</w:t>
      </w:r>
    </w:p>
    <w:p>
      <w:pPr>
        <w:spacing w:after="0" w:line="211" w:lineRule="exact"/>
        <w:rPr>
          <w:rFonts w:ascii="Arial" w:cs="Arial" w:eastAsia="Arial" w:hAnsi="Arial"/>
          <w:sz w:val="18"/>
          <w:szCs w:val="18"/>
          <w:color w:val="auto"/>
        </w:rPr>
      </w:pPr>
    </w:p>
    <w:p>
      <w:pPr>
        <w:ind w:left="1380" w:right="639" w:hanging="331"/>
        <w:spacing w:after="0" w:line="261"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materials, clinical trial materials and commercial supply materials; and</w:t>
      </w:r>
    </w:p>
    <w:p>
      <w:pPr>
        <w:spacing w:after="0" w:line="170" w:lineRule="exact"/>
        <w:rPr>
          <w:rFonts w:ascii="Arial" w:cs="Arial" w:eastAsia="Arial" w:hAnsi="Arial"/>
          <w:sz w:val="18"/>
          <w:szCs w:val="18"/>
          <w:color w:val="auto"/>
        </w:rPr>
      </w:pPr>
    </w:p>
    <w:p>
      <w:pPr>
        <w:ind w:left="1380" w:right="319" w:hanging="331"/>
        <w:spacing w:after="0" w:line="248"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 in support of research and development activities.</w:t>
      </w:r>
    </w:p>
    <w:p>
      <w:pPr>
        <w:spacing w:after="0" w:line="222" w:lineRule="exact"/>
        <w:rPr>
          <w:sz w:val="20"/>
          <w:szCs w:val="20"/>
          <w:color w:val="auto"/>
        </w:rPr>
      </w:pPr>
    </w:p>
    <w:p>
      <w:pPr>
        <w:ind w:left="60" w:right="179" w:firstLine="648"/>
        <w:spacing w:after="0" w:line="262" w:lineRule="auto"/>
        <w:rPr>
          <w:sz w:val="20"/>
          <w:szCs w:val="20"/>
          <w:color w:val="auto"/>
        </w:rPr>
      </w:pPr>
      <w:r>
        <w:rPr>
          <w:rFonts w:ascii="Arial" w:cs="Arial" w:eastAsia="Arial" w:hAnsi="Arial"/>
          <w:sz w:val="17"/>
          <w:szCs w:val="17"/>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99"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6"/>
          <w:szCs w:val="16"/>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the sale of our current or future drug candidates for which we received marketing approval. This is due to the numerous risks and uncertainties associated with developing drugs, including the uncertainty of:</w:t>
      </w:r>
    </w:p>
    <w:p>
      <w:pPr>
        <w:spacing w:after="0" w:line="200" w:lineRule="exact"/>
        <w:rPr>
          <w:sz w:val="20"/>
          <w:szCs w:val="20"/>
          <w:color w:val="auto"/>
        </w:rPr>
      </w:pPr>
    </w:p>
    <w:p>
      <w:pPr>
        <w:ind w:left="1380" w:hanging="33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toxicology studies;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initiation, enrollment in, and completion of clinical trials;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11" w:lineRule="exact"/>
        <w:rPr>
          <w:rFonts w:ascii="Arial" w:cs="Arial" w:eastAsia="Arial" w:hAnsi="Arial"/>
          <w:sz w:val="18"/>
          <w:szCs w:val="18"/>
          <w:color w:val="auto"/>
        </w:rPr>
      </w:pPr>
    </w:p>
    <w:p>
      <w:pPr>
        <w:ind w:left="1380" w:right="959" w:hanging="331"/>
        <w:spacing w:after="0" w:line="261"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139" w:hanging="331"/>
        <w:spacing w:after="0" w:line="261"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AYVAKIT/AYVAKYT, GAVRETO and our drug candidates;</w:t>
      </w:r>
    </w:p>
    <w:p>
      <w:pPr>
        <w:spacing w:after="0" w:line="170" w:lineRule="exact"/>
        <w:rPr>
          <w:rFonts w:ascii="Arial" w:cs="Arial" w:eastAsia="Arial" w:hAnsi="Arial"/>
          <w:sz w:val="18"/>
          <w:szCs w:val="18"/>
          <w:color w:val="auto"/>
        </w:rPr>
      </w:pPr>
    </w:p>
    <w:p>
      <w:pPr>
        <w:ind w:left="1380" w:right="339" w:hanging="331"/>
        <w:spacing w:after="0" w:line="261"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commercializing AYVAKIT/AYVAKYT, GAVRETO and our drug candidates, if and when approved, whether alone or in collaboration with others;</w:t>
      </w:r>
    </w:p>
    <w:p>
      <w:pPr>
        <w:spacing w:after="0" w:line="170" w:lineRule="exact"/>
        <w:rPr>
          <w:rFonts w:ascii="Arial" w:cs="Arial" w:eastAsia="Arial" w:hAnsi="Arial"/>
          <w:sz w:val="18"/>
          <w:szCs w:val="18"/>
          <w:color w:val="auto"/>
        </w:rPr>
      </w:pPr>
    </w:p>
    <w:p>
      <w:pPr>
        <w:ind w:left="1380" w:right="259" w:hanging="331"/>
        <w:spacing w:after="0" w:line="261"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AYVAKIT/AYVAKYT, GAVRETO and any future drug we may commercialize; and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acceptable safety profile of the drugs following approval.</w:t>
      </w:r>
    </w:p>
    <w:p>
      <w:pPr>
        <w:spacing w:after="0" w:line="252"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87"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and as we conduct and continue our clinical trials to evaluate our approved drugs for additional indications. However, we do not believe that it is possible at this time to accurately project total 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98"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 and development expenses on a program-by-program basis as they are deployed across multiple projects under development.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48" w:lineRule="auto"/>
        <w:rPr>
          <w:sz w:val="20"/>
          <w:szCs w:val="20"/>
          <w:color w:val="auto"/>
        </w:rPr>
      </w:pPr>
      <w:r>
        <w:rPr>
          <w:rFonts w:ascii="Arial" w:cs="Arial" w:eastAsia="Arial" w:hAnsi="Arial"/>
          <w:sz w:val="18"/>
          <w:szCs w:val="18"/>
          <w:color w:val="auto"/>
        </w:rPr>
        <w:t>The following table summarizes our external research and development expenses by program for the three months ended March 31, 2021 and 2020. Other development and pre-development candidate expenses, unallocated expenses and internal research and development expenses have been classified separately.</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60" w:type="dxa"/>
            <w:vAlign w:val="bottom"/>
            <w:gridSpan w:val="6"/>
          </w:tcPr>
          <w:p>
            <w:pPr>
              <w:jc w:val="right"/>
              <w:ind w:right="492"/>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5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142"/>
        </w:trPr>
        <w:tc>
          <w:tcPr>
            <w:tcW w:w="5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gridSpan w:val="4"/>
          </w:tcPr>
          <w:p>
            <w:pPr>
              <w:jc w:val="right"/>
              <w:ind w:right="47"/>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2"/>
                <w:szCs w:val="12"/>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Avapritinib external expenses</w:t>
            </w:r>
          </w:p>
        </w:tc>
        <w:tc>
          <w:tcPr>
            <w:tcW w:w="1420" w:type="dxa"/>
            <w:vAlign w:val="bottom"/>
            <w:gridSpan w:val="2"/>
            <w:shd w:val="clear" w:color="auto" w:fill="CCEEFF"/>
          </w:tcPr>
          <w:p>
            <w:pPr>
              <w:jc w:val="right"/>
              <w:ind w:right="688"/>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15,864</w:t>
            </w:r>
          </w:p>
        </w:tc>
        <w:tc>
          <w:tcPr>
            <w:tcW w:w="2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47"/>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21,053</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Pralsetinib external expenses</w:t>
            </w: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8,917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22,698</w:t>
            </w: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Fisogatinib external expenses</w:t>
            </w: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903</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2,156</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BLU-263 external expenses</w:t>
            </w: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3,216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2,565</w:t>
            </w: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BLU-701/945 external expenses</w:t>
            </w: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10,200</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1,438</w:t>
            </w:r>
          </w:p>
        </w:tc>
      </w:tr>
      <w:tr>
        <w:trPr>
          <w:trHeight w:val="188"/>
        </w:trPr>
        <w:tc>
          <w:tcPr>
            <w:tcW w:w="5260" w:type="dxa"/>
            <w:vAlign w:val="bottom"/>
          </w:tcPr>
          <w:p>
            <w:pPr>
              <w:spacing w:after="0" w:line="189" w:lineRule="exact"/>
              <w:rPr>
                <w:sz w:val="20"/>
                <w:szCs w:val="20"/>
                <w:color w:val="auto"/>
              </w:rPr>
            </w:pPr>
            <w:r>
              <w:rPr>
                <w:rFonts w:ascii="Arial" w:cs="Arial" w:eastAsia="Arial" w:hAnsi="Arial"/>
                <w:sz w:val="18"/>
                <w:szCs w:val="18"/>
                <w:color w:val="auto"/>
                <w:w w:val="99"/>
              </w:rPr>
              <w:t>Other development and pre-development candidate expenses and</w:t>
            </w: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7"/>
        </w:trPr>
        <w:tc>
          <w:tcPr>
            <w:tcW w:w="5260" w:type="dxa"/>
            <w:vAlign w:val="bottom"/>
          </w:tcPr>
          <w:p>
            <w:pPr>
              <w:spacing w:after="0"/>
              <w:rPr>
                <w:sz w:val="20"/>
                <w:szCs w:val="20"/>
                <w:color w:val="auto"/>
              </w:rPr>
            </w:pPr>
            <w:r>
              <w:rPr>
                <w:rFonts w:ascii="Arial" w:cs="Arial" w:eastAsia="Arial" w:hAnsi="Arial"/>
                <w:sz w:val="18"/>
                <w:szCs w:val="18"/>
                <w:color w:val="auto"/>
              </w:rPr>
              <w:t>unallocated expenses</w:t>
            </w: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16,939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11,510</w:t>
            </w: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Internal research and development expenses</w:t>
            </w:r>
          </w:p>
        </w:tc>
        <w:tc>
          <w:tcPr>
            <w:tcW w:w="5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23,671</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22,726</w:t>
            </w:r>
          </w:p>
        </w:tc>
      </w:tr>
      <w:tr>
        <w:trPr>
          <w:trHeight w:val="196"/>
        </w:trPr>
        <w:tc>
          <w:tcPr>
            <w:tcW w:w="5260" w:type="dxa"/>
            <w:vAlign w:val="bottom"/>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580" w:type="dxa"/>
            <w:vAlign w:val="bottom"/>
          </w:tcPr>
          <w:p>
            <w:pPr>
              <w:spacing w:after="0"/>
              <w:rPr>
                <w:sz w:val="17"/>
                <w:szCs w:val="17"/>
                <w:color w:val="auto"/>
              </w:rPr>
            </w:pPr>
          </w:p>
        </w:tc>
        <w:tc>
          <w:tcPr>
            <w:tcW w:w="840" w:type="dxa"/>
            <w:vAlign w:val="bottom"/>
            <w:tcBorders>
              <w:bottom w:val="single" w:sz="8" w:color="auto"/>
            </w:tcBorders>
          </w:tcPr>
          <w:p>
            <w:pPr>
              <w:jc w:val="right"/>
              <w:ind w:right="68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79,710</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84,146</w:t>
            </w:r>
          </w:p>
        </w:tc>
      </w:tr>
      <w:tr>
        <w:trPr>
          <w:trHeight w:val="20"/>
        </w:trPr>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020" w:right="259" w:hanging="322"/>
        <w:spacing w:after="0" w:line="270"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Pralsetinib external expenses includes reduction of reimbursable expenses under our collaboration for pralsetinib with Roche, and other development and pre-development candidate expenses includes reduction of reimbursable expenses under our other collaboration agreements.</w:t>
      </w:r>
    </w:p>
    <w:p>
      <w:pPr>
        <w:spacing w:after="0" w:line="20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6"/>
          <w:szCs w:val="16"/>
          <w:color w:val="auto"/>
        </w:rPr>
        <w:t>We expect that our research and development expenses will increase in future periods as we expand our operations and incur additional costs in connection with our clinical trials and preparing regulatory filings. These increases will likely include the costs related to the implementation and expansion of clinical trial sites and related patient enrollment, monitoring, program management and manufacturing expenses for active pharmaceutical ingredient, or API, drug product and drug substance for current and future clinical trials and commercial inventory. In addition, we expect that our research and development expenses will increase in future periods as we incur additional costs in connection with research and development activities under our immunotherapy collaboration with Roche, development activities under our collaboration with CStone, development activities under our collaboration for pralsetinib with Roche and development activities for companion diagnostic tests for any current and future drug candidates.</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9"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6"/>
          <w:szCs w:val="16"/>
          <w:color w:val="auto"/>
        </w:rPr>
        <w:t>Selling, general and administrative expenses consist primarily of compensation and benefits, including stock-based compensation, for commercial operations and for personnel in executive, finance, accounting, commercial, business development, information technology, legal and human resources functions. Other significant costs include facility costs not otherwise included in research and development expenses, commercial development activities, legal fees related to intellectual property and corporate matters and fees for accounting and consulting services.</w:t>
      </w:r>
    </w:p>
    <w:p>
      <w:pPr>
        <w:spacing w:after="0" w:line="200"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7"/>
          <w:szCs w:val="17"/>
          <w:color w:val="auto"/>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additional costs associated with operating as a public company and expanding the scope of our operations.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net</w:t>
      </w:r>
    </w:p>
    <w:p>
      <w:pPr>
        <w:spacing w:after="0" w:line="239" w:lineRule="exact"/>
        <w:rPr>
          <w:sz w:val="20"/>
          <w:szCs w:val="20"/>
          <w:color w:val="auto"/>
        </w:rPr>
      </w:pPr>
    </w:p>
    <w:p>
      <w:pPr>
        <w:ind w:left="60" w:right="139" w:firstLine="648"/>
        <w:spacing w:after="0" w:line="248" w:lineRule="auto"/>
        <w:rPr>
          <w:sz w:val="20"/>
          <w:szCs w:val="20"/>
          <w:color w:val="auto"/>
        </w:rPr>
      </w:pPr>
      <w:r>
        <w:rPr>
          <w:rFonts w:ascii="Arial" w:cs="Arial" w:eastAsia="Arial" w:hAnsi="Arial"/>
          <w:sz w:val="18"/>
          <w:szCs w:val="18"/>
          <w:color w:val="auto"/>
        </w:rPr>
        <w:t>Interest income, net consists primarily of income earned on cash equivalents and investments. We expect our interest income, net, will increase in future periods due to our increase in average investment balances following receipt of the upfront payments related to our collaboration with Roche for pralsetinib.</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Expense, net</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expense, net consists primarily of foreign currency transaction gains or losses.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39"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Our critical accounting policies are those policies that require the most significant judgments and estimates in the preparation of our financial statements. Management has determined that our most critical accounting policies are those relating to revenue recognition, accrued research and development expenses, available-for-sale investments, stock-based compensation and leases.</w:t>
      </w:r>
    </w:p>
    <w:p>
      <w:pPr>
        <w:spacing w:after="0" w:line="228" w:lineRule="exact"/>
        <w:rPr>
          <w:sz w:val="20"/>
          <w:szCs w:val="20"/>
          <w:color w:val="auto"/>
        </w:rPr>
      </w:pPr>
    </w:p>
    <w:p>
      <w:pPr>
        <w:ind w:left="60" w:right="419" w:firstLine="648"/>
        <w:spacing w:after="0" w:line="243" w:lineRule="auto"/>
        <w:rPr>
          <w:sz w:val="20"/>
          <w:szCs w:val="20"/>
          <w:color w:val="auto"/>
        </w:rPr>
      </w:pPr>
      <w:r>
        <w:rPr>
          <w:rFonts w:ascii="Arial" w:cs="Arial" w:eastAsia="Arial" w:hAnsi="Arial"/>
          <w:sz w:val="18"/>
          <w:szCs w:val="18"/>
          <w:color w:val="auto"/>
        </w:rPr>
        <w:t>For a description of our critical accounting policies, please see “Management’s Discussion and Analysis of Financial Condition and Results of Operations—Financial Operations Overview—Critical Accounting Policies and Estimates” in our Annual Report on Form 10-K for the year ended December 31, 2020. There have been no significant changes to our critical accounting policies since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Comparison of Three Months Ended March 31, 2021 and 2020</w:t>
      </w:r>
    </w:p>
    <w:p>
      <w:pPr>
        <w:spacing w:after="0" w:line="212" w:lineRule="exact"/>
        <w:rPr>
          <w:sz w:val="20"/>
          <w:szCs w:val="20"/>
          <w:color w:val="auto"/>
        </w:rPr>
      </w:pPr>
    </w:p>
    <w:p>
      <w:pPr>
        <w:ind w:left="60" w:right="299" w:firstLine="648"/>
        <w:spacing w:after="0" w:line="261" w:lineRule="auto"/>
        <w:rPr>
          <w:sz w:val="20"/>
          <w:szCs w:val="20"/>
          <w:color w:val="auto"/>
        </w:rPr>
      </w:pPr>
      <w:r>
        <w:rPr>
          <w:rFonts w:ascii="Arial" w:cs="Arial" w:eastAsia="Arial" w:hAnsi="Arial"/>
          <w:sz w:val="18"/>
          <w:szCs w:val="18"/>
          <w:color w:val="auto"/>
        </w:rPr>
        <w:t>The following table summarizes our results of operations for the three months ended March 31, 2021 and 2020, together with the changes in those items in dollars and as a percentage:</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5"/>
          </w:tcPr>
          <w:p>
            <w:pPr>
              <w:ind w:left="460"/>
              <w:spacing w:after="0"/>
              <w:rPr>
                <w:sz w:val="20"/>
                <w:szCs w:val="20"/>
                <w:color w:val="auto"/>
              </w:rPr>
            </w:pPr>
            <w:r>
              <w:rPr>
                <w:rFonts w:ascii="Arial" w:cs="Arial" w:eastAsia="Arial" w:hAnsi="Arial"/>
                <w:sz w:val="14"/>
                <w:szCs w:val="14"/>
                <w:b w:val="1"/>
                <w:bCs w:val="1"/>
                <w:color w:val="auto"/>
              </w:rPr>
              <w:t>March 31,</w:t>
            </w:r>
          </w:p>
        </w:tc>
        <w:tc>
          <w:tcPr>
            <w:tcW w:w="9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2"/>
              </w:rPr>
              <w:t>Dollar Change</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20"/>
              <w:spacing w:after="0" w:line="202" w:lineRule="exact"/>
              <w:rPr>
                <w:sz w:val="20"/>
                <w:szCs w:val="20"/>
                <w:color w:val="auto"/>
              </w:rPr>
            </w:pPr>
            <w:r>
              <w:rPr>
                <w:rFonts w:ascii="Arial" w:cs="Arial" w:eastAsia="Arial" w:hAnsi="Arial"/>
                <w:sz w:val="18"/>
                <w:szCs w:val="18"/>
                <w:color w:val="auto"/>
              </w:rPr>
              <w:t>Product revenue, net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8,955</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3,458</w:t>
            </w:r>
          </w:p>
        </w:tc>
        <w:tc>
          <w:tcPr>
            <w:tcW w:w="80" w:type="dxa"/>
            <w:vAlign w:val="bottom"/>
          </w:tcPr>
          <w:p>
            <w:pPr>
              <w:spacing w:after="0"/>
              <w:rPr>
                <w:sz w:val="17"/>
                <w:szCs w:val="17"/>
                <w:color w:val="auto"/>
              </w:rPr>
            </w:pPr>
          </w:p>
        </w:tc>
        <w:tc>
          <w:tcPr>
            <w:tcW w:w="2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5,497</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Collaboration revenue</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12,621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9,912</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line="196" w:lineRule="exact"/>
              <w:rPr>
                <w:sz w:val="20"/>
                <w:szCs w:val="20"/>
                <w:color w:val="auto"/>
              </w:rPr>
            </w:pPr>
            <w:r>
              <w:rPr>
                <w:rFonts w:ascii="Arial" w:cs="Arial" w:eastAsia="Arial" w:hAnsi="Arial"/>
                <w:sz w:val="18"/>
                <w:szCs w:val="18"/>
                <w:color w:val="auto"/>
              </w:rPr>
              <w:t>Total revenues</w:t>
            </w:r>
          </w:p>
        </w:tc>
        <w:tc>
          <w:tcPr>
            <w:tcW w:w="1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21,576</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6,167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15,409</w:t>
            </w:r>
          </w:p>
        </w:tc>
        <w:tc>
          <w:tcPr>
            <w:tcW w:w="160" w:type="dxa"/>
            <w:vAlign w:val="bottom"/>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250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and operating expenses: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20"/>
              <w:spacing w:after="0" w:line="202" w:lineRule="exact"/>
              <w:rPr>
                <w:sz w:val="20"/>
                <w:szCs w:val="20"/>
                <w:color w:val="auto"/>
              </w:rPr>
            </w:pPr>
            <w:r>
              <w:rPr>
                <w:rFonts w:ascii="Arial" w:cs="Arial" w:eastAsia="Arial" w:hAnsi="Arial"/>
                <w:sz w:val="18"/>
                <w:szCs w:val="18"/>
                <w:color w:val="auto"/>
              </w:rPr>
              <w:t>Cost of sales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84,146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(4,436)</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20"/>
              <w:spacing w:after="0" w:line="202" w:lineRule="exact"/>
              <w:rPr>
                <w:sz w:val="20"/>
                <w:szCs w:val="20"/>
                <w:color w:val="auto"/>
              </w:rPr>
            </w:pPr>
            <w:r>
              <w:rPr>
                <w:rFonts w:ascii="Arial" w:cs="Arial" w:eastAsia="Arial" w:hAnsi="Arial"/>
                <w:sz w:val="18"/>
                <w:szCs w:val="18"/>
                <w:color w:val="auto"/>
              </w:rPr>
              <w:t>Selling, general and administrative</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42,002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35,655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6,347</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cost and operating expenses</w:t>
            </w:r>
          </w:p>
        </w:tc>
        <w:tc>
          <w:tcPr>
            <w:tcW w:w="1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121,814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119,825</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1,989</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 net</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(2,166)</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20"/>
              <w:spacing w:after="0" w:line="202" w:lineRule="exact"/>
              <w:rPr>
                <w:sz w:val="20"/>
                <w:szCs w:val="20"/>
                <w:color w:val="auto"/>
              </w:rPr>
            </w:pPr>
            <w:r>
              <w:rPr>
                <w:rFonts w:ascii="Arial" w:cs="Arial" w:eastAsia="Arial" w:hAnsi="Arial"/>
                <w:sz w:val="18"/>
                <w:szCs w:val="18"/>
                <w:color w:val="auto"/>
              </w:rPr>
              <w:t>Other expense, net</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other income</w:t>
            </w:r>
          </w:p>
        </w:tc>
        <w:tc>
          <w:tcPr>
            <w:tcW w:w="1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2,703</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(2,179)</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1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(99,714)</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(110,955)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11,241</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Revenue, Net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Product revenue, net increased by $5.5 million from $3.5 million for the three months ended March 31, 2020 to</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$9.0 million for the three months ended March 31, 2021. We started generating revenue from sales of AYVAKIT in the first</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quarter of 2020 following FDA approval of AYVAKIT for the treatment of adults with unresectable or metastatic GIST</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7"/>
          <w:szCs w:val="17"/>
          <w:color w:val="auto"/>
        </w:rPr>
        <w:t>harboring a PDGFRA exon 18 mutation, including PDGFRA D842V mutations. In September 2020, the European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Commission granted conditional marketing authorization to avapritinib under the brand name AYVAKYT as a</w:t>
      </w:r>
    </w:p>
    <w:p>
      <w:pPr>
        <w:ind w:left="60"/>
        <w:spacing w:after="0"/>
        <w:rPr>
          <w:sz w:val="20"/>
          <w:szCs w:val="20"/>
          <w:color w:val="auto"/>
        </w:rPr>
      </w:pPr>
      <w:r>
        <w:rPr>
          <w:rFonts w:ascii="Arial" w:cs="Arial" w:eastAsia="Arial" w:hAnsi="Arial"/>
          <w:sz w:val="17"/>
          <w:szCs w:val="17"/>
          <w:color w:val="auto"/>
        </w:rPr>
        <w:t>monotherapy for the treatment of adult patients with unresectable or metastatic GIST harboring the PDGFRA D842V</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mutation. For the three months ended March 31, 2021, we recorded net product revenue from the sale of</w:t>
      </w:r>
    </w:p>
    <w:p>
      <w:pPr>
        <w:ind w:left="60" w:right="139"/>
        <w:spacing w:after="0" w:line="252" w:lineRule="auto"/>
        <w:rPr>
          <w:sz w:val="20"/>
          <w:szCs w:val="20"/>
          <w:color w:val="auto"/>
        </w:rPr>
      </w:pPr>
      <w:r>
        <w:rPr>
          <w:rFonts w:ascii="Arial" w:cs="Arial" w:eastAsia="Arial" w:hAnsi="Arial"/>
          <w:sz w:val="17"/>
          <w:szCs w:val="17"/>
          <w:color w:val="auto"/>
        </w:rPr>
        <w:t>AYVAKIT/AYVAKYT of $7.1 million. We started generating revenue from sales of GAVRETO in the third quarter of 2020 following the initial FDA approval of GAVRETO. GAVRETO was originally approved for the treatment of adult patients with metastatic RET fusion-positive NSCLC and subsequently approved for adult and pediatric patients 12 years of age and older with advanced or metastatic thyroid cancer who require systemic therapy and who are radioactive iodine-refractory (if radioactive iodine is appropriate). For the three months ended March 31, 2021, we recorded net product revenue from the sale of GAVRETO of $1.8 million. For the three months ended March 31, 2020, we recorded net product revenue from the sale of AYVAKIT of $3.5 million.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212" w:lineRule="exact"/>
        <w:rPr>
          <w:sz w:val="20"/>
          <w:szCs w:val="20"/>
          <w:color w:val="auto"/>
        </w:rPr>
      </w:pPr>
    </w:p>
    <w:p>
      <w:pPr>
        <w:ind w:left="60" w:right="139" w:firstLine="648"/>
        <w:spacing w:after="0" w:line="267" w:lineRule="auto"/>
        <w:rPr>
          <w:sz w:val="20"/>
          <w:szCs w:val="20"/>
          <w:color w:val="auto"/>
        </w:rPr>
      </w:pPr>
      <w:r>
        <w:rPr>
          <w:rFonts w:ascii="Arial" w:cs="Arial" w:eastAsia="Arial" w:hAnsi="Arial"/>
          <w:sz w:val="16"/>
          <w:szCs w:val="16"/>
          <w:color w:val="auto"/>
        </w:rPr>
        <w:t>Collaboration revenue increased by $9.9 million from $2.7 million for the three months ended March 31, 2020 to $12.6 million for the three months ended March 31, 2021. For the three months ended March 31, 2021, our collaboration revenue consisted of $9.3 million in revenue under our CStone collaboration, $1.8 million in revenue under our collaboration agreement with Roche for pralsetinib, $1.5 million revenue under our cancer immunotherapy collaboration with Roche. Revenue recognized under our CStone collaboration for the three months ended March 31, 2021 primarily consisted of $9.0 million in milestone revenue related to regulatory and development milestones that were achieved during the period. Revenue recognized under our collaboration with Roche for pralsetinib for the three months ended</w:t>
      </w:r>
    </w:p>
    <w:p>
      <w:pPr>
        <w:spacing w:after="0" w:line="1" w:lineRule="exact"/>
        <w:rPr>
          <w:sz w:val="20"/>
          <w:szCs w:val="20"/>
          <w:color w:val="auto"/>
        </w:rPr>
      </w:pPr>
    </w:p>
    <w:p>
      <w:pPr>
        <w:ind w:left="60" w:right="79"/>
        <w:spacing w:after="0" w:line="283" w:lineRule="auto"/>
        <w:rPr>
          <w:sz w:val="20"/>
          <w:szCs w:val="20"/>
          <w:color w:val="auto"/>
        </w:rPr>
      </w:pPr>
      <w:r>
        <w:rPr>
          <w:rFonts w:ascii="Arial" w:cs="Arial" w:eastAsia="Arial" w:hAnsi="Arial"/>
          <w:sz w:val="16"/>
          <w:szCs w:val="16"/>
          <w:color w:val="auto"/>
        </w:rPr>
        <w:t>March 31, 2021 was associated with services related to Roche territory-specific activities. We recognized $1.5 million in revenue under our cancer immunotherapy collaboration with Roche for the three months ended March 31, 2021, which was primarily related to amortization of the total $64.5 million of upfront and milestone payments received as of such period.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6" w:lineRule="auto"/>
        <w:rPr>
          <w:sz w:val="20"/>
          <w:szCs w:val="20"/>
          <w:color w:val="auto"/>
        </w:rPr>
      </w:pPr>
      <w:r>
        <w:rPr>
          <w:rFonts w:ascii="Arial" w:cs="Arial" w:eastAsia="Arial" w:hAnsi="Arial"/>
          <w:sz w:val="16"/>
          <w:szCs w:val="16"/>
          <w:color w:val="auto"/>
        </w:rPr>
        <w:t>Collaboration revenue for the three months ended March 31, 2020 consisted of $2.1 million in revenue under our CStone collaboration and $0.6 million in revenue under our cancer immunotherapy collaboration with Roche. Revenue recognized under our CStone collaboration for the three months ended March 31, 2020 primarily consisted of $2.0 million in revenue related to a milestone achieved during the quarter. We recognized $0.6 million in revenue under our cancer immunotherapy collaboration with Roche for the three months ended March 31, 2020, which was primarily related to amortization of the total $63.0 million of upfront and milestone payments received as of such period.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Product Sales</w:t>
      </w:r>
    </w:p>
    <w:p>
      <w:pPr>
        <w:spacing w:after="0" w:line="212" w:lineRule="exact"/>
        <w:rPr>
          <w:sz w:val="20"/>
          <w:szCs w:val="20"/>
          <w:color w:val="auto"/>
        </w:rPr>
      </w:pPr>
    </w:p>
    <w:p>
      <w:pPr>
        <w:jc w:val="both"/>
        <w:ind w:left="60" w:right="679" w:firstLine="648"/>
        <w:spacing w:after="0" w:line="308" w:lineRule="auto"/>
        <w:rPr>
          <w:sz w:val="20"/>
          <w:szCs w:val="20"/>
          <w:color w:val="auto"/>
        </w:rPr>
      </w:pPr>
      <w:r>
        <w:rPr>
          <w:rFonts w:ascii="Arial" w:cs="Arial" w:eastAsia="Arial" w:hAnsi="Arial"/>
          <w:sz w:val="15"/>
          <w:szCs w:val="15"/>
          <w:color w:val="auto"/>
        </w:rPr>
        <w:t>Cost of product sales increased by $0.1 million from an immaterial amount during the three months ended March 31, 2020 to $0.1 million for the three months ended March 31, 2021 and was related to manufacturing costs associated with our products sales. Costs associated with the manufacture of our drugs prior to FDA approval were recorded as research and development expenses and, therefore, are not included in cost of sales during such period.</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w:t>
      </w:r>
    </w:p>
    <w:p>
      <w:pPr>
        <w:spacing w:after="0" w:line="212" w:lineRule="exact"/>
        <w:rPr>
          <w:sz w:val="20"/>
          <w:szCs w:val="20"/>
          <w:color w:val="auto"/>
        </w:rPr>
      </w:pPr>
    </w:p>
    <w:p>
      <w:pPr>
        <w:ind w:left="60" w:right="139" w:firstLine="648"/>
        <w:spacing w:after="0" w:line="274" w:lineRule="auto"/>
        <w:rPr>
          <w:sz w:val="20"/>
          <w:szCs w:val="20"/>
          <w:color w:val="auto"/>
        </w:rPr>
      </w:pPr>
      <w:r>
        <w:rPr>
          <w:rFonts w:ascii="Arial" w:cs="Arial" w:eastAsia="Arial" w:hAnsi="Arial"/>
          <w:sz w:val="16"/>
          <w:szCs w:val="16"/>
          <w:color w:val="auto"/>
        </w:rPr>
        <w:t>Research and development expense decreased by $4.4 million from $84.1 million for the three months ended March 31, 2020 to $79.7 million for the three months ended March 31, 2021. The decrease in research and development expense was primarily related to $4.1 million reimbursement from the global development cost sharing arrangement under our collaboration with Roche for pralsetinib and approximately $3.4 million in decreased expenses associated with clinical development activities. This decrease in research and development expense was primarily offset by an increase of approximately $4.6 million in costs related to early discovery and building the platform and an increase in personnel expenses, primarily consisting of an increase of $1.1 million in stock-based compensation expense.</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12" w:lineRule="exact"/>
        <w:rPr>
          <w:sz w:val="20"/>
          <w:szCs w:val="20"/>
          <w:color w:val="auto"/>
        </w:rPr>
      </w:pPr>
    </w:p>
    <w:p>
      <w:pPr>
        <w:ind w:left="60" w:right="279" w:firstLine="648"/>
        <w:spacing w:after="0" w:line="255" w:lineRule="auto"/>
        <w:rPr>
          <w:sz w:val="20"/>
          <w:szCs w:val="20"/>
          <w:color w:val="auto"/>
        </w:rPr>
      </w:pPr>
      <w:r>
        <w:rPr>
          <w:rFonts w:ascii="Arial" w:cs="Arial" w:eastAsia="Arial" w:hAnsi="Arial"/>
          <w:sz w:val="17"/>
          <w:szCs w:val="17"/>
          <w:color w:val="auto"/>
        </w:rPr>
        <w:t>Selling, general and administrative expense increased by $6.3 million from $35.7 million for the three months ended March 31, 2020 to $42.0 million for the three months ended March 31, 2021. The increase in selling, general and administrative expense was primarily related to increased costs and personnel expenses, including an increase of $2.7 million in stock-based compensation expense, as well as an increase of $4.0 million in commercial expenses to build our commercial infrastructure for commercialization of AYVAKIT/AYVAKYT and GAVRETO. The increase in selling, general and administrative expense was partially offset by a $3.0 million reimbursement in connection with the commercialization of GAVRETO in the U.S. under our collaboration with Roche for pralsetinib.</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Net</w:t>
      </w:r>
    </w:p>
    <w:p>
      <w:pPr>
        <w:spacing w:after="0" w:line="212" w:lineRule="exact"/>
        <w:rPr>
          <w:sz w:val="20"/>
          <w:szCs w:val="20"/>
          <w:color w:val="auto"/>
        </w:rPr>
      </w:pPr>
    </w:p>
    <w:p>
      <w:pPr>
        <w:ind w:left="60" w:right="279" w:firstLine="648"/>
        <w:spacing w:after="0" w:line="248" w:lineRule="auto"/>
        <w:rPr>
          <w:sz w:val="20"/>
          <w:szCs w:val="20"/>
          <w:color w:val="auto"/>
        </w:rPr>
      </w:pPr>
      <w:r>
        <w:rPr>
          <w:rFonts w:ascii="Arial" w:cs="Arial" w:eastAsia="Arial" w:hAnsi="Arial"/>
          <w:sz w:val="18"/>
          <w:szCs w:val="18"/>
          <w:color w:val="auto"/>
        </w:rPr>
        <w:t>Interest income, net, decreased by $2.2 million from $2.9 million for the three months ended March 31, 2020 to $0.7 million for the three months ended March 31, 2021. The decrease was primarily due to a lower rate of return on investments in the capital markets.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Expense, Net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expenses, net, remained unchanged at $0.2 million for the three months ended March 31, 2021 and 2020.</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ind w:left="60" w:right="679" w:firstLine="648"/>
        <w:spacing w:after="0" w:line="274" w:lineRule="auto"/>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and common stock, collaborations and a license agreement. Through</w:t>
      </w:r>
    </w:p>
    <w:p>
      <w:pPr>
        <w:spacing w:after="0" w:line="1"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March 31, 2021, we have received an aggregate of $2.9 billion from such transactions, including $1.9 billion in aggregate gross proceeds from the sale of common stock in our IPO, follow-on public offerings, through our “at the market” stock offering program and the equity investment by Roche, $115.1 million in gross proceeds from the issuance of convertible preferred stock, $912.3 million in upfront payments and milestone payments under our collaborations with Roche and CStone, our license agreement with Clementia and our former collaboration with Alexion. In addition, since January 2020, we have generated limited product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March 31, 2021, we had cash, cash equivalents and marketable securities of $1,430.1 million.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212" w:lineRule="exact"/>
        <w:rPr>
          <w:sz w:val="20"/>
          <w:szCs w:val="20"/>
          <w:color w:val="auto"/>
        </w:rPr>
      </w:pPr>
    </w:p>
    <w:p>
      <w:pPr>
        <w:ind w:left="60" w:right="359" w:firstLine="648"/>
        <w:spacing w:after="0" w:line="261" w:lineRule="auto"/>
        <w:rPr>
          <w:sz w:val="20"/>
          <w:szCs w:val="20"/>
          <w:color w:val="auto"/>
        </w:rPr>
      </w:pPr>
      <w:r>
        <w:rPr>
          <w:rFonts w:ascii="Arial" w:cs="Arial" w:eastAsia="Arial" w:hAnsi="Arial"/>
          <w:sz w:val="18"/>
          <w:szCs w:val="18"/>
          <w:color w:val="auto"/>
        </w:rPr>
        <w:t>The following table provides information regarding our cash flows for the three months ended March 31, 2021 and 2020:</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5"/>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56"/>
        </w:trPr>
        <w:tc>
          <w:tcPr>
            <w:tcW w:w="4960" w:type="dxa"/>
            <w:vAlign w:val="bottom"/>
            <w:tcBorders>
              <w:bottom w:val="single" w:sz="8" w:color="CCEEFF"/>
            </w:tcBorders>
            <w:vMerge w:val="continue"/>
          </w:tcPr>
          <w:p>
            <w:pPr>
              <w:spacing w:after="0"/>
              <w:rPr>
                <w:sz w:val="13"/>
                <w:szCs w:val="13"/>
                <w:color w:val="auto"/>
              </w:rPr>
            </w:pPr>
          </w:p>
        </w:tc>
        <w:tc>
          <w:tcPr>
            <w:tcW w:w="20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20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(125,778)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(109,328)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Net cash provided by investing activities</w:t>
            </w: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132,197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59,860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0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7,011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310,150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line="196" w:lineRule="exact"/>
              <w:rPr>
                <w:sz w:val="20"/>
                <w:szCs w:val="20"/>
                <w:color w:val="auto"/>
              </w:rPr>
            </w:pPr>
            <w:r>
              <w:rPr>
                <w:rFonts w:ascii="Arial" w:cs="Arial" w:eastAsia="Arial" w:hAnsi="Arial"/>
                <w:sz w:val="18"/>
                <w:szCs w:val="18"/>
                <w:color w:val="auto"/>
              </w:rPr>
              <w:t>Net increase in cash and cash equivalents</w:t>
            </w:r>
          </w:p>
        </w:tc>
        <w:tc>
          <w:tcPr>
            <w:tcW w:w="20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13,430</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260,682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39" w:firstLine="648"/>
        <w:spacing w:after="0" w:line="248" w:lineRule="auto"/>
        <w:rPr>
          <w:sz w:val="20"/>
          <w:szCs w:val="20"/>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For the three months ended March 31, 2021,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2020, the $16.5 million increase in net cash used in operating activities was primarily due to increased headcount and headcount-related expenses and spending on preclinical and commercial activities.</w:t>
      </w:r>
    </w:p>
    <w:p>
      <w:pPr>
        <w:spacing w:after="0" w:line="155" w:lineRule="exact"/>
        <w:rPr>
          <w:sz w:val="20"/>
          <w:szCs w:val="20"/>
          <w:color w:val="auto"/>
        </w:rPr>
      </w:pPr>
    </w:p>
    <w:p>
      <w:pPr>
        <w:ind w:left="60" w:right="279" w:firstLine="648"/>
        <w:spacing w:after="0" w:line="248" w:lineRule="auto"/>
        <w:rPr>
          <w:sz w:val="20"/>
          <w:szCs w:val="20"/>
          <w:color w:val="auto"/>
        </w:rPr>
      </w:pPr>
      <w:r>
        <w:rPr>
          <w:rFonts w:ascii="Arial" w:cs="Arial" w:eastAsia="Arial" w:hAnsi="Arial"/>
          <w:sz w:val="18"/>
          <w:szCs w:val="18"/>
          <w:i w:val="1"/>
          <w:iCs w:val="1"/>
          <w:color w:val="auto"/>
        </w:rPr>
        <w:t xml:space="preserve">Net Cash Provided by Investing Activities. </w:t>
      </w:r>
      <w:r>
        <w:rPr>
          <w:rFonts w:ascii="Arial" w:cs="Arial" w:eastAsia="Arial" w:hAnsi="Arial"/>
          <w:sz w:val="18"/>
          <w:szCs w:val="18"/>
          <w:color w:val="auto"/>
        </w:rPr>
        <w:t>For the three months ended March 31, 2021,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2020, the $72.3 million increase in net cash provided by investing activities was primarily due to an increase in net maturities of available-for-sale investments.</w:t>
      </w:r>
    </w:p>
    <w:p>
      <w:pPr>
        <w:spacing w:after="0" w:line="182" w:lineRule="exact"/>
        <w:rPr>
          <w:sz w:val="20"/>
          <w:szCs w:val="20"/>
          <w:color w:val="auto"/>
        </w:rPr>
      </w:pPr>
    </w:p>
    <w:p>
      <w:pPr>
        <w:ind w:left="60" w:right="339" w:firstLine="648"/>
        <w:spacing w:after="0" w:line="241"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For the three months ended March 31, 2021,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2020, the $303.1 million decrease in net cash provided by financing activities was primarily due to the $308.4 million in net proceeds received from January 2020 follow-on public offering, which was partially offset by the $5.4 million increase in net proceeds received from stock option exercises and the issuance of common stock under our employee stock purchase plan.</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Funding Requirements</w:t>
      </w:r>
    </w:p>
    <w:p>
      <w:pPr>
        <w:spacing w:after="0" w:line="252"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initiate or continue clinical trials of, and seek marketing approval for our drug candidates, including marketing approval for avapritinib and pralsetinib for additional indications or in additional geographies.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will also incur additional significant costs if we choose to pursue additional indications or geographies for any of our approved drugs or drug candidates or otherwise expand more rapidly than we presently anticipate. Accordingly, we may seek to obtain additional funding from time to time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194" w:lineRule="exact"/>
        <w:rPr>
          <w:sz w:val="20"/>
          <w:szCs w:val="20"/>
          <w:color w:val="auto"/>
        </w:rPr>
      </w:pPr>
    </w:p>
    <w:p>
      <w:pPr>
        <w:ind w:left="60" w:right="139" w:firstLine="648"/>
        <w:spacing w:after="0" w:line="243" w:lineRule="auto"/>
        <w:rPr>
          <w:sz w:val="20"/>
          <w:szCs w:val="20"/>
          <w:color w:val="auto"/>
        </w:rPr>
      </w:pPr>
      <w:r>
        <w:rPr>
          <w:rFonts w:ascii="Arial" w:cs="Arial" w:eastAsia="Arial" w:hAnsi="Arial"/>
          <w:sz w:val="18"/>
          <w:szCs w:val="18"/>
          <w:color w:val="auto"/>
        </w:rPr>
        <w:t>As of March 31, 2021, we had cash, cash equivalents and marketable securities of $1,430.1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12" w:lineRule="exact"/>
        <w:rPr>
          <w:sz w:val="20"/>
          <w:szCs w:val="20"/>
          <w:color w:val="auto"/>
        </w:rPr>
      </w:pPr>
    </w:p>
    <w:p>
      <w:pPr>
        <w:ind w:left="1380" w:right="379" w:hanging="331"/>
        <w:spacing w:after="0" w:line="324" w:lineRule="auto"/>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success of our commercialization efforts and market acceptance for AYVAKIT/AYVAKYT, GAVRETO or any of our current or future drug candidates for which we receive marketing approval;</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339" w:hanging="331"/>
        <w:spacing w:after="0" w:line="248"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maintaining, expanding or contracting for sales, marketing and distribution capabilities in connection with commercialization of AYVAKIT/AYVAKYT, GAVRETO and any of our current or future drug candidates for which we receive marketing approval;</w:t>
      </w:r>
    </w:p>
    <w:p>
      <w:pPr>
        <w:spacing w:after="0" w:line="181" w:lineRule="exact"/>
        <w:rPr>
          <w:rFonts w:ascii="Arial" w:cs="Arial" w:eastAsia="Arial" w:hAnsi="Arial"/>
          <w:sz w:val="18"/>
          <w:szCs w:val="18"/>
          <w:color w:val="auto"/>
        </w:rPr>
      </w:pPr>
    </w:p>
    <w:p>
      <w:pPr>
        <w:ind w:left="1380" w:right="79" w:hanging="331"/>
        <w:spacing w:after="0" w:line="294" w:lineRule="auto"/>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spacing w:after="0" w:line="147" w:lineRule="exact"/>
        <w:rPr>
          <w:rFonts w:ascii="Arial" w:cs="Arial" w:eastAsia="Arial" w:hAnsi="Arial"/>
          <w:sz w:val="16"/>
          <w:szCs w:val="16"/>
          <w:color w:val="auto"/>
        </w:rPr>
      </w:pPr>
    </w:p>
    <w:p>
      <w:pPr>
        <w:ind w:left="1380" w:right="159" w:hanging="331"/>
        <w:spacing w:after="0" w:line="261"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approved drugs and drug candidates;</w:t>
      </w:r>
    </w:p>
    <w:p>
      <w:pPr>
        <w:spacing w:after="0" w:line="170" w:lineRule="exact"/>
        <w:rPr>
          <w:rFonts w:ascii="Arial" w:cs="Arial" w:eastAsia="Arial" w:hAnsi="Arial"/>
          <w:sz w:val="18"/>
          <w:szCs w:val="18"/>
          <w:color w:val="auto"/>
        </w:rPr>
      </w:pPr>
    </w:p>
    <w:p>
      <w:pPr>
        <w:ind w:left="1380" w:right="339" w:hanging="331"/>
        <w:spacing w:after="0" w:line="248"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marketing applications for our drug candidates, including seeking marketing approval for avapritinib and pralsetinib for additional indications or in additional geographies;</w:t>
      </w:r>
    </w:p>
    <w:p>
      <w:pPr>
        <w:spacing w:after="0" w:line="181" w:lineRule="exact"/>
        <w:rPr>
          <w:rFonts w:ascii="Arial" w:cs="Arial" w:eastAsia="Arial" w:hAnsi="Arial"/>
          <w:sz w:val="18"/>
          <w:szCs w:val="18"/>
          <w:color w:val="auto"/>
        </w:rPr>
      </w:pPr>
    </w:p>
    <w:p>
      <w:pPr>
        <w:ind w:left="1380" w:right="239" w:hanging="331"/>
        <w:spacing w:after="0" w:line="248"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 and our license agreement with Clementia, as well as our ability to establish and maintain additional collaborations, partnerships or licenses on favorable terms, if at all;</w:t>
      </w:r>
    </w:p>
    <w:p>
      <w:pPr>
        <w:spacing w:after="0" w:line="181" w:lineRule="exact"/>
        <w:rPr>
          <w:rFonts w:ascii="Arial" w:cs="Arial" w:eastAsia="Arial" w:hAnsi="Arial"/>
          <w:sz w:val="18"/>
          <w:szCs w:val="18"/>
          <w:color w:val="auto"/>
        </w:rPr>
      </w:pPr>
    </w:p>
    <w:p>
      <w:pPr>
        <w:ind w:left="1380" w:right="119" w:hanging="331"/>
        <w:spacing w:after="0" w:line="248"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existing collaboration or license agreements, or any collaboration, partnership or license agreements that we may enter into in the future;</w:t>
      </w:r>
    </w:p>
    <w:p>
      <w:pPr>
        <w:spacing w:after="0" w:line="181" w:lineRule="exact"/>
        <w:rPr>
          <w:rFonts w:ascii="Arial" w:cs="Arial" w:eastAsia="Arial" w:hAnsi="Arial"/>
          <w:sz w:val="18"/>
          <w:szCs w:val="18"/>
          <w:color w:val="auto"/>
        </w:rPr>
      </w:pPr>
    </w:p>
    <w:p>
      <w:pPr>
        <w:ind w:left="1380" w:right="759" w:hanging="331"/>
        <w:spacing w:after="0" w:line="291" w:lineRule="auto"/>
        <w:tabs>
          <w:tab w:leader="none" w:pos="1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research and development, clinical or other costs under future collaboration agreements, if any;</w:t>
      </w:r>
    </w:p>
    <w:p>
      <w:pPr>
        <w:spacing w:after="0" w:line="146" w:lineRule="exact"/>
        <w:rPr>
          <w:rFonts w:ascii="Arial" w:cs="Arial" w:eastAsia="Arial" w:hAnsi="Arial"/>
          <w:sz w:val="17"/>
          <w:szCs w:val="17"/>
          <w:color w:val="auto"/>
        </w:rPr>
      </w:pPr>
    </w:p>
    <w:p>
      <w:pPr>
        <w:ind w:left="1380" w:right="259" w:hanging="331"/>
        <w:spacing w:after="0" w:line="261"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approved drugs, drug candidates or technologies and the terms of any such arrangements;</w:t>
      </w:r>
    </w:p>
    <w:p>
      <w:pPr>
        <w:spacing w:after="0" w:line="170" w:lineRule="exact"/>
        <w:rPr>
          <w:rFonts w:ascii="Arial" w:cs="Arial" w:eastAsia="Arial" w:hAnsi="Arial"/>
          <w:sz w:val="18"/>
          <w:szCs w:val="18"/>
          <w:color w:val="auto"/>
        </w:rPr>
      </w:pPr>
    </w:p>
    <w:p>
      <w:pPr>
        <w:ind w:left="1380" w:right="699" w:hanging="331"/>
        <w:spacing w:after="0" w:line="261"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the development and commercialization of companion diagnostic tests;</w:t>
      </w:r>
    </w:p>
    <w:p>
      <w:pPr>
        <w:spacing w:after="0" w:line="170" w:lineRule="exact"/>
        <w:rPr>
          <w:rFonts w:ascii="Arial" w:cs="Arial" w:eastAsia="Arial" w:hAnsi="Arial"/>
          <w:sz w:val="18"/>
          <w:szCs w:val="18"/>
          <w:color w:val="auto"/>
        </w:rPr>
      </w:pPr>
    </w:p>
    <w:p>
      <w:pPr>
        <w:ind w:left="1380" w:right="759" w:hanging="331"/>
        <w:spacing w:after="0" w:line="291" w:lineRule="auto"/>
        <w:tabs>
          <w:tab w:leader="none" w:pos="1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pacing w:after="0" w:line="146" w:lineRule="exact"/>
        <w:rPr>
          <w:rFonts w:ascii="Arial" w:cs="Arial" w:eastAsia="Arial" w:hAnsi="Arial"/>
          <w:sz w:val="17"/>
          <w:szCs w:val="17"/>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continuing to expand our operations.</w:t>
      </w:r>
    </w:p>
    <w:p>
      <w:pPr>
        <w:spacing w:after="0" w:line="252"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6"/>
          <w:szCs w:val="16"/>
          <w:color w:val="auto"/>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including for avapritinib and pralsetinib in additional indications or in additional geographies, and achieve substantial revenues for any of our drugs that receive marketing approval, including for AYVAKIT/AYVAKYT and GAVRETO. In addition, our drugs and any current or future drug candidates that receive marketing approvals, including avapritinib and pralsetinib for additional indications or in additional geographies, may not achieve commercial success. Accordingly, we may need to rely on additional financing to achieve our business objectives. Adequate additional financing may not be available to us on acceptable terms, or at all.</w:t>
      </w:r>
    </w:p>
    <w:p>
      <w:pPr>
        <w:spacing w:after="0" w:line="209" w:lineRule="exact"/>
        <w:rPr>
          <w:sz w:val="20"/>
          <w:szCs w:val="20"/>
          <w:color w:val="auto"/>
        </w:rPr>
      </w:pPr>
    </w:p>
    <w:p>
      <w:pPr>
        <w:ind w:left="60" w:right="219" w:firstLine="648"/>
        <w:spacing w:after="0" w:line="276"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and CStone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4" w:lineRule="auto"/>
        <w:rPr>
          <w:sz w:val="20"/>
          <w:szCs w:val="20"/>
          <w:color w:val="auto"/>
        </w:rPr>
      </w:pPr>
      <w:r>
        <w:rPr>
          <w:rFonts w:ascii="Arial" w:cs="Arial" w:eastAsia="Arial" w:hAnsi="Arial"/>
          <w:sz w:val="16"/>
          <w:szCs w:val="16"/>
          <w:color w:val="auto"/>
        </w:rPr>
        <w:t>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96"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Contractual Obligations</w:t>
      </w:r>
    </w:p>
    <w:p>
      <w:pPr>
        <w:spacing w:after="0" w:line="243" w:lineRule="exact"/>
        <w:rPr>
          <w:sz w:val="20"/>
          <w:szCs w:val="20"/>
          <w:color w:val="auto"/>
        </w:rPr>
      </w:pPr>
    </w:p>
    <w:p>
      <w:pPr>
        <w:ind w:left="60" w:right="619" w:firstLine="648"/>
        <w:spacing w:after="0" w:line="261" w:lineRule="auto"/>
        <w:rPr>
          <w:sz w:val="20"/>
          <w:szCs w:val="20"/>
          <w:color w:val="auto"/>
        </w:rPr>
      </w:pPr>
      <w:r>
        <w:rPr>
          <w:rFonts w:ascii="Arial" w:cs="Arial" w:eastAsia="Arial" w:hAnsi="Arial"/>
          <w:sz w:val="18"/>
          <w:szCs w:val="18"/>
          <w:color w:val="auto"/>
        </w:rPr>
        <w:t>Our contractual obligations primarily consist of our obligations under non-cancellable operating leases and unconditional purchase obligations related to certain commercial manufacturing agreements.</w:t>
      </w:r>
    </w:p>
    <w:p>
      <w:pPr>
        <w:spacing w:after="0" w:line="211" w:lineRule="exact"/>
        <w:rPr>
          <w:sz w:val="20"/>
          <w:szCs w:val="20"/>
          <w:color w:val="auto"/>
        </w:rPr>
      </w:pPr>
    </w:p>
    <w:p>
      <w:pPr>
        <w:ind w:left="60" w:right="239" w:firstLine="648"/>
        <w:spacing w:after="0" w:line="270" w:lineRule="auto"/>
        <w:rPr>
          <w:sz w:val="20"/>
          <w:szCs w:val="20"/>
          <w:color w:val="auto"/>
        </w:rPr>
      </w:pPr>
      <w:r>
        <w:rPr>
          <w:rFonts w:ascii="Arial" w:cs="Arial" w:eastAsia="Arial" w:hAnsi="Arial"/>
          <w:sz w:val="17"/>
          <w:szCs w:val="17"/>
          <w:color w:val="auto"/>
        </w:rPr>
        <w:t>During the three months ended March 31, 2021, there were no significant changes to our contractual obligations and commitments described under “Management’s Discussion and Analysis of Financial Condition and Results of Operations” included in the Annual Report on Form 10-K for the year ended December 31, 2020.</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Off-Balance Sheet Arrangements</w:t>
      </w:r>
    </w:p>
    <w:p>
      <w:pPr>
        <w:spacing w:after="0" w:line="216" w:lineRule="exact"/>
        <w:rPr>
          <w:sz w:val="20"/>
          <w:szCs w:val="20"/>
          <w:color w:val="auto"/>
        </w:rPr>
      </w:pPr>
    </w:p>
    <w:p>
      <w:pPr>
        <w:ind w:left="60" w:right="159" w:firstLine="648"/>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March 31, 2021 and December 31, 2020, we had cash, cash equivalents and marketable securities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$1,430.1 million and $1,549.7 million, respectively, consisting primarily of money market funds and investments in U.S.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government agency and treasury obligations.</w:t>
      </w:r>
    </w:p>
    <w:p>
      <w:pPr>
        <w:spacing w:after="0" w:line="155" w:lineRule="exact"/>
        <w:rPr>
          <w:sz w:val="20"/>
          <w:szCs w:val="20"/>
          <w:color w:val="auto"/>
        </w:rPr>
      </w:pPr>
    </w:p>
    <w:p>
      <w:pPr>
        <w:ind w:left="60" w:right="79" w:firstLine="648"/>
        <w:spacing w:after="0" w:line="276"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including recent changes resulting from the impact of the COVID-19 pandemic.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21"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We are also exposed to market risk related to changes in foreign currency exchange rates, including recent changes resulting from the impact of the COVID-19 pandemic.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March 31, 2021 and December 31, 2020, we held limited funds and future obligations denominated in foreign currencies.</w:t>
      </w:r>
    </w:p>
    <w:p>
      <w:pPr>
        <w:spacing w:after="0" w:line="132" w:lineRule="exact"/>
        <w:rPr>
          <w:sz w:val="20"/>
          <w:szCs w:val="20"/>
          <w:color w:val="auto"/>
        </w:rPr>
      </w:pPr>
    </w:p>
    <w:p>
      <w:pPr>
        <w:jc w:val="both"/>
        <w:ind w:left="60" w:right="439" w:firstLine="648"/>
        <w:spacing w:after="0" w:line="248" w:lineRule="auto"/>
        <w:rPr>
          <w:sz w:val="20"/>
          <w:szCs w:val="20"/>
          <w:color w:val="auto"/>
        </w:rPr>
      </w:pPr>
      <w:r>
        <w:rPr>
          <w:rFonts w:ascii="Arial" w:cs="Arial" w:eastAsia="Arial" w:hAnsi="Arial"/>
          <w:sz w:val="18"/>
          <w:szCs w:val="18"/>
          <w:color w:val="auto"/>
        </w:rPr>
        <w:t>Inflation generally affects us by increasing our cost of labor, clinical trial and manufacturing costs. We do not believe that inflation had a material effect on our business, financial condition or results of operations during the three months ended March 31, 2021 and 2020.</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212" w:lineRule="exact"/>
        <w:rPr>
          <w:sz w:val="20"/>
          <w:szCs w:val="20"/>
          <w:color w:val="auto"/>
        </w:rPr>
      </w:pPr>
    </w:p>
    <w:p>
      <w:pPr>
        <w:ind w:left="60" w:right="239" w:firstLine="648"/>
        <w:spacing w:after="0" w:line="324"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94" w:lineRule="exact"/>
        <w:rPr>
          <w:sz w:val="20"/>
          <w:szCs w:val="20"/>
          <w:color w:val="auto"/>
        </w:rPr>
      </w:pPr>
    </w:p>
    <w:p>
      <w:pPr>
        <w:ind w:left="60" w:right="139" w:firstLine="648"/>
        <w:spacing w:after="0" w:line="241"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2021. Based upon such evaluation, our Chief Executive Officer and Chief Financial Officer have concluded that, as of March 31, 2021, our disclosure controls and procedures were effective at the reasonable assurance level.</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2" w:lineRule="exact"/>
        <w:rPr>
          <w:sz w:val="20"/>
          <w:szCs w:val="20"/>
          <w:color w:val="auto"/>
        </w:rPr>
      </w:pPr>
    </w:p>
    <w:p>
      <w:pPr>
        <w:ind w:left="60" w:right="539" w:firstLine="648"/>
        <w:spacing w:after="0" w:line="248"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covered by this report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left="60" w:right="119" w:firstLine="648"/>
        <w:spacing w:after="0" w:line="276" w:lineRule="auto"/>
        <w:rPr>
          <w:sz w:val="20"/>
          <w:szCs w:val="20"/>
          <w:color w:val="auto"/>
        </w:rPr>
      </w:pPr>
      <w:r>
        <w:rPr>
          <w:rFonts w:ascii="Arial" w:cs="Arial" w:eastAsia="Arial" w:hAnsi="Arial"/>
          <w:sz w:val="16"/>
          <w:szCs w:val="16"/>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the Section titled “Forward-Looking Statements”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16"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and should be carefully considered, together with other information in this Quarterly Report on Form 10-Q in its entirety before making investment decisions regarding our common stock.</w:t>
      </w:r>
    </w:p>
    <w:p>
      <w:pPr>
        <w:spacing w:after="0" w:line="189" w:lineRule="exact"/>
        <w:rPr>
          <w:sz w:val="20"/>
          <w:szCs w:val="20"/>
          <w:color w:val="auto"/>
        </w:rPr>
      </w:pPr>
    </w:p>
    <w:p>
      <w:pPr>
        <w:ind w:left="1380" w:right="579" w:hanging="331"/>
        <w:spacing w:after="0" w:line="248"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limited experience as a commercial company and the marketing and sale of AYVAKIT/ AYVAKYT, GAVRETO or any future approved drugs may be unsuccessful or less successful than anticipated.</w:t>
      </w:r>
    </w:p>
    <w:p>
      <w:pPr>
        <w:spacing w:after="0" w:line="181" w:lineRule="exact"/>
        <w:rPr>
          <w:rFonts w:ascii="Arial" w:cs="Arial" w:eastAsia="Arial" w:hAnsi="Arial"/>
          <w:sz w:val="18"/>
          <w:szCs w:val="18"/>
          <w:color w:val="auto"/>
        </w:rPr>
      </w:pPr>
    </w:p>
    <w:p>
      <w:pPr>
        <w:ind w:left="1380" w:right="799" w:hanging="331"/>
        <w:spacing w:after="0" w:line="324" w:lineRule="auto"/>
        <w:tabs>
          <w:tab w:leader="none" w:pos="1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commercial success of our current and future drugs will depend upon the degree of market acceptance by physicians, patients, third-party payors and others in the medical community.</w:t>
      </w:r>
    </w:p>
    <w:p>
      <w:pPr>
        <w:spacing w:after="0" w:line="124" w:lineRule="exact"/>
        <w:rPr>
          <w:rFonts w:ascii="Arial" w:cs="Arial" w:eastAsia="Arial" w:hAnsi="Arial"/>
          <w:sz w:val="16"/>
          <w:szCs w:val="16"/>
          <w:color w:val="auto"/>
        </w:rPr>
      </w:pPr>
    </w:p>
    <w:p>
      <w:pPr>
        <w:ind w:left="1380" w:right="199" w:hanging="331"/>
        <w:spacing w:after="0" w:line="261"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establish additional commercial capabilities and infrastructure, we may be unable to generate sufficient revenue to sustain our business.</w:t>
      </w:r>
    </w:p>
    <w:p>
      <w:pPr>
        <w:spacing w:after="0" w:line="170" w:lineRule="exact"/>
        <w:rPr>
          <w:rFonts w:ascii="Arial" w:cs="Arial" w:eastAsia="Arial" w:hAnsi="Arial"/>
          <w:sz w:val="18"/>
          <w:szCs w:val="18"/>
          <w:color w:val="auto"/>
        </w:rPr>
      </w:pPr>
    </w:p>
    <w:p>
      <w:pPr>
        <w:jc w:val="both"/>
        <w:ind w:left="1380" w:right="179" w:hanging="331"/>
        <w:spacing w:after="0" w:line="248"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81" w:lineRule="exact"/>
        <w:rPr>
          <w:rFonts w:ascii="Arial" w:cs="Arial" w:eastAsia="Arial" w:hAnsi="Arial"/>
          <w:sz w:val="18"/>
          <w:szCs w:val="18"/>
          <w:color w:val="auto"/>
        </w:rPr>
      </w:pPr>
    </w:p>
    <w:p>
      <w:pPr>
        <w:ind w:left="1380" w:right="119" w:hanging="331"/>
        <w:spacing w:after="0" w:line="261"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commercializing, developing or discovering drugs before or more successfully than we do.</w:t>
      </w:r>
    </w:p>
    <w:p>
      <w:pPr>
        <w:spacing w:after="0" w:line="170" w:lineRule="exact"/>
        <w:rPr>
          <w:rFonts w:ascii="Arial" w:cs="Arial" w:eastAsia="Arial" w:hAnsi="Arial"/>
          <w:sz w:val="18"/>
          <w:szCs w:val="18"/>
          <w:color w:val="auto"/>
        </w:rPr>
      </w:pPr>
    </w:p>
    <w:p>
      <w:pPr>
        <w:ind w:left="1380" w:right="739" w:hanging="331"/>
        <w:spacing w:after="0" w:line="324" w:lineRule="auto"/>
        <w:tabs>
          <w:tab w:leader="none" w:pos="1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Product liability lawsuits against us could cause us to incur substantial liabilities and could limit commercialization of any of our approved drugs or drug candidates that we may develop.</w:t>
      </w:r>
    </w:p>
    <w:p>
      <w:pPr>
        <w:spacing w:after="0" w:line="124" w:lineRule="exact"/>
        <w:rPr>
          <w:rFonts w:ascii="Arial" w:cs="Arial" w:eastAsia="Arial" w:hAnsi="Arial"/>
          <w:sz w:val="16"/>
          <w:szCs w:val="16"/>
          <w:color w:val="auto"/>
        </w:rPr>
      </w:pPr>
    </w:p>
    <w:p>
      <w:pPr>
        <w:ind w:left="1380" w:right="219" w:hanging="331"/>
        <w:spacing w:after="0" w:line="243"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advance our drug candidates to clinical development, obtain regulatory approval for our drug candidates, including for avapritinib and pralsetinib for additional indications or in additional geographies, and ultimately commercialize them, or experience significant delays in doing so, our business will be materially harmed.</w:t>
      </w:r>
    </w:p>
    <w:p>
      <w:pPr>
        <w:spacing w:after="0" w:line="187" w:lineRule="exact"/>
        <w:rPr>
          <w:rFonts w:ascii="Arial" w:cs="Arial" w:eastAsia="Arial" w:hAnsi="Arial"/>
          <w:sz w:val="18"/>
          <w:szCs w:val="18"/>
          <w:color w:val="auto"/>
        </w:rPr>
      </w:pPr>
    </w:p>
    <w:p>
      <w:pPr>
        <w:ind w:left="1380" w:right="639" w:hanging="331"/>
        <w:spacing w:after="0" w:line="261"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170" w:lineRule="exact"/>
        <w:rPr>
          <w:rFonts w:ascii="Arial" w:cs="Arial" w:eastAsia="Arial" w:hAnsi="Arial"/>
          <w:sz w:val="18"/>
          <w:szCs w:val="18"/>
          <w:color w:val="auto"/>
        </w:rPr>
      </w:pPr>
    </w:p>
    <w:p>
      <w:pPr>
        <w:ind w:left="1380" w:right="99" w:hanging="331"/>
        <w:spacing w:after="0" w:line="291" w:lineRule="auto"/>
        <w:tabs>
          <w:tab w:leader="none" w:pos="1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are not able to obtain, or if there are delays in obtaining, required regulatory approvals for our drug candidates and, if applicable, for any related companion diagnostic tests, we will not be able to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59"/>
        <w:spacing w:after="0" w:line="261" w:lineRule="auto"/>
        <w:rPr>
          <w:sz w:val="20"/>
          <w:szCs w:val="20"/>
          <w:color w:val="auto"/>
        </w:rPr>
      </w:pPr>
      <w:r>
        <w:rPr>
          <w:rFonts w:ascii="Arial" w:cs="Arial" w:eastAsia="Arial" w:hAnsi="Arial"/>
          <w:sz w:val="18"/>
          <w:szCs w:val="18"/>
          <w:color w:val="auto"/>
        </w:rPr>
        <w:t>commercialize, or may be delayed in commercializing, such drug candidates, and our ability to generate revenue will be materially impaired.</w:t>
      </w:r>
    </w:p>
    <w:p>
      <w:pPr>
        <w:spacing w:after="0" w:line="171" w:lineRule="exact"/>
        <w:rPr>
          <w:sz w:val="20"/>
          <w:szCs w:val="20"/>
          <w:color w:val="auto"/>
        </w:rPr>
      </w:pPr>
    </w:p>
    <w:p>
      <w:pPr>
        <w:ind w:left="1380" w:right="99" w:hanging="331"/>
        <w:spacing w:after="0" w:line="248"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81" w:lineRule="exact"/>
        <w:rPr>
          <w:rFonts w:ascii="Arial" w:cs="Arial" w:eastAsia="Arial" w:hAnsi="Arial"/>
          <w:sz w:val="18"/>
          <w:szCs w:val="18"/>
          <w:color w:val="auto"/>
        </w:rPr>
      </w:pPr>
    </w:p>
    <w:p>
      <w:pPr>
        <w:ind w:left="1380" w:hanging="331"/>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successful in our efforts to expand our pipeline of drug candidates.</w:t>
      </w:r>
    </w:p>
    <w:p>
      <w:pPr>
        <w:spacing w:after="0" w:line="211" w:lineRule="exact"/>
        <w:rPr>
          <w:rFonts w:ascii="Arial" w:cs="Arial" w:eastAsia="Arial" w:hAnsi="Arial"/>
          <w:sz w:val="18"/>
          <w:szCs w:val="18"/>
          <w:color w:val="auto"/>
        </w:rPr>
      </w:pPr>
    </w:p>
    <w:p>
      <w:pPr>
        <w:ind w:left="1380" w:right="359" w:hanging="331"/>
        <w:spacing w:after="0" w:line="279" w:lineRule="auto"/>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59" w:lineRule="exact"/>
        <w:rPr>
          <w:rFonts w:ascii="Arial" w:cs="Arial" w:eastAsia="Arial" w:hAnsi="Arial"/>
          <w:sz w:val="16"/>
          <w:szCs w:val="16"/>
          <w:color w:val="auto"/>
        </w:rPr>
      </w:pPr>
    </w:p>
    <w:p>
      <w:pPr>
        <w:ind w:left="1380" w:right="99" w:hanging="331"/>
        <w:spacing w:after="0" w:line="248"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a precision therapy company with a limited operating history. We have incurred significant operating losses since our inception and anticipate that we will incur continued losses for the foreseeable future.</w:t>
      </w:r>
    </w:p>
    <w:p>
      <w:pPr>
        <w:spacing w:after="0" w:line="181" w:lineRule="exact"/>
        <w:rPr>
          <w:rFonts w:ascii="Arial" w:cs="Arial" w:eastAsia="Arial" w:hAnsi="Arial"/>
          <w:sz w:val="18"/>
          <w:szCs w:val="18"/>
          <w:color w:val="auto"/>
        </w:rPr>
      </w:pPr>
    </w:p>
    <w:p>
      <w:pPr>
        <w:ind w:left="1380" w:right="219" w:hanging="331"/>
        <w:spacing w:after="0" w:line="294" w:lineRule="auto"/>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47" w:lineRule="exact"/>
        <w:rPr>
          <w:rFonts w:ascii="Arial" w:cs="Arial" w:eastAsia="Arial" w:hAnsi="Arial"/>
          <w:sz w:val="16"/>
          <w:szCs w:val="16"/>
          <w:color w:val="auto"/>
        </w:rPr>
      </w:pPr>
    </w:p>
    <w:p>
      <w:pPr>
        <w:ind w:left="1380" w:right="99" w:hanging="331"/>
        <w:spacing w:after="0" w:line="243"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87" w:lineRule="exact"/>
        <w:rPr>
          <w:rFonts w:ascii="Arial" w:cs="Arial" w:eastAsia="Arial" w:hAnsi="Arial"/>
          <w:sz w:val="18"/>
          <w:szCs w:val="18"/>
          <w:color w:val="auto"/>
        </w:rPr>
      </w:pPr>
    </w:p>
    <w:p>
      <w:pPr>
        <w:ind w:left="1380" w:right="159" w:hanging="331"/>
        <w:spacing w:after="0" w:line="284" w:lineRule="auto"/>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55" w:lineRule="exact"/>
        <w:rPr>
          <w:rFonts w:ascii="Arial" w:cs="Arial" w:eastAsia="Arial" w:hAnsi="Arial"/>
          <w:sz w:val="16"/>
          <w:szCs w:val="16"/>
          <w:color w:val="auto"/>
        </w:rPr>
      </w:pPr>
    </w:p>
    <w:p>
      <w:pPr>
        <w:ind w:left="1380" w:right="339" w:hanging="331"/>
        <w:spacing w:after="0" w:line="241"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89" w:lineRule="exact"/>
        <w:rPr>
          <w:rFonts w:ascii="Arial" w:cs="Arial" w:eastAsia="Arial" w:hAnsi="Arial"/>
          <w:sz w:val="18"/>
          <w:szCs w:val="18"/>
          <w:color w:val="auto"/>
        </w:rPr>
      </w:pPr>
    </w:p>
    <w:p>
      <w:pPr>
        <w:ind w:left="1380" w:right="139" w:hanging="331"/>
        <w:spacing w:after="0" w:line="248"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81" w:lineRule="exact"/>
        <w:rPr>
          <w:rFonts w:ascii="Arial" w:cs="Arial" w:eastAsia="Arial" w:hAnsi="Arial"/>
          <w:sz w:val="18"/>
          <w:szCs w:val="18"/>
          <w:color w:val="auto"/>
        </w:rPr>
      </w:pPr>
    </w:p>
    <w:p>
      <w:pPr>
        <w:ind w:left="1380" w:right="639" w:hanging="331"/>
        <w:spacing w:after="0" w:line="261"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results of operations and future growth prospects could be materially and adversely affected by the COVID-19 pandemic.</w:t>
      </w:r>
    </w:p>
    <w:p>
      <w:pPr>
        <w:spacing w:after="0" w:line="170" w:lineRule="exact"/>
        <w:rPr>
          <w:rFonts w:ascii="Arial" w:cs="Arial" w:eastAsia="Arial" w:hAnsi="Arial"/>
          <w:sz w:val="18"/>
          <w:szCs w:val="18"/>
          <w:color w:val="auto"/>
        </w:rPr>
      </w:pPr>
    </w:p>
    <w:p>
      <w:pPr>
        <w:ind w:left="1380" w:right="79" w:hanging="331"/>
        <w:spacing w:after="0" w:line="294" w:lineRule="auto"/>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47" w:lineRule="exact"/>
        <w:rPr>
          <w:rFonts w:ascii="Arial" w:cs="Arial" w:eastAsia="Arial" w:hAnsi="Arial"/>
          <w:sz w:val="16"/>
          <w:szCs w:val="16"/>
          <w:color w:val="auto"/>
        </w:rPr>
      </w:pPr>
    </w:p>
    <w:p>
      <w:pPr>
        <w:ind w:left="1380" w:hanging="331"/>
        <w:spacing w:after="0"/>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price of our common stock has been and may in the future be volatile and fluctuate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w:t>
      </w:r>
    </w:p>
    <w:p>
      <w:pPr>
        <w:spacing w:after="0" w:line="216" w:lineRule="exact"/>
        <w:rPr>
          <w:sz w:val="20"/>
          <w:szCs w:val="20"/>
          <w:color w:val="auto"/>
        </w:rPr>
      </w:pPr>
    </w:p>
    <w:p>
      <w:pPr>
        <w:ind w:left="60" w:right="179"/>
        <w:spacing w:after="0" w:line="291" w:lineRule="auto"/>
        <w:rPr>
          <w:sz w:val="20"/>
          <w:szCs w:val="20"/>
          <w:color w:val="auto"/>
        </w:rPr>
      </w:pPr>
      <w:r>
        <w:rPr>
          <w:rFonts w:ascii="Arial" w:cs="Arial" w:eastAsia="Arial" w:hAnsi="Arial"/>
          <w:sz w:val="17"/>
          <w:szCs w:val="17"/>
          <w:b w:val="1"/>
          <w:bCs w:val="1"/>
          <w:i w:val="1"/>
          <w:iCs w:val="1"/>
          <w:color w:val="auto"/>
        </w:rPr>
        <w:t>We have limited experience as a commercial company and the marketing and sale of AYVAKIT/AYVAKYT, GAVRETO or any future approved drugs may be unsuccessful or less successful than anticipated.</w:t>
      </w:r>
    </w:p>
    <w:p>
      <w:pPr>
        <w:spacing w:after="0" w:line="147" w:lineRule="exact"/>
        <w:rPr>
          <w:sz w:val="20"/>
          <w:szCs w:val="20"/>
          <w:color w:val="auto"/>
        </w:rPr>
      </w:pPr>
    </w:p>
    <w:p>
      <w:pPr>
        <w:ind w:left="60" w:right="179" w:firstLine="648"/>
        <w:spacing w:after="0" w:line="239" w:lineRule="auto"/>
        <w:rPr>
          <w:sz w:val="20"/>
          <w:szCs w:val="20"/>
          <w:color w:val="auto"/>
        </w:rPr>
      </w:pPr>
      <w:r>
        <w:rPr>
          <w:rFonts w:ascii="Arial" w:cs="Arial" w:eastAsia="Arial" w:hAnsi="Arial"/>
          <w:sz w:val="18"/>
          <w:szCs w:val="18"/>
          <w:color w:val="auto"/>
        </w:rPr>
        <w:t>We have two approved precision therapies, AYVAKIT/AYVAKYT and GAVRETO. While we have initiated the commercial launch of AYVAKIT and GAVRETO in the U.S. and AYVAKYT in Europe, we have limited experience as a commercial company, and there is limited information about our ability to successfully overcome many of the risks and uncertainties encountered by companies commercializing drugs in the biopharmaceutical industry. Marketing applications for avapritinib and pralsetinib for additional indications are currently under review or planned in the U.S. and globally. To execute our business plan, in addition to successfully marketing and selling our approved drugs, we will need to successfully:</w:t>
      </w:r>
    </w:p>
    <w:p>
      <w:pPr>
        <w:spacing w:after="0" w:line="191" w:lineRule="exact"/>
        <w:rPr>
          <w:sz w:val="20"/>
          <w:szCs w:val="20"/>
          <w:color w:val="auto"/>
        </w:rPr>
      </w:pPr>
    </w:p>
    <w:p>
      <w:pPr>
        <w:ind w:left="1340" w:right="219" w:hanging="318"/>
        <w:spacing w:after="0" w:line="261"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maintain our relationships with healthcare providers who will be treating the patients who may receive our drugs and any future drugs;</w:t>
      </w:r>
    </w:p>
    <w:p>
      <w:pPr>
        <w:spacing w:after="0" w:line="170" w:lineRule="exact"/>
        <w:rPr>
          <w:rFonts w:ascii="Arial" w:cs="Arial" w:eastAsia="Arial" w:hAnsi="Arial"/>
          <w:sz w:val="18"/>
          <w:szCs w:val="18"/>
          <w:color w:val="auto"/>
        </w:rPr>
      </w:pPr>
    </w:p>
    <w:p>
      <w:pPr>
        <w:ind w:left="1340" w:right="79" w:hanging="318"/>
        <w:spacing w:after="0" w:line="261"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and maintain adequate pricing and reimbursement for AYVAKIT/AYVAKYT, GAVRETO and any future drugs;</w:t>
      </w:r>
    </w:p>
    <w:p>
      <w:pPr>
        <w:spacing w:after="0" w:line="170" w:lineRule="exact"/>
        <w:rPr>
          <w:rFonts w:ascii="Arial" w:cs="Arial" w:eastAsia="Arial" w:hAnsi="Arial"/>
          <w:sz w:val="18"/>
          <w:szCs w:val="18"/>
          <w:color w:val="auto"/>
        </w:rPr>
      </w:pPr>
    </w:p>
    <w:p>
      <w:pPr>
        <w:ind w:left="1340" w:right="159" w:hanging="318"/>
        <w:spacing w:after="0" w:line="248"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gain regulatory acceptance for the development and commercialization of current or future drug candidates in our pipeline, including for additional indications or in additional geographies for marketed drugs in our portfolio;</w:t>
      </w:r>
    </w:p>
    <w:p>
      <w:pPr>
        <w:spacing w:after="0" w:line="181" w:lineRule="exact"/>
        <w:rPr>
          <w:rFonts w:ascii="Arial" w:cs="Arial" w:eastAsia="Arial" w:hAnsi="Arial"/>
          <w:sz w:val="18"/>
          <w:szCs w:val="18"/>
          <w:color w:val="auto"/>
        </w:rPr>
      </w:pPr>
    </w:p>
    <w:p>
      <w:pPr>
        <w:ind w:left="1340" w:hanging="318"/>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our existing collaborations with Roche and CStone Pharmaceuticals, or CStone;</w:t>
      </w:r>
    </w:p>
    <w:p>
      <w:pPr>
        <w:spacing w:after="0" w:line="211" w:lineRule="exact"/>
        <w:rPr>
          <w:rFonts w:ascii="Arial" w:cs="Arial" w:eastAsia="Arial" w:hAnsi="Arial"/>
          <w:sz w:val="18"/>
          <w:szCs w:val="18"/>
          <w:color w:val="auto"/>
        </w:rPr>
      </w:pPr>
    </w:p>
    <w:p>
      <w:pPr>
        <w:ind w:left="1340" w:right="419" w:hanging="318"/>
        <w:spacing w:after="0" w:line="261"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global operations or enter into collaboration, partnerships or distribution arrangements in geographies where we may not have current operations or expertise; and</w:t>
      </w:r>
    </w:p>
    <w:p>
      <w:pPr>
        <w:spacing w:after="0" w:line="170" w:lineRule="exact"/>
        <w:rPr>
          <w:rFonts w:ascii="Arial" w:cs="Arial" w:eastAsia="Arial" w:hAnsi="Arial"/>
          <w:sz w:val="18"/>
          <w:szCs w:val="18"/>
          <w:color w:val="auto"/>
        </w:rPr>
      </w:pPr>
    </w:p>
    <w:p>
      <w:pPr>
        <w:ind w:left="1340" w:right="519" w:hanging="318"/>
        <w:spacing w:after="0" w:line="261"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marketing approvals, and commercialization.</w:t>
      </w:r>
    </w:p>
    <w:p>
      <w:pPr>
        <w:spacing w:after="0" w:line="171" w:lineRule="exact"/>
        <w:rPr>
          <w:sz w:val="20"/>
          <w:szCs w:val="20"/>
          <w:color w:val="auto"/>
        </w:rPr>
      </w:pPr>
    </w:p>
    <w:p>
      <w:pPr>
        <w:ind w:left="60" w:right="259" w:firstLine="648"/>
        <w:spacing w:after="0" w:line="248" w:lineRule="auto"/>
        <w:rPr>
          <w:sz w:val="20"/>
          <w:szCs w:val="20"/>
          <w:color w:val="auto"/>
        </w:rPr>
      </w:pPr>
      <w:r>
        <w:rPr>
          <w:rFonts w:ascii="Arial" w:cs="Arial" w:eastAsia="Arial" w:hAnsi="Arial"/>
          <w:sz w:val="18"/>
          <w:szCs w:val="18"/>
          <w:color w:val="auto"/>
        </w:rPr>
        <w:t>If we are unsuccessful in accomplishing these objectives, we may not be able to successfully commercialize our current or future approved drugs, develop current or future drug candidates, expand our business or continue our operations.</w:t>
      </w:r>
    </w:p>
    <w:p>
      <w:pPr>
        <w:spacing w:after="0" w:line="182" w:lineRule="exact"/>
        <w:rPr>
          <w:sz w:val="20"/>
          <w:szCs w:val="20"/>
          <w:color w:val="auto"/>
        </w:rPr>
      </w:pPr>
    </w:p>
    <w:p>
      <w:pPr>
        <w:jc w:val="both"/>
        <w:ind w:left="60" w:right="219"/>
        <w:spacing w:after="0" w:line="248" w:lineRule="auto"/>
        <w:rPr>
          <w:sz w:val="20"/>
          <w:szCs w:val="20"/>
          <w:color w:val="auto"/>
        </w:rPr>
      </w:pPr>
      <w:r>
        <w:rPr>
          <w:rFonts w:ascii="Arial" w:cs="Arial" w:eastAsia="Arial" w:hAnsi="Arial"/>
          <w:sz w:val="18"/>
          <w:szCs w:val="18"/>
          <w:b w:val="1"/>
          <w:bCs w:val="1"/>
          <w:i w:val="1"/>
          <w:iCs w:val="1"/>
          <w:color w:val="auto"/>
        </w:rPr>
        <w:t>The commercial success of AYVAKIT/AYVAKYT and GAVRETO, as well as any other drugs that we may bring to the market, will depend upon the degree of market acceptance by physicians, patients, third-party payors and others in the medical community.</w:t>
      </w:r>
    </w:p>
    <w:p>
      <w:pPr>
        <w:spacing w:after="0" w:line="182"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7"/>
          <w:szCs w:val="17"/>
          <w:color w:val="auto"/>
        </w:rPr>
        <w:t>AYVAKIT/AYVAKYT and GAVRETO, as well any other drugs that we may bring to the market, may not gain market acceptance by physicians, patients, third-party payors and others in the medical community. If these drugs do not achieve an adequate level of acceptance, we may not generate significant product revenues and may not become profitable. The degree of market acceptance for AYVAKIT/AYVAKYT and GAVRETO, as well as any current or future drug candidates for which we receive marketing approval, will depend on a number of factors, including:</w:t>
      </w:r>
    </w:p>
    <w:p>
      <w:pPr>
        <w:spacing w:after="0" w:line="174" w:lineRule="exact"/>
        <w:rPr>
          <w:sz w:val="20"/>
          <w:szCs w:val="20"/>
          <w:color w:val="auto"/>
        </w:rPr>
      </w:pPr>
    </w:p>
    <w:p>
      <w:pPr>
        <w:ind w:left="1380" w:hanging="331"/>
        <w:spacing w:after="0"/>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211" w:lineRule="exact"/>
        <w:rPr>
          <w:rFonts w:ascii="Arial" w:cs="Arial" w:eastAsia="Arial" w:hAnsi="Arial"/>
          <w:sz w:val="18"/>
          <w:szCs w:val="18"/>
          <w:color w:val="auto"/>
        </w:rPr>
      </w:pPr>
    </w:p>
    <w:p>
      <w:pPr>
        <w:ind w:left="1380" w:right="339" w:hanging="331"/>
        <w:spacing w:after="0" w:line="261"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the drug’s approved labeling;</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willingness of eligible patients to try new therapies and of physicians to prescribe these therapies;</w:t>
      </w:r>
    </w:p>
    <w:p>
      <w:pPr>
        <w:spacing w:after="0" w:line="223" w:lineRule="exact"/>
        <w:rPr>
          <w:rFonts w:ascii="Arial" w:cs="Arial" w:eastAsia="Arial" w:hAnsi="Arial"/>
          <w:sz w:val="17"/>
          <w:szCs w:val="17"/>
          <w:color w:val="auto"/>
        </w:rPr>
      </w:pPr>
    </w:p>
    <w:p>
      <w:pPr>
        <w:ind w:left="1340" w:hanging="318"/>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length of time that patients who are prescribed our drugs remain on treatment;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619" w:hanging="318"/>
        <w:spacing w:after="0" w:line="261" w:lineRule="auto"/>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pricing of our drugs and any current or future drug candidates for which we receive marketing approval;</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publicity concerning our current and future drugs, or competing products and treatments;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21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7"/>
          <w:szCs w:val="17"/>
          <w:color w:val="auto"/>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 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spacing w:after="0" w:line="175" w:lineRule="exact"/>
        <w:rPr>
          <w:sz w:val="20"/>
          <w:szCs w:val="20"/>
          <w:color w:val="auto"/>
        </w:rPr>
      </w:pPr>
    </w:p>
    <w:p>
      <w:pPr>
        <w:ind w:left="60" w:right="579"/>
        <w:spacing w:after="0" w:line="261" w:lineRule="auto"/>
        <w:rPr>
          <w:sz w:val="20"/>
          <w:szCs w:val="20"/>
          <w:color w:val="auto"/>
        </w:rPr>
      </w:pPr>
      <w:r>
        <w:rPr>
          <w:rFonts w:ascii="Arial" w:cs="Arial" w:eastAsia="Arial" w:hAnsi="Arial"/>
          <w:sz w:val="18"/>
          <w:szCs w:val="18"/>
          <w:b w:val="1"/>
          <w:bCs w:val="1"/>
          <w:i w:val="1"/>
          <w:iCs w:val="1"/>
          <w:color w:val="auto"/>
        </w:rPr>
        <w:t>If we are unable to establish additional commercial capabilities and infrastructure, we may be unable to generate sufficient revenue to sustain our business.</w:t>
      </w:r>
    </w:p>
    <w:p>
      <w:pPr>
        <w:spacing w:after="0" w:line="171"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7"/>
          <w:szCs w:val="17"/>
          <w:color w:val="auto"/>
        </w:rPr>
        <w:t>Although we have established our initial commercial infrastructure, we are continuing to build out our commercial capabilities and infrastructure and have limited sales and distribution experience and limited capabilities for marketing and market access. To successfully commercialize our approved drugs or any current or future drug candidates for which we receive marketing approval, we will need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181"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Factors that may inhibit our efforts to commercialize our drugs include:</w:t>
      </w:r>
    </w:p>
    <w:p>
      <w:pPr>
        <w:spacing w:after="0" w:line="212" w:lineRule="exact"/>
        <w:rPr>
          <w:sz w:val="20"/>
          <w:szCs w:val="20"/>
          <w:color w:val="auto"/>
        </w:rPr>
      </w:pPr>
    </w:p>
    <w:p>
      <w:pPr>
        <w:ind w:left="1340" w:hanging="318"/>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sales and marketing personnel;</w:t>
      </w:r>
    </w:p>
    <w:p>
      <w:pPr>
        <w:spacing w:after="0" w:line="211" w:lineRule="exact"/>
        <w:rPr>
          <w:rFonts w:ascii="Arial" w:cs="Arial" w:eastAsia="Arial" w:hAnsi="Arial"/>
          <w:sz w:val="18"/>
          <w:szCs w:val="18"/>
          <w:color w:val="auto"/>
        </w:rPr>
      </w:pPr>
    </w:p>
    <w:p>
      <w:pPr>
        <w:ind w:left="1340" w:right="499" w:hanging="318"/>
        <w:spacing w:after="0" w:line="261"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to persuade adequate numbers of physicians to prescribe our drugs;</w:t>
      </w:r>
    </w:p>
    <w:p>
      <w:pPr>
        <w:spacing w:after="0" w:line="170" w:lineRule="exact"/>
        <w:rPr>
          <w:rFonts w:ascii="Arial" w:cs="Arial" w:eastAsia="Arial" w:hAnsi="Arial"/>
          <w:sz w:val="18"/>
          <w:szCs w:val="18"/>
          <w:color w:val="auto"/>
        </w:rPr>
      </w:pPr>
    </w:p>
    <w:p>
      <w:pPr>
        <w:ind w:left="1340" w:right="819" w:hanging="318"/>
        <w:spacing w:after="0" w:line="261"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costs and expenses associated with maintaining an independent sales and marketing organization; and</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delays or disruptions to sales and marketing activities, including due to the COVID-19 pandemic.</w:t>
      </w:r>
    </w:p>
    <w:p>
      <w:pPr>
        <w:spacing w:after="0" w:line="223" w:lineRule="exact"/>
        <w:rPr>
          <w:sz w:val="20"/>
          <w:szCs w:val="20"/>
          <w:color w:val="auto"/>
        </w:rPr>
      </w:pPr>
    </w:p>
    <w:p>
      <w:pPr>
        <w:jc w:val="both"/>
        <w:ind w:left="60" w:right="119" w:firstLine="648"/>
        <w:spacing w:after="0" w:line="248" w:lineRule="auto"/>
        <w:rPr>
          <w:sz w:val="20"/>
          <w:szCs w:val="20"/>
          <w:color w:val="auto"/>
        </w:rPr>
      </w:pPr>
      <w:r>
        <w:rPr>
          <w:rFonts w:ascii="Arial" w:cs="Arial" w:eastAsia="Arial" w:hAnsi="Arial"/>
          <w:sz w:val="18"/>
          <w:szCs w:val="18"/>
          <w:color w:val="auto"/>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spacing w:after="0" w:line="182" w:lineRule="exact"/>
        <w:rPr>
          <w:sz w:val="20"/>
          <w:szCs w:val="20"/>
          <w:color w:val="auto"/>
        </w:rPr>
      </w:pPr>
    </w:p>
    <w:p>
      <w:pPr>
        <w:ind w:left="60" w:right="239"/>
        <w:spacing w:after="0" w:line="248" w:lineRule="auto"/>
        <w:rPr>
          <w:sz w:val="20"/>
          <w:szCs w:val="20"/>
          <w:color w:val="auto"/>
        </w:rPr>
      </w:pPr>
      <w:r>
        <w:rPr>
          <w:rFonts w:ascii="Arial" w:cs="Arial" w:eastAsia="Arial" w:hAnsi="Arial"/>
          <w:sz w:val="18"/>
          <w:szCs w:val="18"/>
          <w:b w:val="1"/>
          <w:bCs w:val="1"/>
          <w:i w:val="1"/>
          <w:iCs w:val="1"/>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82"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color w:val="auto"/>
        </w:rPr>
        <w:t>The precise incidence and/or prevalence for SM, RET-altered cancers, EGFR-mutated NSCLC, CCNE-aberrant cancers, GIST and HCC are unknown. Our projections of the number of people who have these diseases, the frequency of the genetic alterations targeted by our drugs and drug candidates and the subset of patients who have the potential to benefit from our treatment options are based on estimates. These estimates have been derived from a variety of sources,</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4" w:lineRule="auto"/>
        <w:rPr>
          <w:sz w:val="20"/>
          <w:szCs w:val="20"/>
          <w:color w:val="auto"/>
        </w:rPr>
      </w:pPr>
      <w:r>
        <w:rPr>
          <w:rFonts w:ascii="Arial" w:cs="Arial" w:eastAsia="Arial" w:hAnsi="Arial"/>
          <w:sz w:val="16"/>
          <w:szCs w:val="16"/>
          <w:color w:val="auto"/>
        </w:rPr>
        <w:t>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approved drugs and drug candidates may be limited or may not be amenable to treatment with our precision therapies.</w:t>
      </w:r>
    </w:p>
    <w:p>
      <w:pPr>
        <w:spacing w:after="0" w:line="155" w:lineRule="exact"/>
        <w:rPr>
          <w:sz w:val="20"/>
          <w:szCs w:val="20"/>
          <w:color w:val="auto"/>
        </w:rPr>
      </w:pPr>
    </w:p>
    <w:p>
      <w:pPr>
        <w:ind w:left="60" w:right="199" w:firstLine="648"/>
        <w:spacing w:after="0"/>
        <w:rPr>
          <w:sz w:val="20"/>
          <w:szCs w:val="20"/>
          <w:color w:val="auto"/>
        </w:rPr>
      </w:pPr>
      <w:r>
        <w:rPr>
          <w:rFonts w:ascii="Arial" w:cs="Arial" w:eastAsia="Arial" w:hAnsi="Arial"/>
          <w:sz w:val="18"/>
          <w:szCs w:val="18"/>
          <w:color w:val="auto"/>
        </w:rPr>
        <w:t>Accordingly, the number of patients in the U.S., France, Germany, Italy, Spain, the United Kingdom and Japan, which we collectively refer to as the Major Markets, and elsewhere, including the number of addressable patients in those markets, may turn out to be lower than expected, patients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spacing w:after="0" w:line="189"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commercializing, developing or discovering drugs before or more successfully than we do.</w:t>
      </w:r>
    </w:p>
    <w:p>
      <w:pPr>
        <w:spacing w:after="0" w:line="171"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w:t>
      </w:r>
    </w:p>
    <w:p>
      <w:pPr>
        <w:spacing w:after="0" w:line="167"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We are developing avapritinib for SM, including advanced SM and non-advanced SM, and we are developing BLU-263 for the treatment of non-advanced SM and other mast cell disorders. If avapritinib receives marketing approval for advanced SM, it will face competition from Novartis AG’s midostaurin and imatinib. In addition, if avapritinib or BLU-263 are approved for advanced SM or non-advanced SM, they may face competition from other drug candidates in development for these indications, including those being developed by AB Science S.A., Allakos Inc. and Cogent Biosciences, Inc.</w:t>
      </w:r>
    </w:p>
    <w:p>
      <w:pPr>
        <w:spacing w:after="0" w:line="189"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7"/>
          <w:szCs w:val="17"/>
          <w:color w:val="auto"/>
        </w:rPr>
        <w:t>GAVRETO faces competition for RET fusion-positive NSCLC and RET-altered thyroid carcinoma, including MTC, from Eli Lilly and Company’s selpercatinib. If pralsetinib receives marketing approval for patients with other solid tumors, it will also face competition from selpercatinib for these additional indications. In addition, pralsetinib may face competition from other drug candidates in development for RET-altered cancers, including those being developed by AstraZeneca plc, Boston Pharmaceuticals, Inc., Eisai Inc., Exelixis, Inc., GlaxoSmithKline plc, Mirati Therapeutics, Inc., Novartis AG, Pfizer Inc. Roche, Stemline Therapeutics, Inc., and Turning Point Therapeutics, Inc., as well as several approved multi-kinase inhibitors with RET activity being evaluated in clinical trials, including alectinib, apatinib, cabozantinib, dovitinib, lenvatinib, sorafenib, sunitinib and vandetinib.</w:t>
      </w:r>
    </w:p>
    <w:p>
      <w:pPr>
        <w:spacing w:after="0" w:line="181" w:lineRule="exact"/>
        <w:rPr>
          <w:sz w:val="20"/>
          <w:szCs w:val="20"/>
          <w:color w:val="auto"/>
        </w:rPr>
      </w:pPr>
    </w:p>
    <w:p>
      <w:pPr>
        <w:ind w:left="60" w:right="99" w:firstLine="648"/>
        <w:spacing w:after="0" w:line="241" w:lineRule="auto"/>
        <w:rPr>
          <w:sz w:val="20"/>
          <w:szCs w:val="20"/>
          <w:color w:val="auto"/>
        </w:rPr>
      </w:pPr>
      <w:r>
        <w:rPr>
          <w:rFonts w:ascii="Arial" w:cs="Arial" w:eastAsia="Arial" w:hAnsi="Arial"/>
          <w:sz w:val="18"/>
          <w:szCs w:val="18"/>
          <w:color w:val="auto"/>
        </w:rPr>
        <w:t>AYVAKIT/AYVAKYT may face competition from drug candidates in development for PDGFRA-driven GIST, including those being developed by AB Science S.A., ARIAD Pharmaceuticals, Inc., a wholly-owned subsidiary of Takeda Pharmaceutical Company Limited, AROG Pharmaceuticals, Inc., AstraZeneca plc, Celldex Therapeutics, Inc., Cogent Biosciences, Inc., Deciphera Pharmaceuticals, LLC, Exelixis, Inc., Ningbo Tai Kang Medical Technology Co. Ltd. and Xencor, Inc.</w:t>
      </w:r>
    </w:p>
    <w:p>
      <w:pPr>
        <w:spacing w:after="0" w:line="189" w:lineRule="exact"/>
        <w:rPr>
          <w:sz w:val="20"/>
          <w:szCs w:val="20"/>
          <w:color w:val="auto"/>
        </w:rPr>
      </w:pPr>
    </w:p>
    <w:p>
      <w:pPr>
        <w:ind w:left="60" w:right="59" w:firstLine="648"/>
        <w:spacing w:after="0" w:line="274" w:lineRule="auto"/>
        <w:rPr>
          <w:sz w:val="20"/>
          <w:szCs w:val="20"/>
          <w:color w:val="auto"/>
        </w:rPr>
      </w:pPr>
      <w:r>
        <w:rPr>
          <w:rFonts w:ascii="Arial" w:cs="Arial" w:eastAsia="Arial" w:hAnsi="Arial"/>
          <w:sz w:val="16"/>
          <w:szCs w:val="16"/>
          <w:color w:val="auto"/>
        </w:rPr>
        <w:t>We are developing fisogatinib for patients with advanced HCC. If fisogatinib receives marketing approval for patients with FGFR4-activated HCC, it will face competition from Bristol-Myers Squibb Company’s nivolumab and Merck</w:t>
      </w:r>
    </w:p>
    <w:p>
      <w:pPr>
        <w:spacing w:after="0" w:line="1" w:lineRule="exact"/>
        <w:rPr>
          <w:sz w:val="20"/>
          <w:szCs w:val="20"/>
          <w:color w:val="auto"/>
        </w:rPr>
      </w:pPr>
    </w:p>
    <w:p>
      <w:pPr>
        <w:ind w:left="60" w:right="99" w:hanging="10"/>
        <w:spacing w:after="0" w:line="256" w:lineRule="auto"/>
        <w:tabs>
          <w:tab w:leader="none" w:pos="245"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 Inc.’s pembrolizumab, immune checkpoint inhibitors approved by the FDA for the treatment of HCC, as well as sorafenib, cabozantinib, regorafenib and lenvatinib, multi-kinase inhibitors approved for the treatment of HCC. In addition, fisogatinib may face competition from other drug candidates in development by Abbisko Therapeutics Co., Ltd, AstraZeneca plc, Bayer AG, Celgene Corporation, Eisai Inc., H3 Biomedicine Inc., Incyte Corporation, Johnson &amp;</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61" w:lineRule="auto"/>
        <w:rPr>
          <w:sz w:val="20"/>
          <w:szCs w:val="20"/>
          <w:color w:val="auto"/>
        </w:rPr>
      </w:pPr>
      <w:r>
        <w:rPr>
          <w:rFonts w:ascii="Arial" w:cs="Arial" w:eastAsia="Arial" w:hAnsi="Arial"/>
          <w:sz w:val="18"/>
          <w:szCs w:val="18"/>
          <w:color w:val="auto"/>
        </w:rPr>
        <w:t>Johnson, Novartis AG, Sanofi S.A., Taiho Pharmaceutical Co., Ltd., U3 Pharma GmbH, a wholly-owned subsidiary of Daiichi Sankyo Company, Limited, and Xoma Ltd.</w:t>
      </w:r>
    </w:p>
    <w:p>
      <w:pPr>
        <w:spacing w:after="0" w:line="171" w:lineRule="exact"/>
        <w:rPr>
          <w:sz w:val="20"/>
          <w:szCs w:val="20"/>
          <w:color w:val="auto"/>
        </w:rPr>
      </w:pPr>
    </w:p>
    <w:p>
      <w:pPr>
        <w:ind w:left="60" w:right="219" w:firstLine="648"/>
        <w:spacing w:after="0" w:line="238" w:lineRule="auto"/>
        <w:rPr>
          <w:sz w:val="20"/>
          <w:szCs w:val="20"/>
          <w:color w:val="auto"/>
        </w:rPr>
      </w:pPr>
      <w:r>
        <w:rPr>
          <w:rFonts w:ascii="Arial" w:cs="Arial" w:eastAsia="Arial" w:hAnsi="Arial"/>
          <w:sz w:val="18"/>
          <w:szCs w:val="18"/>
          <w:color w:val="auto"/>
        </w:rPr>
        <w:t>We are developing drug candidates for treatment-resistant EGFR-mutated NSCLC, which, if approved, will face competition from AstraZeneca plc’s osimertinib and almonertinib, which is under collaboration between Jiangsu Hansoh Pharmaceutical Group Co., Ltd. and EQRX, Inc. and approved in China. In addition, our EGFR inhibitors may face competition from drug candidates in development for EGFR-mutated NSCLC, including those being developed by Alpha Biopharma Inc., Astellas Pharma Inc., Betta Pharmaceuticals, Boehringer Ingelheim RCV GmbH &amp; Co KG, Bridge Biotherapeutics, Inc., C4 Therapeutics, Inc., Centessa Pharmaceuticals, Chia Tai Tianqing Pharmaceutical Group, Daiichi Sankyo Company, Limited, Genosco Inc., Genprex, Inc., Janssen Pharmaceuticals, Inc., Oscotec Inc. and Yuhan Corporation.</w:t>
      </w:r>
    </w:p>
    <w:p>
      <w:pPr>
        <w:spacing w:after="0" w:line="194"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1"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81"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of our approved drugs or drug candidates that we may develop.</w:t>
      </w:r>
    </w:p>
    <w:p>
      <w:pPr>
        <w:spacing w:after="0" w:line="171" w:lineRule="exact"/>
        <w:rPr>
          <w:sz w:val="20"/>
          <w:szCs w:val="20"/>
          <w:color w:val="auto"/>
        </w:rPr>
      </w:pPr>
    </w:p>
    <w:p>
      <w:pPr>
        <w:ind w:left="60" w:right="399" w:firstLine="648"/>
        <w:spacing w:after="0" w:line="259" w:lineRule="auto"/>
        <w:rPr>
          <w:sz w:val="20"/>
          <w:szCs w:val="20"/>
          <w:color w:val="auto"/>
        </w:rPr>
      </w:pPr>
      <w:r>
        <w:rPr>
          <w:rFonts w:ascii="Arial" w:cs="Arial" w:eastAsia="Arial" w:hAnsi="Arial"/>
          <w:sz w:val="17"/>
          <w:szCs w:val="17"/>
          <w:color w:val="auto"/>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p>
      <w:pPr>
        <w:spacing w:after="0" w:line="174" w:lineRule="exact"/>
        <w:rPr>
          <w:sz w:val="20"/>
          <w:szCs w:val="20"/>
          <w:color w:val="auto"/>
        </w:rPr>
      </w:pPr>
    </w:p>
    <w:p>
      <w:pPr>
        <w:ind w:left="1380" w:right="899" w:hanging="331"/>
        <w:spacing w:after="0" w:line="261" w:lineRule="auto"/>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any of our approved drugs or drug candidates that we may develop and commercialize;</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any of approved drugs or drug candidates that we may develop.</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firstLine="648"/>
        <w:spacing w:after="0" w:line="284"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w:t>
      </w:r>
    </w:p>
    <w:p>
      <w:pPr>
        <w:spacing w:after="0" w:line="155"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b w:val="1"/>
          <w:bCs w:val="1"/>
          <w:i w:val="1"/>
          <w:iCs w:val="1"/>
          <w:color w:val="auto"/>
        </w:rPr>
        <w:t>Increasing demand for compassionate use of our drug candidates could negatively affect our reputation and harm our business.</w:t>
      </w:r>
    </w:p>
    <w:p>
      <w:pPr>
        <w:spacing w:after="0" w:line="157"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We are developing drug candidates for the treatment of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current or future drug candidates under an expanded access policy, our reputation may be negatively affected and our business may be harmed.</w:t>
      </w:r>
    </w:p>
    <w:p>
      <w:pPr>
        <w:spacing w:after="0" w:line="189" w:lineRule="exact"/>
        <w:rPr>
          <w:sz w:val="20"/>
          <w:szCs w:val="20"/>
          <w:color w:val="auto"/>
        </w:rPr>
      </w:pPr>
    </w:p>
    <w:p>
      <w:pPr>
        <w:ind w:left="60" w:right="259" w:firstLine="648"/>
        <w:spacing w:after="0" w:line="279" w:lineRule="auto"/>
        <w:rPr>
          <w:sz w:val="20"/>
          <w:szCs w:val="20"/>
          <w:color w:val="auto"/>
        </w:rPr>
      </w:pPr>
      <w:r>
        <w:rPr>
          <w:rFonts w:ascii="Arial" w:cs="Arial" w:eastAsia="Arial" w:hAnsi="Arial"/>
          <w:sz w:val="16"/>
          <w:szCs w:val="16"/>
          <w:color w:val="auto"/>
        </w:rPr>
        <w:t>Recent media attention to individual patients’ expanded access requests has resulted in the introduction and enactment of legislation at the local and national level referred to as “Right to Try” laws, such as the federal Right to Try Act of 2017, which are intended to allow patients access to unapproved therapies earlier than traditional expanded access programs. A possible consequence of both activism and legislation in this area may be the need for us to initiate an unanticipated expanded access program or to make our drug candidates more widely available sooner than anticipated.</w:t>
      </w:r>
    </w:p>
    <w:p>
      <w:pPr>
        <w:spacing w:after="0" w:line="159"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6"/>
          <w:szCs w:val="16"/>
          <w:color w:val="auto"/>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prompt adverse publicity or other disruptions related to current or potential participants in such programs.</w:t>
      </w:r>
    </w:p>
    <w:p>
      <w:pPr>
        <w:spacing w:after="0" w:line="167"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If we or our collaborators are unable to successfully develop and commercialize companion diagnostic tests for our drugs and drug candidates, or experience significant delays in doing so we may not realize the full commercial potential of our drugs and drug candidates.</w:t>
      </w:r>
    </w:p>
    <w:p>
      <w:pPr>
        <w:spacing w:after="0" w:line="182"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drugs and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or plan to enter into agreements to develop and/or commercialize companion diagnostic tests with third parties for AYVAKIT/AYVAKYT in order to identify GIST patients with the PDGFRA D842V mutation, pralsetinib in order to identify NSCLC patients with RET fusions and MTC patients with RET mutations and fisogatinib in order to identify HCC patients with FGFR4 pathway activation. We have limited experience in the development and commercialization of companion diagnostic tests with third parties and may not be successful in developing and commercializing appropriate companion diagnostic tests with third parties to pair with our approved drugs or drug candidates that receive marketing approval. In addition, current commercially available diagnostic tests may become unavailable in the future. Companion diagnostic tests are subject to regulation by the FDA and similar regulatory authorities outside the U.S. as medical devices and require separate regulatory clearance or approval prior to commercialization. We are relying on third parties to design, manufacture, obtain regulatory clearance or approval for and commercialize the companion diagnostic tests for avapritinib, pralsetinib and fisogatinib, and we expect to rely in whole or in part on third parties to design, manufacture, obtain regulatory clearance or approval for and commercialize any other companion diagnostic tests for current and future drug candidates. We and our collaborators may encounter difficulties in developing and obtaining clearance or approval for the companion diagnostic</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61" w:lineRule="auto"/>
        <w:rPr>
          <w:sz w:val="20"/>
          <w:szCs w:val="20"/>
          <w:color w:val="auto"/>
        </w:rPr>
      </w:pPr>
      <w:r>
        <w:rPr>
          <w:rFonts w:ascii="Arial" w:cs="Arial" w:eastAsia="Arial" w:hAnsi="Arial"/>
          <w:sz w:val="18"/>
          <w:szCs w:val="18"/>
          <w:color w:val="auto"/>
        </w:rPr>
        <w:t>tests, including issues relating to selectivity/specificity, analytical validation, reproducibility, or clinical validation. In addition, our collaborators for any companion diagnostic test that we may seek to develop:</w:t>
      </w:r>
    </w:p>
    <w:p>
      <w:pPr>
        <w:spacing w:after="0" w:line="171" w:lineRule="exact"/>
        <w:rPr>
          <w:sz w:val="20"/>
          <w:szCs w:val="20"/>
          <w:color w:val="auto"/>
        </w:rPr>
      </w:pPr>
    </w:p>
    <w:p>
      <w:pPr>
        <w:ind w:left="1340" w:hanging="318"/>
        <w:spacing w:after="0"/>
        <w:tabs>
          <w:tab w:leader="none" w:pos="1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may not perform their respective obligations as expected or as required under our agreements with them;</w:t>
      </w:r>
    </w:p>
    <w:p>
      <w:pPr>
        <w:spacing w:after="0" w:line="234" w:lineRule="exact"/>
        <w:rPr>
          <w:rFonts w:ascii="Arial" w:cs="Arial" w:eastAsia="Arial" w:hAnsi="Arial"/>
          <w:sz w:val="16"/>
          <w:szCs w:val="16"/>
          <w:color w:val="auto"/>
        </w:rPr>
      </w:pPr>
    </w:p>
    <w:p>
      <w:pPr>
        <w:ind w:left="1340" w:right="659" w:hanging="318"/>
        <w:spacing w:after="0" w:line="261"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pursue commercialization of a companion diagnostic test even if it receives any required regulatory clearances or approvals;</w:t>
      </w:r>
    </w:p>
    <w:p>
      <w:pPr>
        <w:spacing w:after="0" w:line="170" w:lineRule="exact"/>
        <w:rPr>
          <w:rFonts w:ascii="Arial" w:cs="Arial" w:eastAsia="Arial" w:hAnsi="Arial"/>
          <w:sz w:val="18"/>
          <w:szCs w:val="18"/>
          <w:color w:val="auto"/>
        </w:rPr>
      </w:pPr>
    </w:p>
    <w:p>
      <w:pPr>
        <w:jc w:val="both"/>
        <w:ind w:left="1340" w:right="319" w:hanging="318"/>
        <w:spacing w:after="0" w:line="248"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81" w:lineRule="exact"/>
        <w:rPr>
          <w:rFonts w:ascii="Arial" w:cs="Arial" w:eastAsia="Arial" w:hAnsi="Arial"/>
          <w:sz w:val="18"/>
          <w:szCs w:val="18"/>
          <w:color w:val="auto"/>
        </w:rPr>
      </w:pPr>
    </w:p>
    <w:p>
      <w:pPr>
        <w:ind w:left="1340" w:right="359" w:hanging="318"/>
        <w:spacing w:after="0" w:line="261"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a companion diagnostic test; and</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212" w:lineRule="exact"/>
        <w:rPr>
          <w:sz w:val="20"/>
          <w:szCs w:val="20"/>
          <w:color w:val="auto"/>
        </w:rPr>
      </w:pPr>
    </w:p>
    <w:p>
      <w:pPr>
        <w:ind w:left="60" w:right="119" w:firstLine="648"/>
        <w:spacing w:after="0" w:line="262" w:lineRule="auto"/>
        <w:rPr>
          <w:sz w:val="20"/>
          <w:szCs w:val="20"/>
          <w:color w:val="auto"/>
        </w:rPr>
      </w:pPr>
      <w:r>
        <w:rPr>
          <w:rFonts w:ascii="Arial" w:cs="Arial" w:eastAsia="Arial" w:hAnsi="Arial"/>
          <w:sz w:val="17"/>
          <w:szCs w:val="17"/>
          <w:color w:val="auto"/>
        </w:rPr>
        <w:t>Any delay or failure by us or our collaborators to develop or obtain regulatory clearance or approval of the companion diagnostic tests could delay, prevent or revoke approval of our drug candidates. If we, or any third parties that we have engaged or may in the future engage to assist us are unable to successfully develop and commercialize companion diagnostic tests for our drugs and drug candidates, or experience delays in doing so:</w:t>
      </w:r>
    </w:p>
    <w:p>
      <w:pPr>
        <w:spacing w:after="0" w:line="172" w:lineRule="exact"/>
        <w:rPr>
          <w:sz w:val="20"/>
          <w:szCs w:val="20"/>
          <w:color w:val="auto"/>
        </w:rPr>
      </w:pPr>
    </w:p>
    <w:p>
      <w:pPr>
        <w:ind w:left="1340" w:right="239" w:hanging="318"/>
        <w:spacing w:after="0" w:line="261"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of our approved drugs and drug candidates may be adversely affected if we are unable to appropriately select patients for enrollment in our clinical trials;</w:t>
      </w:r>
    </w:p>
    <w:p>
      <w:pPr>
        <w:spacing w:after="0" w:line="170" w:lineRule="exact"/>
        <w:rPr>
          <w:rFonts w:ascii="Arial" w:cs="Arial" w:eastAsia="Arial" w:hAnsi="Arial"/>
          <w:sz w:val="18"/>
          <w:szCs w:val="18"/>
          <w:color w:val="auto"/>
        </w:rPr>
      </w:pPr>
    </w:p>
    <w:p>
      <w:pPr>
        <w:ind w:left="1340" w:right="319" w:hanging="318"/>
        <w:spacing w:after="0" w:line="261"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drug candidates may not receive marketing approval if safe and effective use of a therapeutic drug candidate depends on an in vitro diagnostic;</w:t>
      </w:r>
    </w:p>
    <w:p>
      <w:pPr>
        <w:spacing w:after="0" w:line="170" w:lineRule="exact"/>
        <w:rPr>
          <w:rFonts w:ascii="Arial" w:cs="Arial" w:eastAsia="Arial" w:hAnsi="Arial"/>
          <w:sz w:val="18"/>
          <w:szCs w:val="18"/>
          <w:color w:val="auto"/>
        </w:rPr>
      </w:pPr>
    </w:p>
    <w:p>
      <w:pPr>
        <w:ind w:left="1340" w:right="819" w:hanging="318"/>
        <w:spacing w:after="0" w:line="324" w:lineRule="auto"/>
        <w:tabs>
          <w:tab w:leader="none" w:pos="1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regulatory authorities may impose post-marketing requirements regarding the development and commercialization of companion diagnostic tests for our drugs and drug candidates; and</w:t>
      </w:r>
    </w:p>
    <w:p>
      <w:pPr>
        <w:spacing w:after="0" w:line="124" w:lineRule="exact"/>
        <w:rPr>
          <w:rFonts w:ascii="Arial" w:cs="Arial" w:eastAsia="Arial" w:hAnsi="Arial"/>
          <w:sz w:val="16"/>
          <w:szCs w:val="16"/>
          <w:color w:val="auto"/>
        </w:rPr>
      </w:pPr>
    </w:p>
    <w:p>
      <w:pPr>
        <w:ind w:left="1340" w:right="279" w:hanging="318"/>
        <w:spacing w:after="0" w:line="248"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of our approved drugs or drug candidates that receive marketing approval if, among other reasons, we are unable to appropriately select patients who are likely to benefit from treatment with our drugs.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result, our business may be materially harmed.</w:t>
      </w:r>
    </w:p>
    <w:p>
      <w:pPr>
        <w:spacing w:after="0" w:line="212"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current and future drugs. In addition, the diagnostic company with whom we contract may decide to discontinue selling or manufacturing the companion diagnostic test that we anticipate using in connection with development and commercialization of our approved drugs and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drugs and drug candidates or do so on commercially reasonable terms, which could adversely affect and/or delay the development or commercialization of our drugs and drug candidates.</w:t>
      </w:r>
    </w:p>
    <w:p>
      <w:pPr>
        <w:spacing w:after="0" w:line="171" w:lineRule="exact"/>
        <w:rPr>
          <w:sz w:val="20"/>
          <w:szCs w:val="20"/>
          <w:color w:val="auto"/>
        </w:rPr>
      </w:pPr>
    </w:p>
    <w:p>
      <w:pPr>
        <w:ind w:left="60" w:right="499"/>
        <w:spacing w:after="0" w:line="261" w:lineRule="auto"/>
        <w:rPr>
          <w:sz w:val="20"/>
          <w:szCs w:val="20"/>
          <w:color w:val="auto"/>
        </w:rPr>
      </w:pPr>
      <w:r>
        <w:rPr>
          <w:rFonts w:ascii="Arial" w:cs="Arial" w:eastAsia="Arial" w:hAnsi="Arial"/>
          <w:sz w:val="18"/>
          <w:szCs w:val="18"/>
          <w:b w:val="1"/>
          <w:bCs w:val="1"/>
          <w:i w:val="1"/>
          <w:iCs w:val="1"/>
          <w:color w:val="auto"/>
        </w:rPr>
        <w:t>Our reliance on single-source third-party suppliers could harm our ability to commercialize our drugs or any drug candidates that may be approved in the future.</w:t>
      </w:r>
    </w:p>
    <w:p>
      <w:pPr>
        <w:spacing w:after="0" w:line="171" w:lineRule="exact"/>
        <w:rPr>
          <w:sz w:val="20"/>
          <w:szCs w:val="20"/>
          <w:color w:val="auto"/>
        </w:rPr>
      </w:pPr>
    </w:p>
    <w:p>
      <w:pPr>
        <w:ind w:left="60" w:right="459" w:firstLine="648"/>
        <w:spacing w:after="0" w:line="324" w:lineRule="auto"/>
        <w:rPr>
          <w:sz w:val="20"/>
          <w:szCs w:val="20"/>
          <w:color w:val="auto"/>
        </w:rPr>
      </w:pPr>
      <w:r>
        <w:rPr>
          <w:rFonts w:ascii="Arial" w:cs="Arial" w:eastAsia="Arial" w:hAnsi="Arial"/>
          <w:sz w:val="16"/>
          <w:szCs w:val="16"/>
          <w:color w:val="auto"/>
        </w:rPr>
        <w:t>We do not currently own or operate manufacturing facilities for the production of our drugs or any drug candidates that may be approved in the future. We primarily rely on single-source third-party suppliers to manufacture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41" w:lineRule="auto"/>
        <w:rPr>
          <w:sz w:val="20"/>
          <w:szCs w:val="20"/>
          <w:color w:val="auto"/>
        </w:rPr>
      </w:pPr>
      <w:r>
        <w:rPr>
          <w:rFonts w:ascii="Arial" w:cs="Arial" w:eastAsia="Arial" w:hAnsi="Arial"/>
          <w:sz w:val="18"/>
          <w:szCs w:val="18"/>
          <w:color w:val="auto"/>
        </w:rPr>
        <w:t>and supply our drugs, which may not be able to produce sufficient inventory to meet commercial demand in a timely manner, or at all. Our third-party suppliers may not be required to provide us with any guaranteed minimum production levels or have dedicated capacity for our drugs. As a result, there can be no assurances that we will be able to obtain sufficient quantities of our drugs or any other drug candidates that may be approved in the future, which could have a material adverse effect on our business as a whole.</w:t>
      </w:r>
    </w:p>
    <w:p>
      <w:pPr>
        <w:spacing w:after="0" w:line="189" w:lineRule="exact"/>
        <w:rPr>
          <w:sz w:val="20"/>
          <w:szCs w:val="20"/>
          <w:color w:val="auto"/>
        </w:rPr>
      </w:pPr>
    </w:p>
    <w:p>
      <w:pPr>
        <w:ind w:left="60" w:right="199"/>
        <w:spacing w:after="0" w:line="248" w:lineRule="auto"/>
        <w:rPr>
          <w:sz w:val="20"/>
          <w:szCs w:val="20"/>
          <w:color w:val="auto"/>
        </w:rPr>
      </w:pPr>
      <w:r>
        <w:rPr>
          <w:rFonts w:ascii="Arial" w:cs="Arial" w:eastAsia="Arial" w:hAnsi="Arial"/>
          <w:sz w:val="18"/>
          <w:szCs w:val="18"/>
          <w:b w:val="1"/>
          <w:bCs w:val="1"/>
          <w:i w:val="1"/>
          <w:iCs w:val="1"/>
          <w:color w:val="auto"/>
        </w:rPr>
        <w:t>If, in the future, we are unable to maintain sales and marketing capabilities or enter into agreements with third parties to sell and market our drugs and drug candidates, we may not be successful in commercializing our drugs and drug candidates if and when they are approved.</w:t>
      </w:r>
    </w:p>
    <w:p>
      <w:pPr>
        <w:spacing w:after="0" w:line="182"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establish marketing capabilities is delayed or does not occur for any reason, we would have prematurely or unnecessarily incurred these commercialization expenses, which may be costly.</w:t>
      </w:r>
    </w:p>
    <w:p>
      <w:pPr>
        <w:spacing w:after="0" w:line="189" w:lineRule="exact"/>
        <w:rPr>
          <w:sz w:val="20"/>
          <w:szCs w:val="20"/>
          <w:color w:val="auto"/>
        </w:rPr>
      </w:pPr>
    </w:p>
    <w:p>
      <w:pPr>
        <w:ind w:left="60" w:right="119" w:firstLine="648"/>
        <w:spacing w:after="0"/>
        <w:rPr>
          <w:sz w:val="20"/>
          <w:szCs w:val="20"/>
          <w:color w:val="auto"/>
        </w:rPr>
      </w:pPr>
      <w:r>
        <w:rPr>
          <w:rFonts w:ascii="Arial" w:cs="Arial" w:eastAsia="Arial" w:hAnsi="Arial"/>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devote the necessary resources and attention to sell and market our drugs effectively. In addition, we may not be successful in entering into arrangements with third parties to sell and market our current and future drugs or may be unable to do so on terms that are favorable to us.</w:t>
      </w:r>
    </w:p>
    <w:p>
      <w:pPr>
        <w:spacing w:after="0" w:line="189" w:lineRule="exact"/>
        <w:rPr>
          <w:sz w:val="20"/>
          <w:szCs w:val="20"/>
          <w:color w:val="auto"/>
        </w:rPr>
      </w:pPr>
    </w:p>
    <w:p>
      <w:pPr>
        <w:ind w:left="60" w:right="239" w:firstLine="648"/>
        <w:spacing w:after="0" w:line="294" w:lineRule="auto"/>
        <w:rPr>
          <w:sz w:val="20"/>
          <w:szCs w:val="20"/>
          <w:color w:val="auto"/>
        </w:rPr>
      </w:pPr>
      <w:r>
        <w:rPr>
          <w:rFonts w:ascii="Arial" w:cs="Arial" w:eastAsia="Arial" w:hAnsi="Arial"/>
          <w:sz w:val="16"/>
          <w:szCs w:val="16"/>
          <w:color w:val="auto"/>
        </w:rPr>
        <w:t>If we do not establish and maintain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216" w:lineRule="exact"/>
        <w:rPr>
          <w:sz w:val="20"/>
          <w:szCs w:val="20"/>
          <w:color w:val="auto"/>
        </w:rPr>
      </w:pPr>
    </w:p>
    <w:p>
      <w:pPr>
        <w:ind w:left="60" w:right="399"/>
        <w:spacing w:after="0" w:line="322" w:lineRule="auto"/>
        <w:rPr>
          <w:sz w:val="20"/>
          <w:szCs w:val="20"/>
          <w:color w:val="auto"/>
        </w:rPr>
      </w:pPr>
      <w:r>
        <w:rPr>
          <w:rFonts w:ascii="Arial" w:cs="Arial" w:eastAsia="Arial" w:hAnsi="Arial"/>
          <w:sz w:val="15"/>
          <w:szCs w:val="15"/>
          <w:b w:val="1"/>
          <w:bCs w:val="1"/>
          <w:i w:val="1"/>
          <w:iCs w:val="1"/>
          <w:color w:val="auto"/>
        </w:rPr>
        <w:t>If we are unable to advance our drug candidates to clinical development, obtain regulatory approval for our drug candidates, including for avapritinib and pralsetinib in additional indications or in additional geographies, and ultimately commercialize them, or experience significant delays in doing so, our business will be materially harmed.</w:t>
      </w:r>
    </w:p>
    <w:p>
      <w:pPr>
        <w:spacing w:after="0" w:line="12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Our ability to generate substantial drug revenues, if ever, will depend heavily on the successful development and commercialization of our drugs and drug candidates. Each of our drug candidates will require additional pre-clinical or clinical development, management of clinical, pre-clinical and manufacturing activities, regulatory approval in multiple jurisdictions, obtaining manufacturing supply, substantial investment and significant marketing efforts before we generate substantial revenues from sales for those drug candidates, if approved. In addition, for some of our drug candidates, in order to select patients most likely to respond to treatment and rapidly confirm mechanistic and clinical proof-of-concept, or to identify appropriate patients for our drugs or drug candidates for which we obtain approval, we may be required or we may seek to develop companion diagnostic tests, which are assays or tests to identify an appropriate patient population. Companion diagnostic tests are subject to regulation as medical devices and must themselves be cleared or approved for marketing by the FDA or certain other foreign regulatory agencies before we may commercialize our drug candidates. The success of our approved drugs and drug candidates will depend on several factors, including the following:</w:t>
      </w:r>
    </w:p>
    <w:p>
      <w:pPr>
        <w:spacing w:after="0" w:line="167" w:lineRule="exact"/>
        <w:rPr>
          <w:sz w:val="20"/>
          <w:szCs w:val="20"/>
          <w:color w:val="auto"/>
        </w:rPr>
      </w:pPr>
    </w:p>
    <w:p>
      <w:pPr>
        <w:ind w:left="1340" w:right="499" w:hanging="318"/>
        <w:spacing w:after="0" w:line="261"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enrollment in, and initiation and completion of, clinical trials, including our ongoing and planned clinical trials for our drugs and drug candidates;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initiation and completion of pre-clinical studies for our other drug candidates;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successful development of any companion diagnostic tests for use with our drugs and drug candidates;</w:t>
      </w:r>
    </w:p>
    <w:p>
      <w:pPr>
        <w:spacing w:after="0" w:line="234" w:lineRule="exact"/>
        <w:rPr>
          <w:rFonts w:ascii="Arial" w:cs="Arial" w:eastAsia="Arial" w:hAnsi="Arial"/>
          <w:sz w:val="16"/>
          <w:szCs w:val="16"/>
          <w:color w:val="auto"/>
        </w:rPr>
      </w:pPr>
    </w:p>
    <w:p>
      <w:pPr>
        <w:ind w:left="1340" w:right="279" w:hanging="318"/>
        <w:spacing w:after="0" w:line="261"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and transitioning any conditional marketing authorizations to full approvals;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79" w:hanging="318"/>
        <w:spacing w:after="0" w:line="294" w:lineRule="auto"/>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in-house commercial manufacturing capabilities or arrangements with third-parties for clinical supply and commercial manufacturing, packaging and labeling and the receipt by such third-party manufacturers of requisite approvals to supply commercial inventories of our approved drugs and drug candidates;</w:t>
      </w:r>
    </w:p>
    <w:p>
      <w:pPr>
        <w:spacing w:after="0" w:line="147" w:lineRule="exact"/>
        <w:rPr>
          <w:rFonts w:ascii="Arial" w:cs="Arial" w:eastAsia="Arial" w:hAnsi="Arial"/>
          <w:sz w:val="16"/>
          <w:szCs w:val="16"/>
          <w:color w:val="auto"/>
        </w:rPr>
      </w:pPr>
    </w:p>
    <w:p>
      <w:pPr>
        <w:ind w:left="1340" w:right="239" w:hanging="318"/>
        <w:spacing w:after="0" w:line="261"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drugs and drug candidates;</w:t>
      </w:r>
    </w:p>
    <w:p>
      <w:pPr>
        <w:spacing w:after="0" w:line="170" w:lineRule="exact"/>
        <w:rPr>
          <w:rFonts w:ascii="Arial" w:cs="Arial" w:eastAsia="Arial" w:hAnsi="Arial"/>
          <w:sz w:val="18"/>
          <w:szCs w:val="18"/>
          <w:color w:val="auto"/>
        </w:rPr>
      </w:pPr>
    </w:p>
    <w:p>
      <w:pPr>
        <w:ind w:left="1340" w:right="99" w:hanging="318"/>
        <w:spacing w:after="0" w:line="261"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commercialization of our approved drugs and drug candidates, if and when approved, whether alone or in collaboration with others;</w:t>
      </w:r>
    </w:p>
    <w:p>
      <w:pPr>
        <w:spacing w:after="0" w:line="170" w:lineRule="exact"/>
        <w:rPr>
          <w:rFonts w:ascii="Arial" w:cs="Arial" w:eastAsia="Arial" w:hAnsi="Arial"/>
          <w:sz w:val="18"/>
          <w:szCs w:val="18"/>
          <w:color w:val="auto"/>
        </w:rPr>
      </w:pPr>
    </w:p>
    <w:p>
      <w:pPr>
        <w:ind w:left="1340" w:right="299" w:hanging="318"/>
        <w:spacing w:after="0" w:line="261"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our approved drugs and drug candidates, if and when approved, by patients, the medical community and third-party payors;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maintaining a continued acceptable safety profile of our drugs and drug candidates following approval.</w:t>
      </w:r>
    </w:p>
    <w:p>
      <w:pPr>
        <w:spacing w:after="0" w:line="235" w:lineRule="exact"/>
        <w:rPr>
          <w:sz w:val="20"/>
          <w:szCs w:val="20"/>
          <w:color w:val="auto"/>
        </w:rPr>
      </w:pPr>
    </w:p>
    <w:p>
      <w:pPr>
        <w:ind w:left="60" w:right="119" w:firstLine="648"/>
        <w:spacing w:after="0" w:line="294" w:lineRule="auto"/>
        <w:rPr>
          <w:sz w:val="20"/>
          <w:szCs w:val="20"/>
          <w:color w:val="auto"/>
        </w:rPr>
      </w:pPr>
      <w:r>
        <w:rPr>
          <w:rFonts w:ascii="Arial" w:cs="Arial" w:eastAsia="Arial" w:hAnsi="Arial"/>
          <w:sz w:val="16"/>
          <w:szCs w:val="16"/>
          <w:color w:val="auto"/>
        </w:rPr>
        <w:t>If we do not achieve one or more of these factors in a timely manner or at all, we could experience significant delays or an inability to successfully commercialize our drugs and drug candidates, which would materially harm our business. If we do not receive regulatory approvals for our drug candidates, we may not be able to continue our operations.</w:t>
      </w:r>
    </w:p>
    <w:p>
      <w:pPr>
        <w:spacing w:after="0" w:line="147"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1"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6"/>
          <w:szCs w:val="16"/>
          <w:color w:val="auto"/>
        </w:rPr>
        <w:t>We may not be able to initiate or continue clinical trials for our drug candidates, including avapritinib and pralsetinib for additional indications, if we are unable to locate and enroll a sufficient number of eligible patients to participate in these trials as required by the FDA or similar regulatory authorities outside the U.S. Because the target patient populations for our drug candidates and approved drugs in clinical development for additional indications are relatively small, it may be difficult to successfully identify patients. Although we have entered into or plan to enter into agreements with third parties to develop companion diagnostic tests for use in some of our other current or future clinical trials in order to help identify eligible patients, we may experience delays in reaching, or fail to reach, agreement on acceptable terms to develop such companion diagnostic tests.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drug candidates may become unavailable in the future.</w:t>
      </w:r>
    </w:p>
    <w:p>
      <w:pPr>
        <w:spacing w:after="0" w:line="167"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In addition, we have experienced some delays or disruptions in enrollment in our ongoing clinical trials due to the COVID-19 pandemic, and we anticipate we may experience additional delays or disruptions in the future due to the COVID-19 pandemic and changes in local site or IRB policies availabilities of site staff reprioritization of hospital resources, restricted access to healthcare professionals and testing sites and other containment measures or concerns among patients about participating in clinical trials during a pandemic. Furthermore, some of our competitors 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212" w:lineRule="exact"/>
        <w:rPr>
          <w:sz w:val="20"/>
          <w:szCs w:val="20"/>
          <w:color w:val="auto"/>
        </w:rPr>
      </w:pPr>
    </w:p>
    <w:p>
      <w:pPr>
        <w:ind w:left="1380" w:hanging="331"/>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12"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w:t>
      </w:r>
    </w:p>
    <w:p>
      <w:pPr>
        <w:spacing w:after="0" w:line="181" w:lineRule="exact"/>
        <w:rPr>
          <w:sz w:val="20"/>
          <w:szCs w:val="20"/>
          <w:color w:val="auto"/>
        </w:rPr>
      </w:pPr>
    </w:p>
    <w:p>
      <w:pPr>
        <w:ind w:left="60" w:right="79"/>
        <w:spacing w:after="0" w:line="294"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spacing w:after="0" w:line="147" w:lineRule="exact"/>
        <w:rPr>
          <w:sz w:val="20"/>
          <w:szCs w:val="20"/>
          <w:color w:val="auto"/>
        </w:rPr>
      </w:pPr>
    </w:p>
    <w:p>
      <w:pPr>
        <w:ind w:left="60" w:right="199" w:firstLine="648"/>
        <w:spacing w:after="0" w:line="253" w:lineRule="auto"/>
        <w:rPr>
          <w:sz w:val="20"/>
          <w:szCs w:val="20"/>
          <w:color w:val="auto"/>
        </w:rPr>
      </w:pPr>
      <w:r>
        <w:rPr>
          <w:rFonts w:ascii="Arial" w:cs="Arial" w:eastAsia="Arial" w:hAnsi="Arial"/>
          <w:sz w:val="17"/>
          <w:szCs w:val="17"/>
          <w:color w:val="auto"/>
        </w:rPr>
        <w:t>Our drug candidates and any companion diagnostic tests related to our approved drugs or drug candidates, including the companion diagnostic tests that we are developing or have developed for AYVAKIT/AYVAKYT in order to identify GIST patients with the PDGFRA D842V mutation, pralsetinib in order to identify NSCLC patients with RET fusions and MTC patients with RET mutations and fisogatinib in order to identify HCC patients with FGFR4 pathway activation,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 We may also need marketing clearance or approval for any related companion diagnostic tests, including the companion diagnostic tests that we are developing for avapritinib and fisogatinib.</w:t>
      </w:r>
    </w:p>
    <w:p>
      <w:pPr>
        <w:spacing w:after="0" w:line="180" w:lineRule="exact"/>
        <w:rPr>
          <w:sz w:val="20"/>
          <w:szCs w:val="20"/>
          <w:color w:val="auto"/>
        </w:rPr>
      </w:pPr>
    </w:p>
    <w:p>
      <w:pPr>
        <w:ind w:left="60" w:right="159" w:firstLine="648"/>
        <w:spacing w:after="0" w:line="252" w:lineRule="auto"/>
        <w:rPr>
          <w:sz w:val="20"/>
          <w:szCs w:val="20"/>
          <w:color w:val="auto"/>
        </w:rPr>
      </w:pPr>
      <w:r>
        <w:rPr>
          <w:rFonts w:ascii="Arial" w:cs="Arial" w:eastAsia="Arial" w:hAnsi="Arial"/>
          <w:sz w:val="17"/>
          <w:szCs w:val="17"/>
          <w:color w:val="auto"/>
        </w:rPr>
        <w:t>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3" w:lineRule="exact"/>
        <w:rPr>
          <w:sz w:val="20"/>
          <w:szCs w:val="20"/>
          <w:color w:val="auto"/>
        </w:rPr>
      </w:pPr>
    </w:p>
    <w:p>
      <w:pPr>
        <w:ind w:left="60" w:right="179" w:firstLine="648"/>
        <w:spacing w:after="0" w:line="294" w:lineRule="auto"/>
        <w:rPr>
          <w:sz w:val="20"/>
          <w:szCs w:val="20"/>
          <w:color w:val="auto"/>
        </w:rPr>
      </w:pPr>
      <w:r>
        <w:rPr>
          <w:rFonts w:ascii="Arial" w:cs="Arial" w:eastAsia="Arial" w:hAnsi="Arial"/>
          <w:sz w:val="16"/>
          <w:szCs w:val="16"/>
          <w:color w:val="auto"/>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policies during the development period, changes in or the enactment of additional statutes or regulations, or changes in regulatory review for each submitted NDA for a drug candidate, pre-market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marketing applications pending for avapritinib in the U.S and Europe and pralsetinib in the Europe.</w:t>
      </w:r>
    </w:p>
    <w:p>
      <w:pPr>
        <w:spacing w:after="0" w:line="191" w:lineRule="exact"/>
        <w:rPr>
          <w:sz w:val="20"/>
          <w:szCs w:val="20"/>
          <w:color w:val="auto"/>
        </w:rPr>
      </w:pPr>
    </w:p>
    <w:p>
      <w:pPr>
        <w:ind w:left="60" w:right="599" w:firstLine="648"/>
        <w:spacing w:after="0" w:line="261" w:lineRule="auto"/>
        <w:rPr>
          <w:sz w:val="20"/>
          <w:szCs w:val="20"/>
          <w:color w:val="auto"/>
        </w:rPr>
      </w:pPr>
      <w:r>
        <w:rPr>
          <w:rFonts w:ascii="Arial" w:cs="Arial" w:eastAsia="Arial" w:hAnsi="Arial"/>
          <w:sz w:val="18"/>
          <w:szCs w:val="18"/>
          <w:color w:val="auto"/>
        </w:rPr>
        <w:t>Our drug candidates could be delayed in receiving, or fail to receive, regulatory approval for many reasons, including the following:</w:t>
      </w:r>
    </w:p>
    <w:p>
      <w:pPr>
        <w:spacing w:after="0" w:line="171" w:lineRule="exact"/>
        <w:rPr>
          <w:sz w:val="20"/>
          <w:szCs w:val="20"/>
          <w:color w:val="auto"/>
        </w:rPr>
      </w:pPr>
    </w:p>
    <w:p>
      <w:pPr>
        <w:ind w:left="1380" w:right="79" w:hanging="331"/>
        <w:spacing w:after="0" w:line="261"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1380" w:right="219" w:hanging="331"/>
        <w:spacing w:after="0" w:line="248"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81" w:lineRule="exact"/>
        <w:rPr>
          <w:rFonts w:ascii="Arial" w:cs="Arial" w:eastAsia="Arial" w:hAnsi="Arial"/>
          <w:sz w:val="18"/>
          <w:szCs w:val="18"/>
          <w:color w:val="auto"/>
        </w:rPr>
      </w:pPr>
    </w:p>
    <w:p>
      <w:pPr>
        <w:ind w:left="1380" w:right="479" w:hanging="331"/>
        <w:spacing w:after="0" w:line="261"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1380" w:right="259" w:hanging="331"/>
        <w:spacing w:after="0" w:line="261"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70" w:lineRule="exact"/>
        <w:rPr>
          <w:rFonts w:ascii="Arial" w:cs="Arial" w:eastAsia="Arial" w:hAnsi="Arial"/>
          <w:sz w:val="18"/>
          <w:szCs w:val="18"/>
          <w:color w:val="auto"/>
        </w:rPr>
      </w:pPr>
    </w:p>
    <w:p>
      <w:pPr>
        <w:ind w:left="1380" w:right="199" w:hanging="331"/>
        <w:spacing w:after="0" w:line="261"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1380" w:right="379" w:hanging="331"/>
        <w:spacing w:after="0" w:line="324" w:lineRule="auto"/>
        <w:tabs>
          <w:tab w:leader="none" w:pos="1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data collected from clinical trials of our drug candidates may not be sufficient to support the submission of an NDA or other submission or to obtain regulatory approval in the U.S. or elsewhere;</w:t>
      </w:r>
    </w:p>
    <w:p>
      <w:pPr>
        <w:spacing w:after="0" w:line="124" w:lineRule="exact"/>
        <w:rPr>
          <w:rFonts w:ascii="Arial" w:cs="Arial" w:eastAsia="Arial" w:hAnsi="Arial"/>
          <w:sz w:val="16"/>
          <w:szCs w:val="16"/>
          <w:color w:val="auto"/>
        </w:rPr>
      </w:pPr>
    </w:p>
    <w:p>
      <w:pPr>
        <w:ind w:left="1380" w:right="279" w:hanging="331"/>
        <w:spacing w:after="0" w:line="248"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w:t>
      </w:r>
    </w:p>
    <w:p>
      <w:pPr>
        <w:spacing w:after="0" w:line="181" w:lineRule="exact"/>
        <w:rPr>
          <w:rFonts w:ascii="Arial" w:cs="Arial" w:eastAsia="Arial" w:hAnsi="Arial"/>
          <w:sz w:val="18"/>
          <w:szCs w:val="18"/>
          <w:color w:val="auto"/>
        </w:rPr>
      </w:pPr>
    </w:p>
    <w:p>
      <w:pPr>
        <w:ind w:left="1380" w:right="659" w:hanging="331"/>
        <w:spacing w:after="0" w:line="291" w:lineRule="auto"/>
        <w:tabs>
          <w:tab w:leader="none" w:pos="1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 and</w:t>
      </w:r>
    </w:p>
    <w:p>
      <w:pPr>
        <w:spacing w:after="0" w:line="146" w:lineRule="exact"/>
        <w:rPr>
          <w:rFonts w:ascii="Arial" w:cs="Arial" w:eastAsia="Arial" w:hAnsi="Arial"/>
          <w:sz w:val="17"/>
          <w:szCs w:val="17"/>
          <w:color w:val="auto"/>
        </w:rPr>
      </w:pPr>
    </w:p>
    <w:p>
      <w:pPr>
        <w:ind w:left="1380" w:right="719" w:hanging="331"/>
        <w:spacing w:after="0" w:line="261"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or disruptions impacting the FDA or comparable foreign regulatory authorities due to the COVID-19 pandemic.</w:t>
      </w:r>
    </w:p>
    <w:p>
      <w:pPr>
        <w:spacing w:after="0" w:line="171"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6"/>
          <w:szCs w:val="16"/>
          <w:color w:val="auto"/>
        </w:rPr>
        <w:t>As of March 18, 2021, the FDA noted it is continuing to ensure timely reviews of applications for medical products during the COVID-19 pandemic in line with its user fee performance goals and conducting mission critical domestic and foreign inspections to ensure compliance of manufacturing facilities with FDA quality standards. On July 16, 2020, FDA noted that it is continuing to expedite oncology product development with its staff teleworking full-time. However, FDA may not be able to continue its current pace and approval timelines could be extended, including where a pre-approval inspection or an inspection of clinical sites is required and due to the COVID-19 pandemic and travel restrictions FDA is unable to complete such required inspections during the review period. In 2020, several companies announced receipt of complete response letters due to the FDA's inability to complete required inspections for their applications. 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70" w:lineRule="auto"/>
        <w:rPr>
          <w:sz w:val="20"/>
          <w:szCs w:val="20"/>
          <w:color w:val="auto"/>
        </w:rPr>
      </w:pPr>
      <w:r>
        <w:rPr>
          <w:rFonts w:ascii="Arial" w:cs="Arial" w:eastAsia="Arial" w:hAnsi="Arial"/>
          <w:sz w:val="17"/>
          <w:szCs w:val="17"/>
          <w:color w:val="auto"/>
        </w:rPr>
        <w:t>If we experience delays in obtaining approval or if we fail to obtain approval of our drug candidates and companion diagnostic tests related to our approved drugs and drug candidates, the commercial prospects for our approved drugs or drug candidates may be harmed and our ability to generate revenues will be materially impaired.</w:t>
      </w:r>
    </w:p>
    <w:p>
      <w:pPr>
        <w:spacing w:after="0" w:line="164"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b w:val="1"/>
          <w:bCs w:val="1"/>
          <w:i w:val="1"/>
          <w:iCs w:val="1"/>
          <w:color w:val="auto"/>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188"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6"/>
          <w:szCs w:val="16"/>
          <w:color w:val="auto"/>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p>
      <w:pPr>
        <w:spacing w:after="0" w:line="171" w:lineRule="exact"/>
        <w:rPr>
          <w:sz w:val="20"/>
          <w:szCs w:val="20"/>
          <w:color w:val="auto"/>
        </w:rPr>
      </w:pPr>
    </w:p>
    <w:p>
      <w:pPr>
        <w:ind w:left="1380" w:right="119" w:hanging="331"/>
        <w:spacing w:after="0" w:line="248"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preclinical studies or clinical trials may show the drug candidates to be less effective than expected (e.g., a clinical trial could fail to meet its primary endpoint(s)) or to have unacceptable side effects or toxicities;</w:t>
      </w:r>
    </w:p>
    <w:p>
      <w:pPr>
        <w:spacing w:after="0" w:line="181" w:lineRule="exact"/>
        <w:rPr>
          <w:rFonts w:ascii="Arial" w:cs="Arial" w:eastAsia="Arial" w:hAnsi="Arial"/>
          <w:sz w:val="18"/>
          <w:szCs w:val="18"/>
          <w:color w:val="auto"/>
        </w:rPr>
      </w:pPr>
    </w:p>
    <w:p>
      <w:pPr>
        <w:ind w:left="1380" w:right="439" w:hanging="331"/>
        <w:spacing w:after="0" w:line="261"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establish clinical endpoints that applicable regulatory authorities would consider clinically meaningful;</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w:t>
      </w:r>
    </w:p>
    <w:p>
      <w:pPr>
        <w:spacing w:after="0" w:line="211" w:lineRule="exact"/>
        <w:rPr>
          <w:rFonts w:ascii="Arial" w:cs="Arial" w:eastAsia="Arial" w:hAnsi="Arial"/>
          <w:sz w:val="18"/>
          <w:szCs w:val="18"/>
          <w:color w:val="auto"/>
        </w:rPr>
      </w:pPr>
    </w:p>
    <w:p>
      <w:pPr>
        <w:ind w:left="1380" w:right="299" w:hanging="331"/>
        <w:spacing w:after="0" w:line="261"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issues, formulation issues, pricing or reimbursement issues or other factors that make a drug candidate uneconomical; and</w:t>
      </w:r>
    </w:p>
    <w:p>
      <w:pPr>
        <w:spacing w:after="0" w:line="170" w:lineRule="exact"/>
        <w:rPr>
          <w:rFonts w:ascii="Arial" w:cs="Arial" w:eastAsia="Arial" w:hAnsi="Arial"/>
          <w:sz w:val="18"/>
          <w:szCs w:val="18"/>
          <w:color w:val="auto"/>
        </w:rPr>
      </w:pPr>
    </w:p>
    <w:p>
      <w:pPr>
        <w:ind w:left="1380" w:right="279" w:hanging="331"/>
        <w:spacing w:after="0" w:line="261"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proprietary rights of others and their competing products and technologies that may prevent one of our drug candidates from being commercialized.</w:t>
      </w:r>
    </w:p>
    <w:p>
      <w:pPr>
        <w:spacing w:after="0" w:line="171" w:lineRule="exact"/>
        <w:rPr>
          <w:sz w:val="20"/>
          <w:szCs w:val="20"/>
          <w:color w:val="auto"/>
        </w:rPr>
      </w:pPr>
    </w:p>
    <w:p>
      <w:pPr>
        <w:ind w:left="60" w:right="99" w:firstLine="648"/>
        <w:spacing w:after="0" w:line="262" w:lineRule="auto"/>
        <w:rPr>
          <w:sz w:val="20"/>
          <w:szCs w:val="20"/>
          <w:color w:val="auto"/>
        </w:rPr>
      </w:pPr>
      <w:r>
        <w:rPr>
          <w:rFonts w:ascii="Arial" w:cs="Arial" w:eastAsia="Arial" w:hAnsi="Arial"/>
          <w:sz w:val="17"/>
          <w:szCs w:val="17"/>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spacing w:after="0" w:line="172" w:lineRule="exact"/>
        <w:rPr>
          <w:sz w:val="20"/>
          <w:szCs w:val="20"/>
          <w:color w:val="auto"/>
        </w:rPr>
      </w:pPr>
    </w:p>
    <w:p>
      <w:pPr>
        <w:ind w:left="60" w:right="79" w:firstLine="648"/>
        <w:spacing w:after="0" w:line="239" w:lineRule="auto"/>
        <w:rPr>
          <w:sz w:val="20"/>
          <w:szCs w:val="20"/>
          <w:color w:val="auto"/>
        </w:rPr>
      </w:pPr>
      <w:r>
        <w:rPr>
          <w:rFonts w:ascii="Arial" w:cs="Arial" w:eastAsia="Arial" w:hAnsi="Arial"/>
          <w:sz w:val="18"/>
          <w:szCs w:val="18"/>
          <w:color w:val="auto"/>
        </w:rPr>
        <w:t>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w:t>
      </w:r>
    </w:p>
    <w:p>
      <w:pPr>
        <w:spacing w:after="0" w:line="191"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82"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5" w:lineRule="auto"/>
        <w:rPr>
          <w:sz w:val="20"/>
          <w:szCs w:val="20"/>
          <w:color w:val="auto"/>
        </w:rPr>
      </w:pPr>
      <w:r>
        <w:rPr>
          <w:rFonts w:ascii="Arial" w:cs="Arial" w:eastAsia="Arial" w:hAnsi="Arial"/>
          <w:sz w:val="17"/>
          <w:szCs w:val="17"/>
          <w:color w:val="auto"/>
        </w:rPr>
        <w:t>authorities. As is the case with all oncology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 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spacing w:after="0" w:line="180" w:lineRule="exact"/>
        <w:rPr>
          <w:sz w:val="20"/>
          <w:szCs w:val="20"/>
          <w:color w:val="auto"/>
        </w:rPr>
      </w:pPr>
    </w:p>
    <w:p>
      <w:pPr>
        <w:ind w:left="60" w:right="199" w:firstLine="648"/>
        <w:spacing w:after="0" w:line="276" w:lineRule="auto"/>
        <w:rPr>
          <w:sz w:val="20"/>
          <w:szCs w:val="20"/>
          <w:color w:val="auto"/>
        </w:rPr>
      </w:pPr>
      <w:r>
        <w:rPr>
          <w:rFonts w:ascii="Arial" w:cs="Arial" w:eastAsia="Arial" w:hAnsi="Arial"/>
          <w:sz w:val="16"/>
          <w:szCs w:val="16"/>
          <w:color w:val="auto"/>
        </w:rPr>
        <w:t>Further, our approved drugs and drug candidates could cause undesirable side effects in pre-clinical studies or clinical trials related to on-target toxicity. If on-target toxicity is observed, or if our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16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p>
      <w:pPr>
        <w:spacing w:after="0" w:line="174" w:lineRule="exact"/>
        <w:rPr>
          <w:sz w:val="20"/>
          <w:szCs w:val="20"/>
          <w:color w:val="auto"/>
        </w:rPr>
      </w:pPr>
    </w:p>
    <w:p>
      <w:pPr>
        <w:ind w:left="1380" w:hanging="331"/>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w:t>
      </w:r>
    </w:p>
    <w:p>
      <w:pPr>
        <w:spacing w:after="0" w:line="211" w:lineRule="exact"/>
        <w:rPr>
          <w:rFonts w:ascii="Arial" w:cs="Arial" w:eastAsia="Arial" w:hAnsi="Arial"/>
          <w:sz w:val="18"/>
          <w:szCs w:val="18"/>
          <w:color w:val="auto"/>
        </w:rPr>
      </w:pPr>
    </w:p>
    <w:p>
      <w:pPr>
        <w:ind w:left="1380" w:right="33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70" w:lineRule="exact"/>
        <w:rPr>
          <w:rFonts w:ascii="Arial" w:cs="Arial" w:eastAsia="Arial" w:hAnsi="Arial"/>
          <w:sz w:val="18"/>
          <w:szCs w:val="18"/>
          <w:color w:val="auto"/>
        </w:rPr>
      </w:pPr>
    </w:p>
    <w:p>
      <w:pPr>
        <w:ind w:left="1380" w:right="23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70" w:lineRule="exact"/>
        <w:rPr>
          <w:rFonts w:ascii="Arial" w:cs="Arial" w:eastAsia="Arial" w:hAnsi="Arial"/>
          <w:sz w:val="18"/>
          <w:szCs w:val="18"/>
          <w:color w:val="auto"/>
        </w:rPr>
      </w:pPr>
    </w:p>
    <w:p>
      <w:pPr>
        <w:ind w:left="1380" w:right="55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change the way such drug is distributed or administered, conduct additional clinical trials or change the labeling of such drug;</w:t>
      </w:r>
    </w:p>
    <w:p>
      <w:pPr>
        <w:spacing w:after="0" w:line="170" w:lineRule="exact"/>
        <w:rPr>
          <w:rFonts w:ascii="Arial" w:cs="Arial" w:eastAsia="Arial" w:hAnsi="Arial"/>
          <w:sz w:val="18"/>
          <w:szCs w:val="18"/>
          <w:color w:val="auto"/>
        </w:rPr>
      </w:pPr>
    </w:p>
    <w:p>
      <w:pPr>
        <w:jc w:val="both"/>
        <w:ind w:left="1380" w:right="99" w:hanging="331"/>
        <w:spacing w:after="0" w:line="294" w:lineRule="auto"/>
        <w:tabs>
          <w:tab w:leader="none" w:pos="1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47" w:lineRule="exact"/>
        <w:rPr>
          <w:rFonts w:ascii="Arial" w:cs="Arial" w:eastAsia="Arial" w:hAnsi="Arial"/>
          <w:sz w:val="16"/>
          <w:szCs w:val="16"/>
          <w:color w:val="auto"/>
        </w:rPr>
      </w:pPr>
    </w:p>
    <w:p>
      <w:pPr>
        <w:ind w:left="1380" w:hanging="331"/>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decide to remove such drug from the marketplace;</w:t>
      </w:r>
    </w:p>
    <w:p>
      <w:pPr>
        <w:spacing w:after="0" w:line="211" w:lineRule="exact"/>
        <w:rPr>
          <w:rFonts w:ascii="Arial" w:cs="Arial" w:eastAsia="Arial" w:hAnsi="Arial"/>
          <w:sz w:val="18"/>
          <w:szCs w:val="18"/>
          <w:color w:val="auto"/>
        </w:rPr>
      </w:pPr>
    </w:p>
    <w:p>
      <w:pPr>
        <w:ind w:left="1380" w:right="7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drugs and drug candidates; and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left="60" w:right="339" w:firstLine="648"/>
        <w:spacing w:after="0" w:line="24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39"/>
        <w:spacing w:after="0" w:line="248"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82"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We may seek breakthrough therapy designation for some of our current or future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 FDA has granted breakthrough therapy designation to avapritinib for (i) the treatment of advanced SM, including the subtypes of aggressive SM, SM with an associated hematologic neoplasm and mast cell leukemia, and (ii) the treatment of moderate to severe indolent SM. In addition, the FDA previously granted breakthrough designation to our drugs, AYVAKIT and GAVRETO, for the treatment of certain patients with GIST and RET-altered cancers, respectively.</w:t>
      </w:r>
    </w:p>
    <w:p>
      <w:pPr>
        <w:spacing w:after="0" w:line="167"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other drugs and does not assure ultimate approval by the FDA. In addition, even if one or more of our drug candidates qualify as breakthrough therapies, the FDA may later decide that the drugs no longer meet the conditions for qualification. In June 2020, the FDA noted it is continuing to ensure timely reviews of applications for medical products during the COVID-19 pandemic in line with its user fee performance goals; however, the FDA may not be able to continue its current pace and review timelines could be extended, including due to the inability for the FDA to complete any inspections of manufacturing facilities or clinical sites that may be required for an approval.</w:t>
      </w:r>
    </w:p>
    <w:p>
      <w:pPr>
        <w:spacing w:after="0" w:line="180" w:lineRule="exact"/>
        <w:rPr>
          <w:sz w:val="20"/>
          <w:szCs w:val="20"/>
          <w:color w:val="auto"/>
        </w:rPr>
      </w:pPr>
    </w:p>
    <w:p>
      <w:pPr>
        <w:ind w:left="60" w:right="939"/>
        <w:spacing w:after="0" w:line="261" w:lineRule="auto"/>
        <w:rPr>
          <w:sz w:val="20"/>
          <w:szCs w:val="20"/>
          <w:color w:val="auto"/>
        </w:rPr>
      </w:pPr>
      <w:r>
        <w:rPr>
          <w:rFonts w:ascii="Arial" w:cs="Arial" w:eastAsia="Arial" w:hAnsi="Arial"/>
          <w:sz w:val="18"/>
          <w:szCs w:val="18"/>
          <w:b w:val="1"/>
          <w:bCs w:val="1"/>
          <w:i w:val="1"/>
          <w:iCs w:val="1"/>
          <w:color w:val="auto"/>
        </w:rPr>
        <w:t>We may be unsuccessful in obtaining or may be unable to maintain the benefits associated with orphan drug designation, including the potential for market exclusivity.</w:t>
      </w:r>
    </w:p>
    <w:p>
      <w:pPr>
        <w:spacing w:after="0" w:line="171" w:lineRule="exact"/>
        <w:rPr>
          <w:sz w:val="20"/>
          <w:szCs w:val="20"/>
          <w:color w:val="auto"/>
        </w:rPr>
      </w:pPr>
    </w:p>
    <w:p>
      <w:pPr>
        <w:ind w:left="60" w:right="79" w:firstLine="648"/>
        <w:spacing w:after="0" w:line="266" w:lineRule="auto"/>
        <w:rPr>
          <w:sz w:val="20"/>
          <w:szCs w:val="20"/>
          <w:color w:val="auto"/>
        </w:rPr>
      </w:pPr>
      <w:r>
        <w:rPr>
          <w:rFonts w:ascii="Arial" w:cs="Arial" w:eastAsia="Arial" w:hAnsi="Arial"/>
          <w:sz w:val="16"/>
          <w:szCs w:val="16"/>
          <w:color w:val="auto"/>
        </w:rPr>
        <w:t>The FDA has granted orphan drug designation to avapritinib for the treatment of GIST and the treatment of mastocytosis, to pralsetinib for the treatment of RET-rearranged NSCLC, JAK1/2-positive NSCLC or TRKC-positive NSCLC and to fisogatinib for the treatment of HCC. In addition, the European Commission has granted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w:t>
      </w:r>
    </w:p>
    <w:p>
      <w:pPr>
        <w:spacing w:after="0" w:line="5"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189"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Similarly, in the European Union, the European Commission grants medicinal product designation after receiving the opinion of the European Medicines Agency, or EMA, Committee for Orphan Medicinal Products on an orphan medicinal product designation application. Orphan medicinal product designation is intended to promote the development of drugs that are intended for the diagnosis, prevention or treatment of life-threatening or chronically debilitating conditions affecting not more than 5 in 10,000 persons in the European Union and for which no satisfactory method of diagnosis, prevention, or treatment has been authorized (or the drug would be a significant benefit to those affected). In addition, designation is granted for drugs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In the European Union, orphan medicinal product designation entitles a party to financial incentives such as reduction of fees or fee waivers.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6" w:lineRule="auto"/>
        <w:rPr>
          <w:sz w:val="20"/>
          <w:szCs w:val="20"/>
          <w:color w:val="auto"/>
        </w:rPr>
      </w:pPr>
      <w:r>
        <w:rPr>
          <w:rFonts w:ascii="Arial" w:cs="Arial" w:eastAsia="Arial" w:hAnsi="Arial"/>
          <w:sz w:val="16"/>
          <w:szCs w:val="16"/>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62" w:lineRule="exact"/>
        <w:rPr>
          <w:sz w:val="20"/>
          <w:szCs w:val="20"/>
          <w:color w:val="auto"/>
        </w:rPr>
      </w:pPr>
    </w:p>
    <w:p>
      <w:pPr>
        <w:ind w:left="60" w:right="279" w:firstLine="648"/>
        <w:spacing w:after="0" w:line="284" w:lineRule="auto"/>
        <w:rPr>
          <w:sz w:val="20"/>
          <w:szCs w:val="20"/>
          <w:color w:val="auto"/>
        </w:rPr>
      </w:pPr>
      <w:r>
        <w:rPr>
          <w:rFonts w:ascii="Arial" w:cs="Arial" w:eastAsia="Arial" w:hAnsi="Arial"/>
          <w:sz w:val="16"/>
          <w:szCs w:val="16"/>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55" w:lineRule="exact"/>
        <w:rPr>
          <w:sz w:val="20"/>
          <w:szCs w:val="20"/>
          <w:color w:val="auto"/>
        </w:rPr>
      </w:pPr>
    </w:p>
    <w:p>
      <w:pPr>
        <w:ind w:left="60" w:right="119" w:firstLine="648"/>
        <w:spacing w:after="0" w:line="251" w:lineRule="auto"/>
        <w:rPr>
          <w:sz w:val="20"/>
          <w:szCs w:val="20"/>
          <w:color w:val="auto"/>
        </w:rPr>
      </w:pPr>
      <w:r>
        <w:rPr>
          <w:rFonts w:ascii="Arial" w:cs="Arial" w:eastAsia="Arial" w:hAnsi="Arial"/>
          <w:sz w:val="17"/>
          <w:szCs w:val="17"/>
          <w:color w:val="auto"/>
        </w:rPr>
        <w:t>On August 3, 2017,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spacing w:after="0" w:line="185" w:lineRule="exact"/>
        <w:rPr>
          <w:sz w:val="20"/>
          <w:szCs w:val="20"/>
          <w:color w:val="auto"/>
        </w:rPr>
      </w:pPr>
    </w:p>
    <w:p>
      <w:pPr>
        <w:ind w:left="60" w:right="179" w:firstLine="648"/>
        <w:spacing w:after="0" w:line="243" w:lineRule="auto"/>
        <w:rPr>
          <w:sz w:val="20"/>
          <w:szCs w:val="20"/>
          <w:color w:val="auto"/>
        </w:rPr>
      </w:pPr>
      <w:r>
        <w:rPr>
          <w:rFonts w:ascii="Arial" w:cs="Arial" w:eastAsia="Arial" w:hAnsi="Arial"/>
          <w:sz w:val="18"/>
          <w:szCs w:val="18"/>
          <w:color w:val="auto"/>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successful in our efforts to expand our pipeline of drug candidates.</w:t>
      </w:r>
    </w:p>
    <w:p>
      <w:pPr>
        <w:spacing w:after="0" w:line="21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We may also pursue opportunities to acquire or in-license additional businesses, technologies or drugs, form strategic alliances or create joint ventures with third parties to complement or augment our existing business. However, we may not be able to identify any drug candidates for our pipeline through such acquisition or in-license.</w:t>
      </w:r>
    </w:p>
    <w:p>
      <w:pPr>
        <w:spacing w:after="0" w:line="180"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spacing w:after="0" w:line="189" w:lineRule="exact"/>
        <w:rPr>
          <w:sz w:val="20"/>
          <w:szCs w:val="20"/>
          <w:color w:val="auto"/>
        </w:rPr>
      </w:pPr>
    </w:p>
    <w:p>
      <w:pPr>
        <w:ind w:left="60" w:right="199"/>
        <w:spacing w:after="0" w:line="324"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24" w:lineRule="exact"/>
        <w:rPr>
          <w:sz w:val="20"/>
          <w:szCs w:val="20"/>
          <w:color w:val="auto"/>
        </w:rPr>
      </w:pPr>
    </w:p>
    <w:p>
      <w:pPr>
        <w:ind w:left="60" w:right="579" w:firstLine="648"/>
        <w:spacing w:after="0" w:line="324" w:lineRule="auto"/>
        <w:rPr>
          <w:sz w:val="20"/>
          <w:szCs w:val="20"/>
          <w:color w:val="auto"/>
        </w:rPr>
      </w:pPr>
      <w:r>
        <w:rPr>
          <w:rFonts w:ascii="Arial" w:cs="Arial" w:eastAsia="Arial" w:hAnsi="Arial"/>
          <w:sz w:val="16"/>
          <w:szCs w:val="16"/>
          <w:color w:val="auto"/>
        </w:rPr>
        <w:t>Because we have limited human capital and financial resources, we focus on research programs and drug candidates that we identify for specific indications. As a result, we may forego or delay pursuit of opportunities with</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80" w:lineRule="exact"/>
        <w:rPr>
          <w:sz w:val="20"/>
          <w:szCs w:val="20"/>
          <w:color w:val="auto"/>
        </w:rPr>
      </w:pPr>
    </w:p>
    <w:p>
      <w:pPr>
        <w:ind w:left="60" w:right="99" w:firstLine="648"/>
        <w:spacing w:after="0" w:line="238" w:lineRule="auto"/>
        <w:rPr>
          <w:sz w:val="20"/>
          <w:szCs w:val="20"/>
          <w:color w:val="auto"/>
        </w:rPr>
      </w:pPr>
      <w:r>
        <w:rPr>
          <w:rFonts w:ascii="Arial" w:cs="Arial" w:eastAsia="Arial" w:hAnsi="Arial"/>
          <w:sz w:val="18"/>
          <w:szCs w:val="18"/>
          <w:color w:val="auto"/>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Government Legislations and Regulations</w:t>
      </w:r>
    </w:p>
    <w:p>
      <w:pPr>
        <w:spacing w:after="0" w:line="216" w:lineRule="exact"/>
        <w:rPr>
          <w:sz w:val="20"/>
          <w:szCs w:val="20"/>
          <w:color w:val="auto"/>
        </w:rPr>
      </w:pPr>
    </w:p>
    <w:p>
      <w:pPr>
        <w:ind w:left="60" w:right="299"/>
        <w:spacing w:after="0" w:line="241" w:lineRule="auto"/>
        <w:rPr>
          <w:sz w:val="20"/>
          <w:szCs w:val="20"/>
          <w:color w:val="auto"/>
        </w:rPr>
      </w:pPr>
      <w:r>
        <w:rPr>
          <w:rFonts w:ascii="Arial" w:cs="Arial" w:eastAsia="Arial" w:hAnsi="Arial"/>
          <w:sz w:val="18"/>
          <w:szCs w:val="18"/>
          <w:b w:val="1"/>
          <w:bCs w:val="1"/>
          <w:i w:val="1"/>
          <w:iCs w:val="1"/>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89"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7"/>
          <w:szCs w:val="17"/>
          <w:color w:val="auto"/>
        </w:rPr>
        <w:t>Any current or future drug candidate for which we receive accelerated approval from the FDA, including GAVRETO, or similar conditional approval from the EMA, including AYVAKYT, or comparable regulatory authorities in other jurisdictions may be required to undergo one or more confirmatory clinical trials.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EMA or comparable regulatory authorities, such approval may be withdrawn at a later date.</w:t>
      </w:r>
    </w:p>
    <w:p>
      <w:pPr>
        <w:spacing w:after="0" w:line="180" w:lineRule="exact"/>
        <w:rPr>
          <w:sz w:val="20"/>
          <w:szCs w:val="20"/>
          <w:color w:val="auto"/>
        </w:rPr>
      </w:pPr>
    </w:p>
    <w:p>
      <w:pPr>
        <w:ind w:left="60" w:right="119" w:firstLine="648"/>
        <w:spacing w:after="0" w:line="252" w:lineRule="auto"/>
        <w:rPr>
          <w:sz w:val="20"/>
          <w:szCs w:val="20"/>
          <w:color w:val="auto"/>
        </w:rPr>
      </w:pPr>
      <w:r>
        <w:rPr>
          <w:rFonts w:ascii="Arial" w:cs="Arial" w:eastAsia="Arial" w:hAnsi="Arial"/>
          <w:sz w:val="17"/>
          <w:szCs w:val="17"/>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as well as continued compliance with current Good Manufacturing Practices, or cGMPs, and Good Clinical Practices, or GCPs, for any clinical trials that we conduct post-approval.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186" w:lineRule="exact"/>
        <w:rPr>
          <w:sz w:val="20"/>
          <w:szCs w:val="20"/>
          <w:color w:val="auto"/>
        </w:rPr>
      </w:pPr>
    </w:p>
    <w:p>
      <w:pPr>
        <w:ind w:left="1340" w:right="59" w:hanging="318"/>
        <w:spacing w:after="0" w:line="261" w:lineRule="auto"/>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“dear doctor” letters or drug recalls;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11" w:lineRule="exact"/>
        <w:rPr>
          <w:rFonts w:ascii="Arial" w:cs="Arial" w:eastAsia="Arial" w:hAnsi="Arial"/>
          <w:sz w:val="18"/>
          <w:szCs w:val="18"/>
          <w:color w:val="auto"/>
        </w:rPr>
      </w:pPr>
    </w:p>
    <w:p>
      <w:pPr>
        <w:ind w:left="1340" w:right="139" w:hanging="318"/>
        <w:spacing w:after="0" w:line="261" w:lineRule="auto"/>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marketing approvals;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Regulatory agencies may also impose requirements for costly post-marketing studies or clinical trials and surveillance to monitor the safety or efficacy of a product. The FDA and other agencies, including the Department of Justice, or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71" w:lineRule="exact"/>
        <w:rPr>
          <w:sz w:val="20"/>
          <w:szCs w:val="20"/>
          <w:color w:val="auto"/>
        </w:rPr>
      </w:pPr>
    </w:p>
    <w:p>
      <w:pPr>
        <w:ind w:left="60" w:right="239"/>
        <w:spacing w:after="0" w:line="248" w:lineRule="auto"/>
        <w:rPr>
          <w:sz w:val="20"/>
          <w:szCs w:val="20"/>
          <w:color w:val="auto"/>
        </w:rPr>
      </w:pPr>
      <w:r>
        <w:rPr>
          <w:rFonts w:ascii="Arial" w:cs="Arial" w:eastAsia="Arial" w:hAnsi="Arial"/>
          <w:sz w:val="18"/>
          <w:szCs w:val="18"/>
          <w:b w:val="1"/>
          <w:bCs w:val="1"/>
          <w:i w:val="1"/>
          <w:iCs w:val="1"/>
          <w:color w:val="auto"/>
        </w:rPr>
        <w:t>Even if we are able to commercialize any of our approved drugs or drug candidates, if approved, such drug or drug candidate may become subject to unfavorable pricing regulations or third-party coverage and reimbursement policies, which would harm our business.</w:t>
      </w:r>
    </w:p>
    <w:p>
      <w:pPr>
        <w:spacing w:after="0" w:line="182" w:lineRule="exact"/>
        <w:rPr>
          <w:sz w:val="20"/>
          <w:szCs w:val="20"/>
          <w:color w:val="auto"/>
        </w:rPr>
      </w:pPr>
    </w:p>
    <w:p>
      <w:pPr>
        <w:ind w:left="60" w:right="139" w:firstLine="648"/>
        <w:spacing w:after="0" w:line="238" w:lineRule="auto"/>
        <w:rPr>
          <w:sz w:val="20"/>
          <w:szCs w:val="20"/>
          <w:color w:val="auto"/>
        </w:rPr>
      </w:pPr>
      <w:r>
        <w:rPr>
          <w:rFonts w:ascii="Arial" w:cs="Arial" w:eastAsia="Arial" w:hAnsi="Arial"/>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91" w:lineRule="exact"/>
        <w:rPr>
          <w:sz w:val="20"/>
          <w:szCs w:val="20"/>
          <w:color w:val="auto"/>
        </w:rPr>
      </w:pPr>
    </w:p>
    <w:p>
      <w:pPr>
        <w:ind w:left="60" w:right="79" w:firstLine="648"/>
        <w:spacing w:after="0" w:line="266" w:lineRule="auto"/>
        <w:rPr>
          <w:sz w:val="20"/>
          <w:szCs w:val="20"/>
          <w:color w:val="auto"/>
        </w:rPr>
      </w:pPr>
      <w:r>
        <w:rPr>
          <w:rFonts w:ascii="Arial" w:cs="Arial" w:eastAsia="Arial" w:hAnsi="Arial"/>
          <w:sz w:val="16"/>
          <w:szCs w:val="16"/>
          <w:color w:val="auto"/>
        </w:rPr>
        <w:t>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 Further, due to the COVID-19 pandemic, many individuals have lost or will be losing employer-based insurance coverage, which may adversely affect our ability to commercialize our products. It is unclear what effect, if any, the American Rescue Plan and other government efforts to expand coverage will have on the number of covered individuals.</w:t>
      </w:r>
    </w:p>
    <w:p>
      <w:pPr>
        <w:spacing w:after="0" w:line="194"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Healthcare legislative reform measures may have a material adverse effect on our business and results of operations.</w:t>
      </w:r>
    </w:p>
    <w:p>
      <w:pPr>
        <w:spacing w:after="0" w:line="246" w:lineRule="exact"/>
        <w:rPr>
          <w:sz w:val="20"/>
          <w:szCs w:val="20"/>
          <w:color w:val="auto"/>
        </w:rPr>
      </w:pPr>
    </w:p>
    <w:p>
      <w:pPr>
        <w:jc w:val="both"/>
        <w:ind w:left="60" w:right="139" w:firstLine="648"/>
        <w:spacing w:after="0" w:line="271" w:lineRule="auto"/>
        <w:rPr>
          <w:sz w:val="20"/>
          <w:szCs w:val="20"/>
          <w:color w:val="auto"/>
        </w:rPr>
      </w:pPr>
      <w:r>
        <w:rPr>
          <w:rFonts w:ascii="Arial" w:cs="Arial" w:eastAsia="Arial" w:hAnsi="Arial"/>
          <w:sz w:val="16"/>
          <w:szCs w:val="16"/>
          <w:color w:val="auto"/>
        </w:rPr>
        <w:t>The United States has enacted or proposed legislative and regulatory changes affecting the healthcare system that could prevent or delay marketing approval of our current drug candidates or any future drug candidates, restrict or regulate post-approval activities and affect our ability to profitably sell any product for which we obtain marketing approval.</w:t>
      </w:r>
    </w:p>
    <w:p>
      <w:pPr>
        <w:ind w:left="60" w:right="179"/>
        <w:spacing w:after="0" w:line="264"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w:t>
      </w:r>
    </w:p>
    <w:p>
      <w:pPr>
        <w:ind w:left="60" w:right="59" w:hanging="10"/>
        <w:spacing w:after="0" w:line="268" w:lineRule="auto"/>
        <w:tabs>
          <w:tab w:leader="none" w:pos="3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recall or discontinuation of our products; or (iv) additional record-keeping requirements. If any such changes were to be imposed, they could adversely affect the operation of our business. In the United States, there have been and continue to be a number of legislative initiatives to contain healthcare costs. For example, in March 2010, the ACA was passed, which substantially changes the way healthcare is financed by both governmental and private insurers, and significantly impacts the U.S. pharmaceutical industry. The ACA, among other things, made several changes to the Medicare Drug Rebate Program, establishes annual fees and taxes on manufacturers of certain branded prescription drugs, and creates a new Medicare Part D coverage gap discount program, in which manufacturers must agree to offer 50% (increased to 70% pursuant to the Bipartisan Budget Act of 2018, effective as of January 2019) point-of-sale discounts off negotiated prices of applicable brand drugs to eligible beneficiaries during their coverage gap period, as a condition for the manufacturer's outpatient drugs to be covered under Medicare Part D.</w:t>
      </w:r>
    </w:p>
    <w:p>
      <w:pPr>
        <w:spacing w:after="0" w:line="170"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and we expect there will be additional challenges and amendments to the ACA in the future. For example, various portions of the ACA are currently undergoing legal and constitutional challenges in the United States Supreme Court. Additionally, the Trump Administration issued various Executive Orders which eliminated cost sharing subsidies and various provisions that would impose a fiscal burden on states or a cost, fee, tax, penalty or regulatory burden on individuals, healthcare providers, health insurers, or manufacturers of pharmaceuticals or medical devices. Finally, and Congress has introduced several pieces of legislation aimed at significantly revising or repealing the ACA.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 It is unclear whether the ACA will be overturned, repealed, replaced, or further amended. We cannot predict what affect further changes to the ACA would have on our business.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6"/>
          <w:szCs w:val="16"/>
          <w:color w:val="auto"/>
        </w:rPr>
        <w:t>In addition,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HHS has already started the process of soliciting feedback on some of the Trump administration’s measures and, at the same time, is immediately implementing others under its existing authority. However, it is unclear whether the Biden administration will challenge, reverse, revoke or otherwise modify these executive and administrative actions after January 20, 2021. The Coronavirus Aid, Relief, and Economic Security, or CARES, Act suspended the sequestration payment adjustment percentage of 2% applied to all Medicare Fee-for-Service, or FFS, claims from May 1 through December 31, 2020. The Consolidated Appropriations Act of 2021, extended the suspension period to March 31, 2021. An Act to Prevent Across-the-Board Direct Spending Cuts, and for Other Purposes, signed into law on April 14, 2021, has extended the suspension period to December 31, 2021.</w:t>
      </w:r>
    </w:p>
    <w:p>
      <w:pPr>
        <w:spacing w:after="0" w:line="171" w:lineRule="exact"/>
        <w:rPr>
          <w:sz w:val="20"/>
          <w:szCs w:val="20"/>
          <w:color w:val="auto"/>
        </w:rPr>
      </w:pPr>
    </w:p>
    <w:p>
      <w:pPr>
        <w:ind w:left="60" w:right="119" w:firstLine="648"/>
        <w:spacing w:after="0" w:line="266" w:lineRule="auto"/>
        <w:rPr>
          <w:sz w:val="20"/>
          <w:szCs w:val="20"/>
          <w:color w:val="auto"/>
        </w:rPr>
      </w:pPr>
      <w:r>
        <w:rPr>
          <w:rFonts w:ascii="Arial" w:cs="Arial" w:eastAsia="Arial" w:hAnsi="Arial"/>
          <w:sz w:val="16"/>
          <w:szCs w:val="16"/>
          <w:color w:val="auto"/>
        </w:rPr>
        <w:t>In 2020, former President Trump announced several executive orders related to prescription drug pricing that sought to implement several of the former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 2027. However, in response to a lawsuit filed by several industry groups, on December 28, the U.S. District Court for the Northern District of California issued a nationwide preliminary injunction enjoining government defendants from implementing the MFN Rule pending completion of notice-and-comment procedures under the Administrative Procedure Act. On January 13, 2021, in a separate lawsuit brought by industry groups in the U.S. District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MFN Interim Final Rule shall not commence earlier than 60 days after publication of that regulation in the Federal Register. Further, authorities in Canada have passed rules designed to safeguard the Canadian drug supply from shortages. If implemented, importation of drugs from Canada and the MFN Model may materially and adversely affect the price we receive for any of our product candidates. Additionally,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an order entered by the U.S. District Court for the District of Columbia, the portion of the rule eliminating safe harbor protection for certain rebates related to the sale or purchase of a pharmaceutical product from a manufacturer to a plan sponsor under Medicare Part D has been delayed to January 1, 2023. Further, implementation of this change and new safe harbors for point-of-sale reductions in price for prescription pharmaceutical products and pharmacy benefit manager service fees are currently under review by the Biden administration and may be amended or repealed.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73" w:lineRule="exact"/>
        <w:rPr>
          <w:sz w:val="20"/>
          <w:szCs w:val="20"/>
          <w:color w:val="auto"/>
        </w:rPr>
      </w:pPr>
    </w:p>
    <w:p>
      <w:pPr>
        <w:ind w:left="60" w:right="439" w:firstLine="648"/>
        <w:spacing w:after="0" w:line="262"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2" w:lineRule="exact"/>
        <w:rPr>
          <w:sz w:val="20"/>
          <w:szCs w:val="20"/>
          <w:color w:val="auto"/>
        </w:rPr>
      </w:pPr>
    </w:p>
    <w:p>
      <w:pPr>
        <w:ind w:left="60" w:right="99" w:firstLine="648"/>
        <w:spacing w:after="0" w:line="276" w:lineRule="auto"/>
        <w:rPr>
          <w:sz w:val="20"/>
          <w:szCs w:val="20"/>
          <w:color w:val="auto"/>
        </w:rPr>
      </w:pPr>
      <w:r>
        <w:rPr>
          <w:rFonts w:ascii="Arial" w:cs="Arial" w:eastAsia="Arial" w:hAnsi="Arial"/>
          <w:sz w:val="16"/>
          <w:szCs w:val="16"/>
          <w:color w:val="auto"/>
        </w:rPr>
        <w:t>We may face competition in the U.S. for our development candidates and investigational medicines, if approved, from therapies sourced from foreign countries that have placed price controls on pharmaceutical products. In the United States, the Medicare Modernization Act, or MMA, contains provisions that call for the promulgation of regulations that expand pharmacists’ and wholesalers’ ability to import cheaper versions of an approved drug and competing products from Canada, where there are government price controls. Further, the MMA provides that these changes to U.S. importation laws will not take effect, unless and until the Secretary of the HHS certifies that the changes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will pose no additional risk to the public’s health and safety and will result in a significant reduction in the cost of products to consumers. On September 23, 2020, the Secretary of the HHS made such certification to Congress, and on October 1, 2020,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Since the issuance of the final rule, several industry groups have filed federal lawsuits challenging multiple aspects of the final rule, and authorities in Canada have passed rules designed to safeguard the Canadian drug supply from shortages.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or NDC, for an FDA-approved drug that was originally intended to be marketed in a foreign country and that was authorized for sale in that foreign country. The market implications of the final rule and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w:t>
      </w:r>
    </w:p>
    <w:p>
      <w:pPr>
        <w:spacing w:after="0" w:line="183"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7"/>
          <w:szCs w:val="17"/>
          <w:color w:val="auto"/>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spacing w:after="0" w:line="174"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7"/>
          <w:szCs w:val="17"/>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spacing w:after="0" w:line="174" w:lineRule="exact"/>
        <w:rPr>
          <w:sz w:val="20"/>
          <w:szCs w:val="20"/>
          <w:color w:val="auto"/>
        </w:rPr>
      </w:pPr>
    </w:p>
    <w:p>
      <w:pPr>
        <w:ind w:left="60" w:right="139"/>
        <w:spacing w:after="0" w:line="322" w:lineRule="auto"/>
        <w:rPr>
          <w:sz w:val="20"/>
          <w:szCs w:val="20"/>
          <w:color w:val="auto"/>
        </w:rPr>
      </w:pPr>
      <w:r>
        <w:rPr>
          <w:rFonts w:ascii="Arial" w:cs="Arial" w:eastAsia="Arial" w:hAnsi="Arial"/>
          <w:sz w:val="15"/>
          <w:szCs w:val="15"/>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29"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7"/>
          <w:szCs w:val="17"/>
          <w:color w:val="auto"/>
        </w:rPr>
        <w:t>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or HIPAA, the Physician Payment Sunshine Act, HIPAA, as amended by the Health Information Technology for Economic and Clinical Health Act of 2009, or HITECH, the federal false statements statute, federal consumer protection and unfair competition laws and similar state and foreign laws and regulations that may regulate the business or financial arrangements and relationships through which we market, sell and distribute our drugs. The number and complexity of federal, state, and foreign laws continue to increase, and additional governmental resources are being used to enforce these laws and to prosecute companies and individuals who are believed to be violating them.</w:t>
      </w:r>
    </w:p>
    <w:p>
      <w:pPr>
        <w:spacing w:after="0" w:line="184"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In the U.S., to help patients who have no or inadequate insurance access our drug, we have a patient assistance program that we administer in conjunction with our patient support program vendor. 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80" w:lineRule="exact"/>
        <w:rPr>
          <w:sz w:val="20"/>
          <w:szCs w:val="20"/>
          <w:color w:val="auto"/>
        </w:rPr>
      </w:pPr>
    </w:p>
    <w:p>
      <w:pPr>
        <w:ind w:left="60" w:right="619"/>
        <w:spacing w:after="0" w:line="261"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71"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6"/>
          <w:szCs w:val="16"/>
          <w:color w:val="auto"/>
        </w:rPr>
        <w:t>Our future profitability may depend, in part, on our ability to commercialize current or future drug candidates in foreign markets for which we may rely on collaboration with third parties. We are not permitted to market or promote any of our drug candidates before we receive regulatory approval from the applicable regulatory authority in that foreign market.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spacing w:after="0" w:line="168" w:lineRule="exact"/>
        <w:rPr>
          <w:sz w:val="20"/>
          <w:szCs w:val="20"/>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drug candidates in foreign markets;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11" w:lineRule="exact"/>
        <w:rPr>
          <w:rFonts w:ascii="Arial" w:cs="Arial" w:eastAsia="Arial" w:hAnsi="Arial"/>
          <w:sz w:val="18"/>
          <w:szCs w:val="18"/>
          <w:color w:val="auto"/>
        </w:rPr>
      </w:pPr>
    </w:p>
    <w:p>
      <w:pPr>
        <w:ind w:left="1340" w:right="139" w:hanging="318"/>
        <w:spacing w:after="0" w:line="248"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including the European General Data Protection Regulation 2016/679, commonly referred to as GDPR;</w:t>
      </w:r>
    </w:p>
    <w:p>
      <w:pPr>
        <w:spacing w:after="0" w:line="18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223" w:lineRule="exact"/>
        <w:rPr>
          <w:rFonts w:ascii="Arial" w:cs="Arial" w:eastAsia="Arial" w:hAnsi="Arial"/>
          <w:sz w:val="17"/>
          <w:szCs w:val="17"/>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interpretation of contractual provisions governed by foreign laws in the event of a contract dispute.</w:t>
      </w:r>
    </w:p>
    <w:p>
      <w:pPr>
        <w:spacing w:after="0" w:line="235" w:lineRule="exact"/>
        <w:rPr>
          <w:sz w:val="20"/>
          <w:szCs w:val="20"/>
          <w:color w:val="auto"/>
        </w:rPr>
      </w:pPr>
    </w:p>
    <w:p>
      <w:pPr>
        <w:ind w:left="60" w:right="159" w:firstLine="648"/>
        <w:spacing w:after="0" w:line="261"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Governments outside the U.S. tend to impose strict price controls, which may adversely affect our revenues, if any.</w:t>
      </w:r>
    </w:p>
    <w:p>
      <w:pPr>
        <w:spacing w:after="0" w:line="235" w:lineRule="exact"/>
        <w:rPr>
          <w:sz w:val="20"/>
          <w:szCs w:val="20"/>
          <w:color w:val="auto"/>
        </w:rPr>
      </w:pPr>
    </w:p>
    <w:p>
      <w:pPr>
        <w:ind w:left="60" w:right="99" w:firstLine="648"/>
        <w:spacing w:after="0" w:line="252" w:lineRule="auto"/>
        <w:rPr>
          <w:sz w:val="20"/>
          <w:szCs w:val="20"/>
          <w:color w:val="auto"/>
        </w:rPr>
      </w:pPr>
      <w:r>
        <w:rPr>
          <w:rFonts w:ascii="Arial" w:cs="Arial" w:eastAsia="Arial" w:hAnsi="Arial"/>
          <w:sz w:val="17"/>
          <w:szCs w:val="17"/>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In addition, in 2016, the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 regulations, including those related to the pricing of prescription pharmaceuticals, as the United Kingdom determines which European Union laws to replicate or replace. If the United Kingdom were to significantly alter its regulations affecting the pricing of prescription pharmaceuticals, we could face significant new costs. As a result, Brexit could impair our ability to transact business in the European Union and the United Kingdom.</w:t>
      </w:r>
    </w:p>
    <w:p>
      <w:pPr>
        <w:spacing w:after="0" w:line="180" w:lineRule="exact"/>
        <w:rPr>
          <w:sz w:val="20"/>
          <w:szCs w:val="20"/>
          <w:color w:val="auto"/>
        </w:rPr>
      </w:pPr>
    </w:p>
    <w:p>
      <w:pPr>
        <w:ind w:left="60" w:right="399"/>
        <w:spacing w:after="0" w:line="324"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1"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16" w:lineRule="exact"/>
        <w:rPr>
          <w:sz w:val="20"/>
          <w:szCs w:val="20"/>
          <w:color w:val="auto"/>
        </w:rPr>
      </w:pPr>
    </w:p>
    <w:p>
      <w:pPr>
        <w:ind w:left="60" w:right="459"/>
        <w:spacing w:after="0" w:line="324" w:lineRule="auto"/>
        <w:rPr>
          <w:sz w:val="20"/>
          <w:szCs w:val="20"/>
          <w:color w:val="auto"/>
        </w:rPr>
      </w:pPr>
      <w:r>
        <w:rPr>
          <w:rFonts w:ascii="Arial" w:cs="Arial" w:eastAsia="Arial" w:hAnsi="Arial"/>
          <w:sz w:val="16"/>
          <w:szCs w:val="16"/>
          <w:b w:val="1"/>
          <w:bCs w:val="1"/>
          <w:i w:val="1"/>
          <w:iCs w:val="1"/>
          <w:color w:val="auto"/>
        </w:rPr>
        <w:t>We are a precision therapy company with a limited operating history. We have incurred significant operating losses since our inception and anticipate that we will incur continued losses for the foreseeable future.</w:t>
      </w:r>
    </w:p>
    <w:p>
      <w:pPr>
        <w:spacing w:after="0" w:line="124" w:lineRule="exact"/>
        <w:rPr>
          <w:sz w:val="20"/>
          <w:szCs w:val="20"/>
          <w:color w:val="auto"/>
        </w:rPr>
      </w:pPr>
    </w:p>
    <w:p>
      <w:pPr>
        <w:ind w:left="60" w:right="139" w:firstLine="648"/>
        <w:spacing w:after="0" w:line="243" w:lineRule="auto"/>
        <w:rPr>
          <w:sz w:val="20"/>
          <w:szCs w:val="20"/>
          <w:color w:val="auto"/>
        </w:rPr>
      </w:pPr>
      <w:r>
        <w:rPr>
          <w:rFonts w:ascii="Arial" w:cs="Arial" w:eastAsia="Arial" w:hAnsi="Arial"/>
          <w:sz w:val="18"/>
          <w:szCs w:val="18"/>
          <w:color w:val="auto"/>
        </w:rPr>
        <w:t>We are a precision therapy company with a limited operating history. To date, we have not yet demonstrated our ability to conduct large-scale sales and marketing activities necessary for successful commercialization. We currently have two approved precision therapies and are transitioning to a company capable of supporting commercial activities. We may not be successful in such a transition.</w:t>
      </w:r>
    </w:p>
    <w:p>
      <w:pPr>
        <w:spacing w:after="0" w:line="188" w:lineRule="exact"/>
        <w:rPr>
          <w:sz w:val="20"/>
          <w:szCs w:val="20"/>
          <w:color w:val="auto"/>
        </w:rPr>
      </w:pPr>
    </w:p>
    <w:p>
      <w:pPr>
        <w:ind w:left="60" w:right="159" w:firstLine="648"/>
        <w:spacing w:after="0" w:line="274" w:lineRule="auto"/>
        <w:rPr>
          <w:sz w:val="20"/>
          <w:szCs w:val="20"/>
          <w:color w:val="auto"/>
        </w:rPr>
      </w:pPr>
      <w:r>
        <w:rPr>
          <w:rFonts w:ascii="Arial" w:cs="Arial" w:eastAsia="Arial" w:hAnsi="Arial"/>
          <w:sz w:val="16"/>
          <w:szCs w:val="16"/>
          <w:color w:val="auto"/>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 our drug candidates, commencing pre-commercial activities and the commercial launches for AYVAKIT/AYVAKYT and GAVRETO, and producing the active pharmaceutical ingredient, or API, drug substance and drug product material for use in pre-clinical studies and clinical trials for our drug candidates and commercial sale of our approved drugs.</w:t>
      </w:r>
    </w:p>
    <w:p>
      <w:pPr>
        <w:spacing w:after="0" w:line="163" w:lineRule="exact"/>
        <w:rPr>
          <w:sz w:val="20"/>
          <w:szCs w:val="20"/>
          <w:color w:val="auto"/>
        </w:rPr>
      </w:pPr>
    </w:p>
    <w:p>
      <w:pPr>
        <w:ind w:left="60" w:right="679" w:firstLine="648"/>
        <w:spacing w:after="0" w:line="274" w:lineRule="auto"/>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and common stock, collaborations and a license agreement. Through</w:t>
      </w:r>
    </w:p>
    <w:p>
      <w:pPr>
        <w:spacing w:after="0" w:line="1" w:lineRule="exact"/>
        <w:rPr>
          <w:sz w:val="20"/>
          <w:szCs w:val="20"/>
          <w:color w:val="auto"/>
        </w:rPr>
      </w:pPr>
    </w:p>
    <w:p>
      <w:pPr>
        <w:ind w:left="60" w:right="219"/>
        <w:spacing w:after="0" w:line="271" w:lineRule="auto"/>
        <w:rPr>
          <w:sz w:val="20"/>
          <w:szCs w:val="20"/>
          <w:color w:val="auto"/>
        </w:rPr>
      </w:pPr>
      <w:r>
        <w:rPr>
          <w:rFonts w:ascii="Arial" w:cs="Arial" w:eastAsia="Arial" w:hAnsi="Arial"/>
          <w:sz w:val="17"/>
          <w:szCs w:val="17"/>
          <w:color w:val="auto"/>
        </w:rPr>
        <w:t>March 31, 2021, we have received an aggregate of $2.9 billion from such transactions, including $1.9 billion in aggregate gross proceeds from the sale of common stock in our initial public offering, follow on public offerings,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2" w:lineRule="auto"/>
        <w:rPr>
          <w:sz w:val="20"/>
          <w:szCs w:val="20"/>
          <w:color w:val="auto"/>
        </w:rPr>
      </w:pPr>
      <w:r>
        <w:rPr>
          <w:rFonts w:ascii="Arial" w:cs="Arial" w:eastAsia="Arial" w:hAnsi="Arial"/>
          <w:sz w:val="17"/>
          <w:szCs w:val="17"/>
          <w:color w:val="auto"/>
        </w:rPr>
        <w:t>through our “at the market” stock offering program and the equity investment by Roche, $115.1 million in gross proceeds from the issuance of convertible preferred stock, $912.3 million in upfront payments and milestone payments under our collaborations with Roche and CStone, our license agreement with Clementia and our former collaboration with Alexion. In addition, since January 2020, we have generated limited product revenue.</w:t>
      </w:r>
    </w:p>
    <w:p>
      <w:pPr>
        <w:spacing w:after="0" w:line="172" w:lineRule="exact"/>
        <w:rPr>
          <w:sz w:val="20"/>
          <w:szCs w:val="20"/>
          <w:color w:val="auto"/>
        </w:rPr>
      </w:pPr>
    </w:p>
    <w:p>
      <w:pPr>
        <w:ind w:left="60" w:right="379" w:firstLine="648"/>
        <w:spacing w:after="0" w:line="279" w:lineRule="auto"/>
        <w:rPr>
          <w:sz w:val="20"/>
          <w:szCs w:val="20"/>
          <w:color w:val="auto"/>
        </w:rPr>
      </w:pPr>
      <w:r>
        <w:rPr>
          <w:rFonts w:ascii="Arial" w:cs="Arial" w:eastAsia="Arial" w:hAnsi="Arial"/>
          <w:sz w:val="16"/>
          <w:szCs w:val="16"/>
          <w:color w:val="auto"/>
        </w:rPr>
        <w:t>Since inception, we have incurred significant operating losses, with the exception of the year ended December 31, 2020. Our net loss was $99.7 million for the three months ended March 31, 2021. Our net income was $313.9 million for the year ended December 31, 2020 primarily due to the collaboration revenue recorded under our collaboration with Roche for pralsetinib, and our net losses were $347.7 million and $236.6 million for the years ended December 31, 2019 and 2018, respectively. As of March 31, 2021, we had an accumulated deficit of $731.1 million.</w:t>
      </w:r>
    </w:p>
    <w:p>
      <w:pPr>
        <w:spacing w:after="0" w:line="159"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6"/>
          <w:szCs w:val="16"/>
          <w:color w:val="auto"/>
        </w:rPr>
        <w:t>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few years. We anticipate that our expenses will continue to increase in connection with our ongoing activities. Our prior losses, combined with expected future losses, have had and will continue to have an adverse effect on our stockholders’ equity and working capital. We expect our research and development expenses to significantly increase in connection with continuing our existing clinical trials and beginning additional clinical trials. In addition, we will incur significant sales, marketing and outsourced-manufacturing expenses in 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68" w:lineRule="exact"/>
        <w:rPr>
          <w:sz w:val="20"/>
          <w:szCs w:val="20"/>
          <w:color w:val="auto"/>
        </w:rPr>
      </w:pPr>
    </w:p>
    <w:p>
      <w:pPr>
        <w:ind w:left="60" w:right="339" w:firstLine="648"/>
        <w:spacing w:after="0" w:line="261" w:lineRule="auto"/>
        <w:rPr>
          <w:sz w:val="20"/>
          <w:szCs w:val="20"/>
          <w:color w:val="auto"/>
        </w:rPr>
      </w:pPr>
      <w:r>
        <w:rPr>
          <w:rFonts w:ascii="Arial" w:cs="Arial" w:eastAsia="Arial" w:hAnsi="Arial"/>
          <w:sz w:val="18"/>
          <w:szCs w:val="18"/>
          <w:color w:val="auto"/>
        </w:rPr>
        <w:t>To date, we have not generated substantial revenue from drug sales. Our ability to generate substantial revenue depends on a number of factors, including, but not limited to, our ability to:</w:t>
      </w:r>
    </w:p>
    <w:p>
      <w:pPr>
        <w:spacing w:after="0" w:line="171" w:lineRule="exact"/>
        <w:rPr>
          <w:sz w:val="20"/>
          <w:szCs w:val="20"/>
          <w:color w:val="auto"/>
        </w:rPr>
      </w:pPr>
    </w:p>
    <w:p>
      <w:pPr>
        <w:ind w:left="1340" w:hanging="318"/>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211" w:lineRule="exact"/>
        <w:rPr>
          <w:rFonts w:ascii="Arial" w:cs="Arial" w:eastAsia="Arial" w:hAnsi="Arial"/>
          <w:sz w:val="18"/>
          <w:szCs w:val="18"/>
          <w:color w:val="auto"/>
        </w:rPr>
      </w:pPr>
    </w:p>
    <w:p>
      <w:pPr>
        <w:ind w:left="1340" w:right="139" w:hanging="318"/>
        <w:spacing w:after="0" w:line="248"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drug candidates, including for avapritinib and pralsetinib for additional indications or in additional geographies;</w:t>
      </w:r>
    </w:p>
    <w:p>
      <w:pPr>
        <w:spacing w:after="0" w:line="181" w:lineRule="exact"/>
        <w:rPr>
          <w:rFonts w:ascii="Arial" w:cs="Arial" w:eastAsia="Arial" w:hAnsi="Arial"/>
          <w:sz w:val="18"/>
          <w:szCs w:val="18"/>
          <w:color w:val="auto"/>
        </w:rPr>
      </w:pPr>
    </w:p>
    <w:p>
      <w:pPr>
        <w:ind w:left="1340" w:right="459" w:hanging="318"/>
        <w:spacing w:after="0" w:line="291" w:lineRule="auto"/>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continue to maintain and expand commercial manufacturing capabilities or make arrangements with third-party manufacturers for clinical supply and commercial manufacturing;</w:t>
      </w:r>
    </w:p>
    <w:p>
      <w:pPr>
        <w:spacing w:after="0" w:line="146" w:lineRule="exact"/>
        <w:rPr>
          <w:rFonts w:ascii="Arial" w:cs="Arial" w:eastAsia="Arial" w:hAnsi="Arial"/>
          <w:sz w:val="17"/>
          <w:szCs w:val="17"/>
          <w:color w:val="auto"/>
        </w:rPr>
      </w:pPr>
    </w:p>
    <w:p>
      <w:pPr>
        <w:ind w:left="1340" w:right="379" w:hanging="318"/>
        <w:spacing w:after="0" w:line="248"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 and, if necessary, expand a sales, marketing and distribution infrastructure to commercialize AYVAKIT/AYVAKYT, GAVRETO and any current or future drug candidates for which we obtain marketing approval; and</w:t>
      </w:r>
    </w:p>
    <w:p>
      <w:pPr>
        <w:spacing w:after="0" w:line="181" w:lineRule="exact"/>
        <w:rPr>
          <w:rFonts w:ascii="Arial" w:cs="Arial" w:eastAsia="Arial" w:hAnsi="Arial"/>
          <w:sz w:val="18"/>
          <w:szCs w:val="18"/>
          <w:color w:val="auto"/>
        </w:rPr>
      </w:pPr>
    </w:p>
    <w:p>
      <w:pPr>
        <w:ind w:left="1340" w:right="519" w:hanging="318"/>
        <w:spacing w:after="0" w:line="248"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achieve market acceptance in the medical community and with third-party payors for AYVAKIT/AYVAKYT, GAVRETO and any current or future drug candidates for which we receive marketing approval.</w:t>
      </w:r>
    </w:p>
    <w:p>
      <w:pPr>
        <w:spacing w:after="0" w:line="182" w:lineRule="exact"/>
        <w:rPr>
          <w:sz w:val="20"/>
          <w:szCs w:val="20"/>
          <w:color w:val="auto"/>
        </w:rPr>
      </w:pPr>
    </w:p>
    <w:p>
      <w:pPr>
        <w:ind w:left="60" w:right="79" w:firstLine="648"/>
        <w:spacing w:after="0" w:line="276" w:lineRule="auto"/>
        <w:rPr>
          <w:sz w:val="20"/>
          <w:szCs w:val="20"/>
          <w:color w:val="auto"/>
        </w:rPr>
      </w:pPr>
      <w:r>
        <w:rPr>
          <w:rFonts w:ascii="Arial" w:cs="Arial" w:eastAsia="Arial" w:hAnsi="Arial"/>
          <w:sz w:val="16"/>
          <w:szCs w:val="16"/>
          <w:color w:val="auto"/>
        </w:rPr>
        <w:t>We expect to incur significant sales and marketing costs as we commercialize AYVAKIT/AYVAKYT, jointly commercialize GAVRETO with Roche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324" w:lineRule="auto"/>
        <w:rPr>
          <w:sz w:val="20"/>
          <w:szCs w:val="20"/>
          <w:color w:val="auto"/>
        </w:rPr>
      </w:pPr>
      <w:r>
        <w:rPr>
          <w:rFonts w:ascii="Arial" w:cs="Arial" w:eastAsia="Arial" w:hAnsi="Arial"/>
          <w:sz w:val="16"/>
          <w:szCs w:val="16"/>
          <w:b w:val="1"/>
          <w:bCs w:val="1"/>
          <w:i w:val="1"/>
          <w:iCs w:val="1"/>
          <w:color w:val="auto"/>
        </w:rPr>
        <w:t>We may seek to raise additional funding from time to time. If we are unable to raise capital when needed, we may be forced to delay, reduce or eliminate some of our drug development programs or commercialization efforts.</w:t>
      </w:r>
    </w:p>
    <w:p>
      <w:pPr>
        <w:spacing w:after="0" w:line="124"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The development and commercialization of pharmaceuticals is capital-intensive. We are currently advancing multiple drug candidates and development programs through clinical and preclinical development. We expect our expenses to increase in connection with our ongoing activities, particularly as we continue the research and development of, initiate or continue clinical trials of, and seek marketing approval for our drug candidates, including marketing approval for avapritinib for additional indications or in additional geographies and for pralsetinib.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w:t>
      </w:r>
    </w:p>
    <w:p>
      <w:pPr>
        <w:spacing w:after="0" w:line="180" w:lineRule="exact"/>
        <w:rPr>
          <w:sz w:val="20"/>
          <w:szCs w:val="20"/>
          <w:color w:val="auto"/>
        </w:rPr>
      </w:pPr>
    </w:p>
    <w:p>
      <w:pPr>
        <w:ind w:left="60" w:right="639" w:firstLine="648"/>
        <w:spacing w:after="0" w:line="261" w:lineRule="auto"/>
        <w:rPr>
          <w:sz w:val="20"/>
          <w:szCs w:val="20"/>
          <w:color w:val="auto"/>
        </w:rPr>
      </w:pPr>
      <w:r>
        <w:rPr>
          <w:rFonts w:ascii="Arial" w:cs="Arial" w:eastAsia="Arial" w:hAnsi="Arial"/>
          <w:sz w:val="18"/>
          <w:szCs w:val="18"/>
          <w:color w:val="auto"/>
        </w:rPr>
        <w:t>Our future capital requirements will depend on and could increase significantly as a result of many factors, including:</w:t>
      </w:r>
    </w:p>
    <w:p>
      <w:pPr>
        <w:spacing w:after="0" w:line="171" w:lineRule="exact"/>
        <w:rPr>
          <w:sz w:val="20"/>
          <w:szCs w:val="20"/>
          <w:color w:val="auto"/>
        </w:rPr>
      </w:pPr>
    </w:p>
    <w:p>
      <w:pPr>
        <w:ind w:left="1340" w:right="399" w:hanging="318"/>
        <w:spacing w:after="0" w:line="324" w:lineRule="auto"/>
        <w:tabs>
          <w:tab w:leader="none" w:pos="1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success of our commercialization efforts and market acceptance for AYVAKIT/AYVAKYT, GAVRETO or any of our current or future drug candidates for which we receive marketing approval;</w:t>
      </w:r>
    </w:p>
    <w:p>
      <w:pPr>
        <w:spacing w:after="0" w:line="124" w:lineRule="exact"/>
        <w:rPr>
          <w:rFonts w:ascii="Arial" w:cs="Arial" w:eastAsia="Arial" w:hAnsi="Arial"/>
          <w:sz w:val="16"/>
          <w:szCs w:val="16"/>
          <w:color w:val="auto"/>
        </w:rPr>
      </w:pPr>
    </w:p>
    <w:p>
      <w:pPr>
        <w:ind w:left="1340" w:right="359" w:hanging="318"/>
        <w:spacing w:after="0" w:line="248"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maintaining, expanding or contracting for sales, marketing and distribution capabilities in connection with commercialization of AYVAKIT/AYVAKYT, GAVRETO and any of our current or future drug candidates for which we receive marketing approval;</w:t>
      </w:r>
    </w:p>
    <w:p>
      <w:pPr>
        <w:spacing w:after="0" w:line="181" w:lineRule="exact"/>
        <w:rPr>
          <w:rFonts w:ascii="Arial" w:cs="Arial" w:eastAsia="Arial" w:hAnsi="Arial"/>
          <w:sz w:val="18"/>
          <w:szCs w:val="18"/>
          <w:color w:val="auto"/>
        </w:rPr>
      </w:pPr>
    </w:p>
    <w:p>
      <w:pPr>
        <w:ind w:left="1340" w:right="99" w:hanging="318"/>
        <w:spacing w:after="0" w:line="294" w:lineRule="auto"/>
        <w:tabs>
          <w:tab w:leader="none" w:pos="1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 as applicable;</w:t>
      </w:r>
    </w:p>
    <w:p>
      <w:pPr>
        <w:spacing w:after="0" w:line="147" w:lineRule="exact"/>
        <w:rPr>
          <w:rFonts w:ascii="Arial" w:cs="Arial" w:eastAsia="Arial" w:hAnsi="Arial"/>
          <w:sz w:val="16"/>
          <w:szCs w:val="16"/>
          <w:color w:val="auto"/>
        </w:rPr>
      </w:pPr>
    </w:p>
    <w:p>
      <w:pPr>
        <w:ind w:left="1340" w:right="179" w:hanging="318"/>
        <w:spacing w:after="0" w:line="261"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approved drugs and drug candidates;</w:t>
      </w:r>
    </w:p>
    <w:p>
      <w:pPr>
        <w:spacing w:after="0" w:line="170" w:lineRule="exact"/>
        <w:rPr>
          <w:rFonts w:ascii="Arial" w:cs="Arial" w:eastAsia="Arial" w:hAnsi="Arial"/>
          <w:sz w:val="18"/>
          <w:szCs w:val="18"/>
          <w:color w:val="auto"/>
        </w:rPr>
      </w:pPr>
    </w:p>
    <w:p>
      <w:pPr>
        <w:ind w:left="1340" w:right="359" w:hanging="318"/>
        <w:spacing w:after="0" w:line="248"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marketing applications for our drug candidates, including seeking marketing approval for avapritinib and pralsetinib for additional indications or in additional geographies;</w:t>
      </w:r>
    </w:p>
    <w:p>
      <w:pPr>
        <w:spacing w:after="0" w:line="181" w:lineRule="exact"/>
        <w:rPr>
          <w:rFonts w:ascii="Arial" w:cs="Arial" w:eastAsia="Arial" w:hAnsi="Arial"/>
          <w:sz w:val="18"/>
          <w:szCs w:val="18"/>
          <w:color w:val="auto"/>
        </w:rPr>
      </w:pPr>
    </w:p>
    <w:p>
      <w:pPr>
        <w:ind w:left="1340" w:right="259" w:hanging="318"/>
        <w:spacing w:after="0" w:line="248"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 and our license agreement with Clementia, as well as our ability to establish and maintain additional collaborations, partnerships or licenses on favorable terms, if at all;</w:t>
      </w:r>
    </w:p>
    <w:p>
      <w:pPr>
        <w:spacing w:after="0" w:line="181" w:lineRule="exact"/>
        <w:rPr>
          <w:rFonts w:ascii="Arial" w:cs="Arial" w:eastAsia="Arial" w:hAnsi="Arial"/>
          <w:sz w:val="18"/>
          <w:szCs w:val="18"/>
          <w:color w:val="auto"/>
        </w:rPr>
      </w:pPr>
    </w:p>
    <w:p>
      <w:pPr>
        <w:ind w:left="1340" w:right="139" w:hanging="318"/>
        <w:spacing w:after="0" w:line="248"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existing collaboration or license agreements, or any collaboration, partnership or license agreements that we may enter into in the future;</w:t>
      </w:r>
    </w:p>
    <w:p>
      <w:pPr>
        <w:spacing w:after="0" w:line="181" w:lineRule="exact"/>
        <w:rPr>
          <w:rFonts w:ascii="Arial" w:cs="Arial" w:eastAsia="Arial" w:hAnsi="Arial"/>
          <w:sz w:val="18"/>
          <w:szCs w:val="18"/>
          <w:color w:val="auto"/>
        </w:rPr>
      </w:pPr>
    </w:p>
    <w:p>
      <w:pPr>
        <w:ind w:left="1340" w:right="799" w:hanging="318"/>
        <w:spacing w:after="0" w:line="291" w:lineRule="auto"/>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research and development, clinical or other costs under future collaboration agreements, if any;</w:t>
      </w:r>
    </w:p>
    <w:p>
      <w:pPr>
        <w:spacing w:after="0" w:line="146" w:lineRule="exact"/>
        <w:rPr>
          <w:rFonts w:ascii="Arial" w:cs="Arial" w:eastAsia="Arial" w:hAnsi="Arial"/>
          <w:sz w:val="17"/>
          <w:szCs w:val="17"/>
          <w:color w:val="auto"/>
        </w:rPr>
      </w:pPr>
    </w:p>
    <w:p>
      <w:pPr>
        <w:ind w:left="1340" w:right="279" w:hanging="318"/>
        <w:spacing w:after="0" w:line="261"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approved drugs, drug candidates or technologies and the terms of any such arrangements;</w:t>
      </w:r>
    </w:p>
    <w:p>
      <w:pPr>
        <w:spacing w:after="0" w:line="170" w:lineRule="exact"/>
        <w:rPr>
          <w:rFonts w:ascii="Arial" w:cs="Arial" w:eastAsia="Arial" w:hAnsi="Arial"/>
          <w:sz w:val="18"/>
          <w:szCs w:val="18"/>
          <w:color w:val="auto"/>
        </w:rPr>
      </w:pPr>
    </w:p>
    <w:p>
      <w:pPr>
        <w:ind w:left="1340" w:right="719" w:hanging="318"/>
        <w:spacing w:after="0" w:line="261"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the development and commercialization of companion diagnostic tests;</w:t>
      </w:r>
    </w:p>
    <w:p>
      <w:pPr>
        <w:spacing w:after="0" w:line="170" w:lineRule="exact"/>
        <w:rPr>
          <w:rFonts w:ascii="Arial" w:cs="Arial" w:eastAsia="Arial" w:hAnsi="Arial"/>
          <w:sz w:val="18"/>
          <w:szCs w:val="18"/>
          <w:color w:val="auto"/>
        </w:rPr>
      </w:pPr>
    </w:p>
    <w:p>
      <w:pPr>
        <w:ind w:left="1340" w:right="779" w:hanging="318"/>
        <w:spacing w:after="0" w:line="291" w:lineRule="auto"/>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18"/>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continuing to expand our operations.</w:t>
      </w:r>
    </w:p>
    <w:p>
      <w:pPr>
        <w:spacing w:after="0" w:line="212" w:lineRule="exact"/>
        <w:rPr>
          <w:sz w:val="20"/>
          <w:szCs w:val="20"/>
          <w:color w:val="auto"/>
        </w:rPr>
      </w:pPr>
    </w:p>
    <w:p>
      <w:pPr>
        <w:ind w:left="60" w:right="159" w:firstLine="693"/>
        <w:spacing w:after="0" w:line="253" w:lineRule="auto"/>
        <w:rPr>
          <w:sz w:val="20"/>
          <w:szCs w:val="20"/>
          <w:color w:val="auto"/>
        </w:rPr>
      </w:pPr>
      <w:r>
        <w:rPr>
          <w:rFonts w:ascii="Arial" w:cs="Arial" w:eastAsia="Arial" w:hAnsi="Arial"/>
          <w:sz w:val="17"/>
          <w:szCs w:val="17"/>
          <w:color w:val="auto"/>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spacing w:after="0" w:line="180"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color w:val="auto"/>
        </w:rPr>
        <w:t>If we are unable to obtain funding on a timely basis or on attractive terms,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spacing w:after="0" w:line="155"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71" w:lineRule="exact"/>
        <w:rPr>
          <w:sz w:val="20"/>
          <w:szCs w:val="20"/>
          <w:color w:val="auto"/>
        </w:rPr>
      </w:pPr>
    </w:p>
    <w:p>
      <w:pPr>
        <w:ind w:left="60" w:right="219" w:firstLine="648"/>
        <w:spacing w:after="0" w:line="270"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and CStone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71"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6" w:lineRule="exact"/>
        <w:rPr>
          <w:sz w:val="20"/>
          <w:szCs w:val="20"/>
          <w:color w:val="auto"/>
        </w:rPr>
      </w:pPr>
    </w:p>
    <w:p>
      <w:pPr>
        <w:ind w:left="60" w:right="259"/>
        <w:spacing w:after="0" w:line="270" w:lineRule="auto"/>
        <w:rPr>
          <w:sz w:val="20"/>
          <w:szCs w:val="20"/>
          <w:color w:val="auto"/>
        </w:rPr>
      </w:pPr>
      <w:r>
        <w:rPr>
          <w:rFonts w:ascii="Arial" w:cs="Arial" w:eastAsia="Arial" w:hAnsi="Arial"/>
          <w:sz w:val="17"/>
          <w:szCs w:val="17"/>
          <w:b w:val="1"/>
          <w:bCs w:val="1"/>
          <w:i w:val="1"/>
          <w:iCs w:val="1"/>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64"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We have entered into collaborations and licenses with Roche, CStone and Clementia, for the development and commercialization of several of our drugs and drug candidates, and may enter into additional collaborations and licenses with other third parties in the future. The success of these arrangements will depend heavily on the efforts and activities of our collaborators and licensing partners. Collaborators generally have significant discretion in determining the efforts and resources that they will apply to these collaborations. In some situations, we may not be able to influence our collaboration partners’ decisions regarding the development and collaboration of our partnered drugs and drug candidates, and as a result, our collaboration partners may not pursue or prioritize the development and commercialization of those partnered drugs and drug candidates in a manner that is in our best interest.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or result in litigation or arbitration, which would be time-consuming and expensive.</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61" w:lineRule="auto"/>
        <w:rPr>
          <w:sz w:val="20"/>
          <w:szCs w:val="20"/>
          <w:color w:val="auto"/>
        </w:rPr>
      </w:pPr>
      <w:r>
        <w:rPr>
          <w:rFonts w:ascii="Arial" w:cs="Arial" w:eastAsia="Arial" w:hAnsi="Arial"/>
          <w:sz w:val="18"/>
          <w:szCs w:val="18"/>
          <w:color w:val="auto"/>
        </w:rPr>
        <w:t>Licensors generally have sole discretion in determining the efforts and resources that they will apply to the licensed products.</w:t>
      </w:r>
    </w:p>
    <w:p>
      <w:pPr>
        <w:spacing w:after="0" w:line="171" w:lineRule="exact"/>
        <w:rPr>
          <w:sz w:val="20"/>
          <w:szCs w:val="20"/>
          <w:color w:val="auto"/>
        </w:rPr>
      </w:pPr>
    </w:p>
    <w:p>
      <w:pPr>
        <w:ind w:left="60" w:right="99" w:firstLine="648"/>
        <w:spacing w:after="0"/>
        <w:rPr>
          <w:sz w:val="20"/>
          <w:szCs w:val="20"/>
          <w:color w:val="auto"/>
        </w:rPr>
      </w:pPr>
      <w:r>
        <w:rPr>
          <w:rFonts w:ascii="Arial" w:cs="Arial" w:eastAsia="Arial" w:hAnsi="Arial"/>
          <w:sz w:val="18"/>
          <w:szCs w:val="18"/>
          <w:color w:val="auto"/>
        </w:rPr>
        <w:t>Collaborations and licenses with pharmaceutical or biotechnology companies and other third parties often are terminated or allowed to expire by the other party. For example, in the fourth quarter of 2017, Alexion terminated our collaboration related to fibrodysplasia ossificans progressiva for convenience following a strategic review by Alexion of its research and development portfolio. Any termination or expiration of our collaboration or license agreements with Roche, CStone or Clementia, or of any future collaboration or license agreement, could adversely affect us financially or harm our business reputation.</w:t>
      </w:r>
    </w:p>
    <w:p>
      <w:pPr>
        <w:spacing w:after="0" w:line="189" w:lineRule="exact"/>
        <w:rPr>
          <w:sz w:val="20"/>
          <w:szCs w:val="20"/>
          <w:color w:val="auto"/>
        </w:rPr>
      </w:pPr>
    </w:p>
    <w:p>
      <w:pPr>
        <w:ind w:left="60" w:right="579"/>
        <w:spacing w:after="0" w:line="322" w:lineRule="auto"/>
        <w:rPr>
          <w:sz w:val="20"/>
          <w:szCs w:val="20"/>
          <w:color w:val="auto"/>
        </w:rPr>
      </w:pPr>
      <w:r>
        <w:rPr>
          <w:rFonts w:ascii="Arial" w:cs="Arial" w:eastAsia="Arial" w:hAnsi="Arial"/>
          <w:sz w:val="15"/>
          <w:szCs w:val="15"/>
          <w:b w:val="1"/>
          <w:bCs w:val="1"/>
          <w:i w:val="1"/>
          <w:iCs w:val="1"/>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81"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7"/>
          <w:szCs w:val="17"/>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8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Although we intend to design the clinical trials for our approved drugs and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5" w:lineRule="exact"/>
        <w:rPr>
          <w:sz w:val="20"/>
          <w:szCs w:val="20"/>
          <w:color w:val="auto"/>
        </w:rPr>
      </w:pPr>
    </w:p>
    <w:p>
      <w:pPr>
        <w:ind w:left="1340" w:hanging="318"/>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2" w:lineRule="auto"/>
        <w:rPr>
          <w:sz w:val="20"/>
          <w:szCs w:val="20"/>
          <w:color w:val="auto"/>
        </w:rPr>
      </w:pPr>
      <w:r>
        <w:rPr>
          <w:rFonts w:ascii="Arial" w:cs="Arial" w:eastAsia="Arial" w:hAnsi="Arial"/>
          <w:sz w:val="17"/>
          <w:szCs w:val="17"/>
          <w:color w:val="auto"/>
        </w:rPr>
        <w:t>Some of these factors may be beyond our control. For example, the performance of our CROs may also be delayed or disrupted by the ongoing COVID-19 pandemic, including due to travel or quarantine policies, availabilities of staff, exposure of CRO staff to COVID-19 or re-prioritization of CRO resources as a result of the pandemic.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6"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spacing w:after="0" w:line="168" w:lineRule="exact"/>
        <w:rPr>
          <w:sz w:val="20"/>
          <w:szCs w:val="20"/>
          <w:color w:val="auto"/>
        </w:rPr>
      </w:pPr>
    </w:p>
    <w:p>
      <w:pPr>
        <w:ind w:left="60" w:right="99"/>
        <w:spacing w:after="0" w:line="262" w:lineRule="auto"/>
        <w:rPr>
          <w:sz w:val="20"/>
          <w:szCs w:val="20"/>
          <w:color w:val="auto"/>
        </w:rPr>
      </w:pPr>
      <w:r>
        <w:rPr>
          <w:rFonts w:ascii="Arial" w:cs="Arial" w:eastAsia="Arial" w:hAnsi="Arial"/>
          <w:sz w:val="17"/>
          <w:szCs w:val="17"/>
          <w:b w:val="1"/>
          <w:bCs w:val="1"/>
          <w:i w:val="1"/>
          <w:iCs w:val="1"/>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72" w:lineRule="exact"/>
        <w:rPr>
          <w:sz w:val="20"/>
          <w:szCs w:val="20"/>
          <w:color w:val="auto"/>
        </w:rPr>
      </w:pPr>
    </w:p>
    <w:p>
      <w:pPr>
        <w:ind w:left="60" w:right="139" w:firstLine="648"/>
        <w:spacing w:after="0"/>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primarily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spacing w:after="0" w:line="189"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6"/>
          <w:szCs w:val="16"/>
          <w:color w:val="auto"/>
        </w:rPr>
        <w:t>The facilities used by our contract manufacturers to manufacture our drugs and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drugs and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drugs and drug candidates or is unable to conduct inspections necessary to approve these facilities due to delays or disruptions caused by the COVID-19 pandemic,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w:t>
      </w:r>
    </w:p>
    <w:p>
      <w:pPr>
        <w:spacing w:after="0" w:line="179" w:lineRule="exact"/>
        <w:rPr>
          <w:sz w:val="20"/>
          <w:szCs w:val="20"/>
          <w:color w:val="auto"/>
        </w:rPr>
      </w:pPr>
    </w:p>
    <w:p>
      <w:pPr>
        <w:ind w:left="60" w:right="79" w:firstLine="648"/>
        <w:spacing w:after="0" w:line="294" w:lineRule="auto"/>
        <w:rPr>
          <w:sz w:val="20"/>
          <w:szCs w:val="20"/>
          <w:color w:val="auto"/>
        </w:rPr>
      </w:pPr>
      <w:r>
        <w:rPr>
          <w:rFonts w:ascii="Arial" w:cs="Arial" w:eastAsia="Arial" w:hAnsi="Arial"/>
          <w:sz w:val="16"/>
          <w:szCs w:val="16"/>
          <w:color w:val="auto"/>
        </w:rPr>
        <w:t>Since March 2020 when foreign and domestic inspections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inspections and resumed inspections in China and India in early 2021. In April 2021, the FDA issued guidance for industry formally announcing plans to employ remote interactive evaluations, using risk management methods, to meet user fee commitments and goal dates. Should FDA determine that an inspection is necessary for approval and an inspection cannot be completed during the review cycle due to restrictions on travel, and the FDA does not determine a remote interactive evaluation to be appropriate, the agency has stated that it generally intends to issue a complete response letter. Further, if there is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w:t>
      </w:r>
    </w:p>
    <w:p>
      <w:pPr>
        <w:spacing w:after="0" w:line="180"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6"/>
          <w:szCs w:val="16"/>
          <w:color w:val="auto"/>
        </w:rPr>
        <w:t>We do not have long-term supply agreements with all of our contract manufacturers, and may purchase our required drug supply, including the API, drug product and drug substance used in our drugs and drug candidates, on a purchase order basis with certain contract manufacturers.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59" w:lineRule="exact"/>
        <w:rPr>
          <w:sz w:val="20"/>
          <w:szCs w:val="20"/>
          <w:color w:val="auto"/>
        </w:rPr>
      </w:pPr>
    </w:p>
    <w:p>
      <w:pPr>
        <w:ind w:left="1340" w:hanging="318"/>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11" w:lineRule="exact"/>
        <w:rPr>
          <w:rFonts w:ascii="Arial" w:cs="Arial" w:eastAsia="Arial" w:hAnsi="Arial"/>
          <w:sz w:val="18"/>
          <w:szCs w:val="18"/>
          <w:color w:val="auto"/>
        </w:rPr>
      </w:pPr>
    </w:p>
    <w:p>
      <w:pPr>
        <w:ind w:left="1340" w:right="159" w:hanging="318"/>
        <w:spacing w:after="0" w:line="261"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70" w:lineRule="exact"/>
        <w:rPr>
          <w:rFonts w:ascii="Arial" w:cs="Arial" w:eastAsia="Arial" w:hAnsi="Arial"/>
          <w:sz w:val="18"/>
          <w:szCs w:val="18"/>
          <w:color w:val="auto"/>
        </w:rPr>
      </w:pPr>
    </w:p>
    <w:p>
      <w:pPr>
        <w:ind w:left="1340" w:right="499" w:hanging="318"/>
        <w:spacing w:after="0" w:line="261"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71" w:lineRule="exact"/>
        <w:rPr>
          <w:sz w:val="20"/>
          <w:szCs w:val="20"/>
          <w:color w:val="auto"/>
        </w:rPr>
      </w:pPr>
    </w:p>
    <w:p>
      <w:pPr>
        <w:ind w:left="60" w:right="179" w:firstLine="648"/>
        <w:spacing w:after="0" w:line="238" w:lineRule="auto"/>
        <w:rPr>
          <w:sz w:val="20"/>
          <w:szCs w:val="20"/>
          <w:color w:val="auto"/>
        </w:rPr>
      </w:pPr>
      <w:r>
        <w:rPr>
          <w:rFonts w:ascii="Arial" w:cs="Arial" w:eastAsia="Arial" w:hAnsi="Arial"/>
          <w:sz w:val="18"/>
          <w:szCs w:val="18"/>
          <w:color w:val="auto"/>
        </w:rPr>
        <w:t>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CARES Act in response to the U.S. COVID-19 pandemic. Throughout the COVID-19 outbreak, there has been public concern over the availability and accessibility of critical medical products, and the CARES Act enhances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w:t>
      </w:r>
    </w:p>
    <w:p>
      <w:pPr>
        <w:spacing w:after="0" w:line="191" w:lineRule="exact"/>
        <w:rPr>
          <w:sz w:val="20"/>
          <w:szCs w:val="20"/>
          <w:color w:val="auto"/>
        </w:rPr>
      </w:pPr>
    </w:p>
    <w:p>
      <w:pPr>
        <w:ind w:left="60" w:right="259" w:firstLine="648"/>
        <w:spacing w:after="0" w:line="276"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all of our bulk drug substances. If our current contract manufacturers cannot perform as agreed, we may experience shortages that require reporting to the 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spacing w:after="0" w:line="161" w:lineRule="exact"/>
        <w:rPr>
          <w:sz w:val="20"/>
          <w:szCs w:val="20"/>
          <w:color w:val="auto"/>
        </w:rPr>
      </w:pPr>
    </w:p>
    <w:p>
      <w:pPr>
        <w:ind w:left="60" w:right="319" w:firstLine="648"/>
        <w:spacing w:after="0" w:line="243" w:lineRule="auto"/>
        <w:rPr>
          <w:sz w:val="20"/>
          <w:szCs w:val="20"/>
          <w:color w:val="auto"/>
        </w:rPr>
      </w:pPr>
      <w:r>
        <w:rPr>
          <w:rFonts w:ascii="Arial" w:cs="Arial" w:eastAsia="Arial" w:hAnsi="Arial"/>
          <w:sz w:val="18"/>
          <w:szCs w:val="18"/>
          <w:color w:val="auto"/>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spacing w:after="0" w:line="188" w:lineRule="exact"/>
        <w:rPr>
          <w:sz w:val="20"/>
          <w:szCs w:val="20"/>
          <w:color w:val="auto"/>
        </w:rPr>
      </w:pPr>
    </w:p>
    <w:p>
      <w:pPr>
        <w:ind w:left="60" w:right="379"/>
        <w:spacing w:after="0" w:line="248"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API, drug substance and drug product used in avapritinib and pralsetinib are our sole source of supply, and the loss of any of these suppliers could significantly harm our business.</w:t>
      </w:r>
    </w:p>
    <w:p>
      <w:pPr>
        <w:spacing w:after="0" w:line="182" w:lineRule="exact"/>
        <w:rPr>
          <w:sz w:val="20"/>
          <w:szCs w:val="20"/>
          <w:color w:val="auto"/>
        </w:rPr>
      </w:pPr>
    </w:p>
    <w:p>
      <w:pPr>
        <w:ind w:left="60" w:right="139" w:firstLine="648"/>
        <w:spacing w:after="0" w:line="294" w:lineRule="auto"/>
        <w:rPr>
          <w:sz w:val="20"/>
          <w:szCs w:val="20"/>
          <w:color w:val="auto"/>
        </w:rPr>
      </w:pPr>
      <w:r>
        <w:rPr>
          <w:rFonts w:ascii="Arial" w:cs="Arial" w:eastAsia="Arial" w:hAnsi="Arial"/>
          <w:sz w:val="16"/>
          <w:szCs w:val="16"/>
          <w:color w:val="auto"/>
        </w:rPr>
        <w:t>The API, drug substance and drug product used in our drug and drug candidates are supplied to us primarily from single-source suppliers. Our ability to successfully develop our drug candidates, supply our drug candidates for clinical trials and to ultimately supply our commercial drugs in quantities sufficient to meet the market demand, depends</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color w:val="auto"/>
        </w:rPr>
        <w:t>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and pralsetinib, if any of our suppliers ceases its operations for any reason or is unable or unwilling to supply API, drug product or drug substance in sufficient quantities or on the timelines necessary to meet our needs, including as a result of the COVID-19 pandemic, it could significantly and adversely affect our business, the supply of our drug candidates or approved drugs and our financial condition.</w:t>
      </w:r>
    </w:p>
    <w:p>
      <w:pPr>
        <w:spacing w:after="0" w:line="180"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6"/>
          <w:szCs w:val="16"/>
          <w:color w:val="auto"/>
        </w:rPr>
        <w:t>For all of our drug candidates, we may from time to time explore opportunities to identify and qualify additional manufacturers to provide such API, drug substance and drug product prior to submission of an NDA to the FDA and/or an MAA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2022. However, the COVID-19 pandemic could adversely impact our suppliers and result in delays or disruptions in our current or future supply chain.</w:t>
      </w:r>
    </w:p>
    <w:p>
      <w:pPr>
        <w:spacing w:after="0" w:line="171"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spacing w:after="0" w:line="194" w:lineRule="exact"/>
        <w:rPr>
          <w:sz w:val="20"/>
          <w:szCs w:val="20"/>
          <w:color w:val="auto"/>
        </w:rPr>
      </w:pPr>
    </w:p>
    <w:p>
      <w:pPr>
        <w:ind w:left="60" w:right="199"/>
        <w:spacing w:after="0" w:line="262" w:lineRule="auto"/>
        <w:rPr>
          <w:sz w:val="20"/>
          <w:szCs w:val="20"/>
          <w:color w:val="auto"/>
        </w:rPr>
      </w:pPr>
      <w:r>
        <w:rPr>
          <w:rFonts w:ascii="Arial" w:cs="Arial" w:eastAsia="Arial" w:hAnsi="Arial"/>
          <w:sz w:val="17"/>
          <w:szCs w:val="17"/>
          <w:b w:val="1"/>
          <w:bCs w:val="1"/>
          <w:i w:val="1"/>
          <w:iCs w:val="1"/>
          <w:color w:val="auto"/>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spacing w:after="0" w:line="172"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We have relied on certain third parties located in China to manufacture and supply certain raw materials used in our drugs and our drug candidates, and we expect to continue to use such third party manufacturers for such purposes. In addition, certain of our drug candidates are being evaluated at clinical trial sites in China under our collaboration with CStone and through CROs located in China. A natural disaster, epidemic or pandemic disease outbreaks, including the recent COVID-19 pandemic, trade war, political unrest or other events in China could disrupt the business or operations of CROs, collaborators, manufacturers or other third parties with whom we conduct business now or in the future. Any disruption in China that significantly impacts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6" w:lineRule="exact"/>
        <w:rPr>
          <w:sz w:val="20"/>
          <w:szCs w:val="20"/>
          <w:color w:val="auto"/>
        </w:rPr>
      </w:pPr>
    </w:p>
    <w:p>
      <w:pPr>
        <w:ind w:left="60" w:right="319"/>
        <w:spacing w:after="0" w:line="362" w:lineRule="auto"/>
        <w:rPr>
          <w:sz w:val="20"/>
          <w:szCs w:val="20"/>
          <w:color w:val="auto"/>
        </w:rPr>
      </w:pPr>
      <w:r>
        <w:rPr>
          <w:rFonts w:ascii="Arial" w:cs="Arial" w:eastAsia="Arial" w:hAnsi="Arial"/>
          <w:sz w:val="15"/>
          <w:szCs w:val="15"/>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019"/>
        <w:spacing w:after="0" w:line="261" w:lineRule="auto"/>
        <w:rPr>
          <w:sz w:val="20"/>
          <w:szCs w:val="20"/>
          <w:color w:val="auto"/>
        </w:rPr>
      </w:pPr>
      <w:r>
        <w:rPr>
          <w:rFonts w:ascii="Arial" w:cs="Arial" w:eastAsia="Arial" w:hAnsi="Arial"/>
          <w:sz w:val="18"/>
          <w:szCs w:val="18"/>
          <w:b w:val="1"/>
          <w:bCs w:val="1"/>
          <w:i w:val="1"/>
          <w:iCs w:val="1"/>
          <w:color w:val="auto"/>
        </w:rPr>
        <w:t>develop and commercialize technology and drugs similar or identical to ours, and our ability to successfully commercialize our technology and drugs may be impaired.</w:t>
      </w:r>
    </w:p>
    <w:p>
      <w:pPr>
        <w:spacing w:after="0" w:line="171"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in the U.S. and other countries for our drugs and drug candidates, including avapritinib and pralsetinib, and our core technologies, including our novel target discovery engine and our proprietary compound library and other know-how. We seek to protect our proprietary and intellectual property position by, among other methods, filing patent applications in the U.S. and abroad related to our proprietary compounds, technologies, inventions and improvements that are important to the development and implementation of our business. We also rely on copyright, trade secrets, know-how and continuing technological innovation to develop and maintain our proprietary and intellectual property position.</w:t>
      </w:r>
    </w:p>
    <w:p>
      <w:pPr>
        <w:spacing w:after="0" w:line="163"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We own patents and patent applications that relate to the composition of matter for avapritinib, pralsetinib, fisogatinib and BLU-263. We also own applications relating to composition of matter for KIT and PDGFRA inhibitors with multiple compound families, composition of matter for FGFR4 inhibitors with multiple compound families, and composition of matter for inhibitors of RET, including predicted RET resistance mutations, as well as methods of use for these novel compounds. The issued U.S. patent directed to avapritinib composition of matter has a statutory expiration date in 2034, the issued U.S. patent directed to pralsetinib composition of matter has a statutory expiration date in 2036, and the issued U.S. patent directed to fisogatinib composition of matter has a statutory expiration date in 2034. Patent term adjustment or patent term extension could result in a later expiration date for fisogatinib.</w:t>
      </w:r>
    </w:p>
    <w:p>
      <w:pPr>
        <w:spacing w:after="0" w:line="181"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As of April 15, 2021, we owned 11 issued U.S. patents, 15 issued foreign patents, including one European patent validated in 38 countries, three pending U.S. non-provisional patent applications, four pending U.S. provisional applications, five pending PCT international patent applications and 22 pending foreign patent applications directed to our KIT and PDGFRA program, including avapritinib and BLU-263. The patents that have issued or will issue covering our KIT and PDGFRA program will have a statutory expiration date between 2034 and 2042. Patent term adjustments or patent term extensions could result in later expiration dates.</w:t>
      </w:r>
    </w:p>
    <w:p>
      <w:pPr>
        <w:spacing w:after="0" w:line="230" w:lineRule="exact"/>
        <w:rPr>
          <w:sz w:val="20"/>
          <w:szCs w:val="20"/>
          <w:color w:val="auto"/>
        </w:rPr>
      </w:pPr>
    </w:p>
    <w:p>
      <w:pPr>
        <w:ind w:left="60" w:right="159" w:firstLine="648"/>
        <w:spacing w:after="0" w:line="241" w:lineRule="auto"/>
        <w:rPr>
          <w:sz w:val="20"/>
          <w:szCs w:val="20"/>
          <w:color w:val="auto"/>
        </w:rPr>
      </w:pPr>
      <w:r>
        <w:rPr>
          <w:rFonts w:ascii="Arial" w:cs="Arial" w:eastAsia="Arial" w:hAnsi="Arial"/>
          <w:sz w:val="18"/>
          <w:szCs w:val="18"/>
          <w:color w:val="auto"/>
        </w:rPr>
        <w:t>As of April 15, 2021, we owned seven issued U.S. patents, six pending U.S. non-provisional patent applications, five U.S. provisional patent applications, 55 pending foreign patent applications and five issued foreign patents directed to our RET program, including pralsetinib. The patents that have issued or will issue covering our RET program will have a statutory expiration date between 2036 and 2042. Patent term adjustments or patent term extensions could result in later expiration dates.</w:t>
      </w:r>
    </w:p>
    <w:p>
      <w:pPr>
        <w:spacing w:after="0" w:line="230" w:lineRule="exact"/>
        <w:rPr>
          <w:sz w:val="20"/>
          <w:szCs w:val="20"/>
          <w:color w:val="auto"/>
        </w:rPr>
      </w:pPr>
    </w:p>
    <w:p>
      <w:pPr>
        <w:jc w:val="both"/>
        <w:ind w:left="60" w:right="159" w:firstLine="648"/>
        <w:spacing w:after="0" w:line="241" w:lineRule="auto"/>
        <w:rPr>
          <w:sz w:val="20"/>
          <w:szCs w:val="20"/>
          <w:color w:val="auto"/>
        </w:rPr>
      </w:pPr>
      <w:r>
        <w:rPr>
          <w:rFonts w:ascii="Arial" w:cs="Arial" w:eastAsia="Arial" w:hAnsi="Arial"/>
          <w:sz w:val="18"/>
          <w:szCs w:val="18"/>
          <w:color w:val="auto"/>
        </w:rPr>
        <w:t>As of April 15, 2021, we owned nine issued U.S. patents, two pending U.S. non-provisional patent applications, one pending PCT international applications, 28 pending foreign patent applications and 27 issued foreign patents directed to our FGFR4 program, including fisogatinib. The patents that have issued or will issue covering our FGFR4 program will have a statutory expiration date between 2033 and 2040. Patent term adjustments or patent term extensions could result in later expiration dates.</w:t>
      </w:r>
    </w:p>
    <w:p>
      <w:pPr>
        <w:spacing w:after="0" w:line="189"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The intellectual property portfolio directed to our platform includes patent applications directed to novel gene fusions and the uses of these fusions for detecting and treating conditions implicated with these fusions. As of April 15, 2021, we owned eight issued U.S. patents, five pending U.S. non-provisional patent applications, four pending European Union patent applications and five issued European patents directed to this technology. Any U.S. or ex-U.S. patent issuing from the pending applications directed to this technology, if issued, will have statutory expiration dates ranging from 2034 to 2035.</w:t>
      </w:r>
    </w:p>
    <w:p>
      <w:pPr>
        <w:spacing w:after="0" w:line="189" w:lineRule="exact"/>
        <w:rPr>
          <w:sz w:val="20"/>
          <w:szCs w:val="20"/>
          <w:color w:val="auto"/>
        </w:rPr>
      </w:pPr>
    </w:p>
    <w:p>
      <w:pPr>
        <w:ind w:left="60" w:right="599" w:firstLine="648"/>
        <w:spacing w:after="0" w:line="291"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w:t>
      </w:r>
    </w:p>
    <w:p>
      <w:pPr>
        <w:spacing w:after="0" w:line="147" w:lineRule="exact"/>
        <w:rPr>
          <w:sz w:val="20"/>
          <w:szCs w:val="20"/>
          <w:color w:val="auto"/>
        </w:rPr>
      </w:pPr>
    </w:p>
    <w:p>
      <w:pPr>
        <w:ind w:left="60" w:right="159" w:firstLine="648"/>
        <w:spacing w:after="0" w:line="276" w:lineRule="auto"/>
        <w:rPr>
          <w:sz w:val="20"/>
          <w:szCs w:val="20"/>
          <w:color w:val="auto"/>
        </w:rPr>
      </w:pPr>
      <w:r>
        <w:rPr>
          <w:rFonts w:ascii="Arial" w:cs="Arial" w:eastAsia="Arial" w:hAnsi="Arial"/>
          <w:sz w:val="16"/>
          <w:szCs w:val="16"/>
          <w:color w:val="auto"/>
        </w:rPr>
        <w:t>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drugs and drug candidates, including generic versions of such drugs or drug candidates.</w:t>
      </w:r>
    </w:p>
    <w:p>
      <w:pPr>
        <w:spacing w:after="0" w:line="189"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381"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there may be circumstances, when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8"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75" w:lineRule="exact"/>
        <w:rPr>
          <w:sz w:val="20"/>
          <w:szCs w:val="20"/>
          <w:color w:val="auto"/>
        </w:rPr>
      </w:pPr>
    </w:p>
    <w:p>
      <w:pPr>
        <w:ind w:left="60" w:right="279" w:firstLine="648"/>
        <w:spacing w:after="0" w:line="284" w:lineRule="auto"/>
        <w:rPr>
          <w:sz w:val="20"/>
          <w:szCs w:val="20"/>
          <w:color w:val="auto"/>
        </w:rPr>
      </w:pPr>
      <w:r>
        <w:rPr>
          <w:rFonts w:ascii="Arial" w:cs="Arial" w:eastAsia="Arial" w:hAnsi="Arial"/>
          <w:sz w:val="16"/>
          <w:szCs w:val="16"/>
          <w:color w:val="auto"/>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8"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w:t>
      </w:r>
    </w:p>
    <w:p>
      <w:pPr>
        <w:spacing w:after="0" w:line="181"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spacing w:after="0" w:line="181" w:lineRule="exact"/>
        <w:rPr>
          <w:sz w:val="20"/>
          <w:szCs w:val="20"/>
          <w:color w:val="auto"/>
        </w:rPr>
      </w:pPr>
    </w:p>
    <w:p>
      <w:pPr>
        <w:ind w:left="60" w:right="699"/>
        <w:spacing w:after="0" w:line="362" w:lineRule="auto"/>
        <w:rPr>
          <w:sz w:val="20"/>
          <w:szCs w:val="20"/>
          <w:color w:val="auto"/>
        </w:rPr>
      </w:pPr>
      <w:r>
        <w:rPr>
          <w:rFonts w:ascii="Arial" w:cs="Arial" w:eastAsia="Arial" w:hAnsi="Arial"/>
          <w:sz w:val="15"/>
          <w:szCs w:val="15"/>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01"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379"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6"/>
          <w:szCs w:val="16"/>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spacing w:after="0" w:line="184" w:lineRule="exact"/>
        <w:rPr>
          <w:sz w:val="20"/>
          <w:szCs w:val="20"/>
          <w:color w:val="auto"/>
        </w:rPr>
      </w:pPr>
    </w:p>
    <w:p>
      <w:pPr>
        <w:ind w:left="60" w:right="79"/>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71"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6"/>
          <w:szCs w:val="16"/>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7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80" w:lineRule="exact"/>
        <w:rPr>
          <w:sz w:val="20"/>
          <w:szCs w:val="20"/>
          <w:color w:val="auto"/>
        </w:rPr>
      </w:pPr>
    </w:p>
    <w:p>
      <w:pPr>
        <w:ind w:left="60" w:right="539"/>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7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9" w:lineRule="exact"/>
        <w:rPr>
          <w:sz w:val="20"/>
          <w:szCs w:val="20"/>
          <w:color w:val="auto"/>
        </w:rPr>
      </w:pPr>
    </w:p>
    <w:p>
      <w:pPr>
        <w:ind w:left="60" w:right="259" w:firstLine="648"/>
        <w:spacing w:after="0" w:line="276"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0"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4"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212"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6"/>
          <w:szCs w:val="16"/>
          <w:color w:val="auto"/>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spacing w:after="0" w:line="172"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59"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b w:val="1"/>
          <w:bCs w:val="1"/>
          <w:i w:val="1"/>
          <w:iCs w:val="1"/>
          <w:color w:val="auto"/>
        </w:rPr>
        <w:t>Changes to the patent law in the U.S. and other jurisdictions could diminish the value of patents in general, thereby impairing our ability to protect our drugs and drug candidates.</w:t>
      </w:r>
    </w:p>
    <w:p>
      <w:pPr>
        <w:spacing w:after="0" w:line="171"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1" w:lineRule="auto"/>
        <w:rPr>
          <w:sz w:val="20"/>
          <w:szCs w:val="20"/>
          <w:color w:val="auto"/>
        </w:rPr>
      </w:pPr>
      <w:r>
        <w:rPr>
          <w:rFonts w:ascii="Arial" w:cs="Arial" w:eastAsia="Arial" w:hAnsi="Arial"/>
          <w:sz w:val="18"/>
          <w:szCs w:val="18"/>
          <w:color w:val="auto"/>
        </w:rPr>
        <w:t>and costs surrounding the prosecution of our patent applications and the enforcement or defense of our issued patents, all of which could harm our business, results of operations and financial condition.</w:t>
      </w:r>
    </w:p>
    <w:p>
      <w:pPr>
        <w:spacing w:after="0" w:line="171" w:lineRule="exact"/>
        <w:rPr>
          <w:sz w:val="20"/>
          <w:szCs w:val="20"/>
          <w:color w:val="auto"/>
        </w:rPr>
      </w:pPr>
    </w:p>
    <w:p>
      <w:pPr>
        <w:ind w:left="60" w:right="199" w:firstLine="648"/>
        <w:spacing w:after="0" w:line="274"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3" w:lineRule="exact"/>
        <w:rPr>
          <w:sz w:val="20"/>
          <w:szCs w:val="20"/>
          <w:color w:val="auto"/>
        </w:rPr>
      </w:pPr>
    </w:p>
    <w:p>
      <w:pPr>
        <w:ind w:left="60" w:right="719"/>
        <w:spacing w:after="0" w:line="26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71"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380"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1"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2"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2" w:lineRule="auto"/>
        <w:rPr>
          <w:sz w:val="20"/>
          <w:szCs w:val="20"/>
          <w:color w:val="auto"/>
        </w:rPr>
      </w:pPr>
      <w:r>
        <w:rPr>
          <w:rFonts w:ascii="Arial" w:cs="Arial" w:eastAsia="Arial" w:hAnsi="Arial"/>
          <w:sz w:val="17"/>
          <w:szCs w:val="17"/>
          <w:color w:val="auto"/>
        </w:rPr>
        <w:t>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including Employee Matters, Managing Growth and Others</w:t>
      </w:r>
    </w:p>
    <w:p>
      <w:pPr>
        <w:spacing w:after="0" w:line="216" w:lineRule="exact"/>
        <w:rPr>
          <w:sz w:val="20"/>
          <w:szCs w:val="20"/>
          <w:color w:val="auto"/>
        </w:rPr>
      </w:pPr>
    </w:p>
    <w:p>
      <w:pPr>
        <w:ind w:left="60" w:right="619"/>
        <w:spacing w:after="0" w:line="261" w:lineRule="auto"/>
        <w:rPr>
          <w:sz w:val="20"/>
          <w:szCs w:val="20"/>
          <w:color w:val="auto"/>
        </w:rPr>
      </w:pPr>
      <w:r>
        <w:rPr>
          <w:rFonts w:ascii="Arial" w:cs="Arial" w:eastAsia="Arial" w:hAnsi="Arial"/>
          <w:sz w:val="18"/>
          <w:szCs w:val="18"/>
          <w:b w:val="1"/>
          <w:bCs w:val="1"/>
          <w:i w:val="1"/>
          <w:iCs w:val="1"/>
          <w:color w:val="auto"/>
        </w:rPr>
        <w:t>Our business, results of operations and future growth prospects could be materially and adversely affected by the COVID-19 pandemic.</w:t>
      </w:r>
    </w:p>
    <w:p>
      <w:pPr>
        <w:spacing w:after="0" w:line="171"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Due to the continued evolution and uncertain global impacts of the COVID-19 pandemic and the identification of new variants of COVID-19, we cannot precisely determine or quantify the impact this pandemic will have on our business, operations and financial performance. The extent to which COVID-19 may impact our business, results of operations and future growth prospects will depend on a variety of factors and future developments, which are highly uncertain and cannot be predicted with confidence, including the duration, scope and severity of the pandemic, the duration and extent of travel restrictions and social distancing in the U.S. and other countries, business closures or business disruptions and the effectiveness of actions taken in the U.S. and other countries to contain and treat COVID-19.</w:t>
      </w:r>
    </w:p>
    <w:p>
      <w:pPr>
        <w:spacing w:after="0" w:line="163"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6"/>
          <w:szCs w:val="16"/>
          <w:color w:val="auto"/>
        </w:rPr>
        <w:t>For example, public health actions being undertaken globally in response to the COVID-19 pandemic, including quarantines, stay-at-home, executive and similar government orders and the prioritization of healthcare resources, could adversely impact our business, results of operations and future growth prospects. For ongoing and planned clinical trials, we anticipate and have experienced some temporary delays or disruptions due to the COVID-19 pandemic, including limited or reduced patient access to trial investigators, hospitals and trial sites, delayed initiation of new clinical trial sites and limited on-site personnel support at various trial sites, which could adversely impact our development plans, including the initiation of planned clinical trials, the rate of enrollment and our ability to conduct ongoing clinical trials. There may also be local orders affecting one or more trial sites, which may trigger mandated changes to our clinical trial protocols or temporary suspensions in the affected trial sites. In addition, quarantines, stay-at-home, executive and similar government orders, or the perception that such orders, shutdowns or other restrictions on the conduct of business operations have occurred and could continue to occur or be expanded in scope or duration, which could adversely impact:</w:t>
      </w:r>
    </w:p>
    <w:p>
      <w:pPr>
        <w:spacing w:after="0" w:line="167" w:lineRule="exact"/>
        <w:rPr>
          <w:sz w:val="20"/>
          <w:szCs w:val="20"/>
          <w:color w:val="auto"/>
        </w:rPr>
      </w:pPr>
    </w:p>
    <w:p>
      <w:pPr>
        <w:ind w:left="1340" w:hanging="318"/>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ongoing and planned clinical trials;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employees and business operations;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personnel at our third-party suppliers and other vendors in the U.S. and other countries;</w:t>
      </w:r>
    </w:p>
    <w:p>
      <w:pPr>
        <w:spacing w:after="0" w:line="211" w:lineRule="exact"/>
        <w:rPr>
          <w:rFonts w:ascii="Arial" w:cs="Arial" w:eastAsia="Arial" w:hAnsi="Arial"/>
          <w:sz w:val="18"/>
          <w:szCs w:val="18"/>
          <w:color w:val="auto"/>
        </w:rPr>
      </w:pPr>
    </w:p>
    <w:p>
      <w:pPr>
        <w:jc w:val="both"/>
        <w:ind w:left="1340" w:right="159" w:hanging="318"/>
        <w:spacing w:after="0" w:line="248" w:lineRule="auto"/>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cost or supply of materials, which may cause delays or disruptions to development plans for our drug candidates or clinical or commercial supply chains for our current or future approved drugs and drug candidates; and</w:t>
      </w:r>
    </w:p>
    <w:p>
      <w:pPr>
        <w:spacing w:after="0" w:line="181" w:lineRule="exact"/>
        <w:rPr>
          <w:rFonts w:ascii="Arial" w:cs="Arial" w:eastAsia="Arial" w:hAnsi="Arial"/>
          <w:sz w:val="18"/>
          <w:szCs w:val="18"/>
          <w:color w:val="auto"/>
        </w:rPr>
      </w:pPr>
    </w:p>
    <w:p>
      <w:pPr>
        <w:ind w:left="1340" w:right="159" w:hanging="318"/>
        <w:spacing w:after="0" w:line="291" w:lineRule="auto"/>
        <w:tabs>
          <w:tab w:leader="none" w:pos="1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sales and marketing activities related to AYVAKIT/AYVAKYT, GAVRETO and any drug candidates for which we may receive marketing approval in the U.S. or other geographies in the future.</w:t>
      </w:r>
    </w:p>
    <w:p>
      <w:pPr>
        <w:spacing w:after="0" w:line="147" w:lineRule="exact"/>
        <w:rPr>
          <w:sz w:val="20"/>
          <w:szCs w:val="20"/>
          <w:color w:val="auto"/>
        </w:rPr>
      </w:pPr>
    </w:p>
    <w:p>
      <w:pPr>
        <w:ind w:left="60" w:right="439" w:firstLine="648"/>
        <w:spacing w:after="0" w:line="324" w:lineRule="auto"/>
        <w:rPr>
          <w:sz w:val="20"/>
          <w:szCs w:val="20"/>
          <w:color w:val="auto"/>
        </w:rPr>
      </w:pPr>
      <w:r>
        <w:rPr>
          <w:rFonts w:ascii="Arial" w:cs="Arial" w:eastAsia="Arial" w:hAnsi="Arial"/>
          <w:sz w:val="16"/>
          <w:szCs w:val="16"/>
          <w:color w:val="auto"/>
        </w:rPr>
        <w:t>To the extent the COVID-19 pandemic adversely affects our business, results of operations and future growth prospects, it may also have the effect of heightening many of the other risks described in this “Risk Factors” section.</w:t>
      </w:r>
    </w:p>
    <w:p>
      <w:pPr>
        <w:spacing w:after="0" w:line="124" w:lineRule="exact"/>
        <w:rPr>
          <w:sz w:val="20"/>
          <w:szCs w:val="20"/>
          <w:color w:val="auto"/>
        </w:rPr>
      </w:pPr>
    </w:p>
    <w:p>
      <w:pPr>
        <w:ind w:left="60" w:right="839"/>
        <w:spacing w:after="0" w:line="261" w:lineRule="auto"/>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71"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6"/>
          <w:szCs w:val="16"/>
          <w:color w:val="auto"/>
        </w:rPr>
        <w:t>We are highly dependent on the research and development, clinical, business development, financial and legal expertise of our executive officers,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or D&amp;O insurance. We may not be able to maintain</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spacing w:after="0" w:line="243" w:lineRule="auto"/>
        <w:rPr>
          <w:sz w:val="20"/>
          <w:szCs w:val="20"/>
          <w:color w:val="auto"/>
        </w:rPr>
      </w:pPr>
      <w:r>
        <w:rPr>
          <w:rFonts w:ascii="Arial" w:cs="Arial" w:eastAsia="Arial" w:hAnsi="Arial"/>
          <w:sz w:val="18"/>
          <w:szCs w:val="18"/>
          <w:color w:val="auto"/>
        </w:rPr>
        <w:t>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spacing w:after="0" w:line="188"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67"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71"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6"/>
          <w:szCs w:val="16"/>
          <w:color w:val="auto"/>
        </w:rPr>
        <w:t>As of April 15, 2021, we had 451 full-time and part-time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75" w:lineRule="exact"/>
        <w:rPr>
          <w:sz w:val="20"/>
          <w:szCs w:val="20"/>
          <w:color w:val="auto"/>
        </w:rPr>
      </w:pPr>
    </w:p>
    <w:p>
      <w:pPr>
        <w:ind w:left="60" w:right="899"/>
        <w:spacing w:after="0" w:line="261"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71"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COVID-19 pandemic has caused extreme volatility and disruptions in the capital and credit markets.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89" w:lineRule="exact"/>
        <w:rPr>
          <w:sz w:val="20"/>
          <w:szCs w:val="20"/>
          <w:color w:val="auto"/>
        </w:rPr>
      </w:pPr>
    </w:p>
    <w:p>
      <w:pPr>
        <w:ind w:left="60" w:right="119" w:firstLine="648"/>
        <w:spacing w:after="0" w:line="284" w:lineRule="auto"/>
        <w:rPr>
          <w:sz w:val="20"/>
          <w:szCs w:val="20"/>
          <w:color w:val="auto"/>
        </w:rPr>
      </w:pPr>
      <w:r>
        <w:rPr>
          <w:rFonts w:ascii="Arial" w:cs="Arial" w:eastAsia="Arial" w:hAnsi="Arial"/>
          <w:sz w:val="16"/>
          <w:szCs w:val="16"/>
          <w:color w:val="auto"/>
        </w:rPr>
        <w:t>Political development can also lead to uncertainty to regulations and rules that may materially affect our business. For example, Brexit could result in the United Kingdom or the European Union significantly altering its regulations affecting the clearance or approval of our drug or drug candidates that are developed in the United Kingdom. Any new regulations could add time and expense to the conduct of our business, as well as the process by which our</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drug candidates receive regulatory approval in the United Kingdom, the European Union and elsewhere. In addition, the announcement of Brexit and the withdrawal of the United Kingdom from the European Union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effects of Brexit, among others, could adversely affect our business, our results of operations, liquidity and financial condition.</w:t>
      </w:r>
    </w:p>
    <w:p>
      <w:pPr>
        <w:spacing w:after="0" w:line="189" w:lineRule="exact"/>
        <w:rPr>
          <w:sz w:val="20"/>
          <w:szCs w:val="20"/>
          <w:color w:val="auto"/>
        </w:rPr>
      </w:pPr>
    </w:p>
    <w:p>
      <w:pPr>
        <w:ind w:left="60" w:right="219"/>
        <w:spacing w:after="0" w:line="362" w:lineRule="auto"/>
        <w:rPr>
          <w:sz w:val="20"/>
          <w:szCs w:val="20"/>
          <w:color w:val="auto"/>
        </w:rPr>
      </w:pPr>
      <w:r>
        <w:rPr>
          <w:rFonts w:ascii="Arial" w:cs="Arial" w:eastAsia="Arial" w:hAnsi="Arial"/>
          <w:sz w:val="15"/>
          <w:szCs w:val="15"/>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01"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b w:val="1"/>
          <w:bCs w:val="1"/>
          <w:i w:val="1"/>
          <w:iCs w:val="1"/>
          <w:color w:val="auto"/>
        </w:rPr>
        <w:t>Our internal computer systems, or those of our third-party collaborators, service providers, contractors or consultants, may fail or suffer security breaches, which could result in a material disruption of our drugs’ and drug candidates’ development programs and have a material adverse effect on our reputation, business, financial condition or results of operations.</w:t>
      </w:r>
    </w:p>
    <w:p>
      <w:pPr>
        <w:spacing w:after="0" w:line="188"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6"/>
          <w:szCs w:val="16"/>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177"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6"/>
          <w:szCs w:val="16"/>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362" w:lineRule="auto"/>
        <w:rPr>
          <w:sz w:val="20"/>
          <w:szCs w:val="20"/>
          <w:color w:val="auto"/>
        </w:rPr>
      </w:pPr>
      <w:r>
        <w:rPr>
          <w:rFonts w:ascii="Arial" w:cs="Arial" w:eastAsia="Arial" w:hAnsi="Arial"/>
          <w:sz w:val="15"/>
          <w:szCs w:val="15"/>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0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breached, and unauthorized access is obtained to our data or our information technology systems, we may incur significant legal and financial exposure and liabilities.</w:t>
      </w:r>
    </w:p>
    <w:p>
      <w:pPr>
        <w:spacing w:after="0" w:line="169" w:lineRule="exact"/>
        <w:rPr>
          <w:sz w:val="20"/>
          <w:szCs w:val="20"/>
          <w:color w:val="auto"/>
        </w:rPr>
      </w:pPr>
    </w:p>
    <w:p>
      <w:pPr>
        <w:ind w:left="60" w:right="79" w:firstLine="648"/>
        <w:spacing w:after="0" w:line="262" w:lineRule="auto"/>
        <w:rPr>
          <w:sz w:val="20"/>
          <w:szCs w:val="20"/>
          <w:color w:val="auto"/>
        </w:rPr>
      </w:pPr>
      <w:r>
        <w:rPr>
          <w:rFonts w:ascii="Arial" w:cs="Arial" w:eastAsia="Arial" w:hAnsi="Arial"/>
          <w:sz w:val="17"/>
          <w:szCs w:val="17"/>
          <w:color w:val="auto"/>
        </w:rPr>
        <w:t>We do not have control over the operations of the facilities of our cloud service providers and our third 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spacing w:after="0" w:line="172" w:lineRule="exact"/>
        <w:rPr>
          <w:sz w:val="20"/>
          <w:szCs w:val="20"/>
          <w:color w:val="auto"/>
        </w:rPr>
      </w:pPr>
    </w:p>
    <w:p>
      <w:pPr>
        <w:jc w:val="both"/>
        <w:ind w:left="60" w:right="319"/>
        <w:spacing w:after="0" w:line="294" w:lineRule="auto"/>
        <w:rPr>
          <w:sz w:val="20"/>
          <w:szCs w:val="20"/>
          <w:color w:val="auto"/>
        </w:rPr>
      </w:pPr>
      <w:r>
        <w:rPr>
          <w:rFonts w:ascii="Arial" w:cs="Arial" w:eastAsia="Arial" w:hAnsi="Arial"/>
          <w:sz w:val="16"/>
          <w:szCs w:val="16"/>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47" w:lineRule="exact"/>
        <w:rPr>
          <w:sz w:val="20"/>
          <w:szCs w:val="20"/>
          <w:color w:val="auto"/>
        </w:rPr>
      </w:pPr>
    </w:p>
    <w:p>
      <w:pPr>
        <w:ind w:left="60" w:right="79" w:firstLine="648"/>
        <w:spacing w:after="0" w:line="266" w:lineRule="auto"/>
        <w:rPr>
          <w:sz w:val="20"/>
          <w:szCs w:val="20"/>
          <w:color w:val="auto"/>
        </w:rPr>
      </w:pPr>
      <w:r>
        <w:rPr>
          <w:rFonts w:ascii="Arial" w:cs="Arial" w:eastAsia="Arial" w:hAnsi="Arial"/>
          <w:sz w:val="16"/>
          <w:szCs w:val="16"/>
          <w:color w:val="auto"/>
        </w:rPr>
        <w:t>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On May 25, 2018, the European General Data Protection Regulation 2016/679, which is commonly referred to as GDPR, took effect. The GDPR applies to any company established in the European Union as well as any company outside the European Union that collects or otherwise processes personal data in connection with the offering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The GDPR imposes additional obligations and risk upon our business and substantially increase the penalties to which we could be subject in the event of any non-compliance, including fines of up to €20 million or 4% of total worldwide annual turnover, whichever is higher. 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European Union. If enacted, we will be subject to the EU ePrivacy Regulation, which is a proposed regulation of privacy and electronic communications. In addition, we are subject to the California Consumer Privacy Act, or CCPA, which took effect on January 1, 2020 and imposes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became enforceable as of July 1, 2020, but there continues to be uncertainty about how the law will be interpreted and enforced. The GDPR and other changes in laws or regulations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324" w:lineRule="auto"/>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24"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70" w:lineRule="exact"/>
        <w:rPr>
          <w:sz w:val="20"/>
          <w:szCs w:val="20"/>
          <w:color w:val="auto"/>
        </w:rPr>
      </w:pPr>
    </w:p>
    <w:p>
      <w:pPr>
        <w:jc w:val="both"/>
        <w:ind w:left="60" w:right="119"/>
        <w:spacing w:after="0" w:line="270" w:lineRule="auto"/>
        <w:rPr>
          <w:sz w:val="20"/>
          <w:szCs w:val="20"/>
          <w:color w:val="auto"/>
        </w:rPr>
      </w:pPr>
      <w:r>
        <w:rPr>
          <w:rFonts w:ascii="Arial" w:cs="Arial" w:eastAsia="Arial" w:hAnsi="Arial"/>
          <w:sz w:val="17"/>
          <w:szCs w:val="17"/>
          <w:b w:val="1"/>
          <w:bCs w:val="1"/>
          <w:i w:val="1"/>
          <w:iCs w:val="1"/>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64"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6"/>
          <w:szCs w:val="16"/>
          <w:color w:val="auto"/>
        </w:rPr>
        <w:t>We may acquire or in-license additional businesses, technologies or platforms, approved drugs, drug candidates or discovery-stage programs, or form strategic alliances, collaborations or partnerships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46"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 For example, in December 2017, the U.S. enacted the Tax Cuts and Jobs Act of 2017, or TCJA. The TCJA significantly reformed the Internal Revenue Code of 1986, as amended, and among other things, included changes to U.S. federal tax rates, imposed significant additional limitations on the deductibility of interest and net operating loss carryforwards and allows for the expensing of capital expenditures. Our net deferred tax assets and liabilities were revalued as of December 31, 2017 at the newly enacted U.S. corporate rate, and the impact was recognized in our tax expense in the year of enactment but was offset by a corresponding reduction to the valuation allowance. Additionally, in March 2020, the U.S. enacted the CARES Act, which included certain changes in tax law intended to stimulate the U.S. economy in light of the COVID-19 pandemic, including delaying the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41" w:lineRule="auto"/>
        <w:rPr>
          <w:sz w:val="20"/>
          <w:szCs w:val="20"/>
          <w:color w:val="auto"/>
        </w:rPr>
      </w:pPr>
      <w:r>
        <w:rPr>
          <w:rFonts w:ascii="Arial" w:cs="Arial" w:eastAsia="Arial" w:hAnsi="Arial"/>
          <w:sz w:val="18"/>
          <w:szCs w:val="18"/>
          <w:color w:val="auto"/>
        </w:rPr>
        <w:t>effective date of the net operating loss restrictions imposed by the TJCA, temporarily relaxing (but not eliminating) the TJCA’s interest deductibility limitations, and making temporary beneficial changes to the payroll tax regime. We continue to examine the impact this tax reform legislation may have on our business. The impact of these and other future changes in tax laws is uncertain and could have an adverse effect on our business, cash flow, financial condition or results of operations.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w:t>
      </w:r>
    </w:p>
    <w:p>
      <w:pPr>
        <w:spacing w:after="0" w:line="212" w:lineRule="exact"/>
        <w:rPr>
          <w:sz w:val="20"/>
          <w:szCs w:val="20"/>
          <w:color w:val="auto"/>
        </w:rPr>
      </w:pPr>
    </w:p>
    <w:p>
      <w:pPr>
        <w:ind w:left="60" w:right="259" w:firstLine="648"/>
        <w:spacing w:after="0" w:line="243" w:lineRule="auto"/>
        <w:rPr>
          <w:sz w:val="20"/>
          <w:szCs w:val="20"/>
          <w:color w:val="auto"/>
        </w:rPr>
      </w:pPr>
      <w:r>
        <w:rPr>
          <w:rFonts w:ascii="Arial" w:cs="Arial" w:eastAsia="Arial" w:hAnsi="Arial"/>
          <w:sz w:val="18"/>
          <w:szCs w:val="18"/>
          <w:color w:val="auto"/>
        </w:rPr>
        <w:t>Our stock price has been and may in the future be subject to substantial volatility. For example, our stock traded within a range of a high price of $125.61 and a low price of $13.04 per share for the period beginning on April 30, 2015, our first day of trading on The Nasdaq Global Select Market, through April 28, 2021. As a result of this volatility, our stockholders could incur substantial losses.</w:t>
      </w:r>
    </w:p>
    <w:p>
      <w:pPr>
        <w:spacing w:after="0" w:line="188"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The stock market in general has recently experienced relatively large price and volume fluctuations, particularly in response to the COVID-19 outbreak.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p>
      <w:pPr>
        <w:spacing w:after="0" w:line="189" w:lineRule="exact"/>
        <w:rPr>
          <w:sz w:val="20"/>
          <w:szCs w:val="20"/>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commercialization of our drugs and drug candidates, if approved;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223" w:lineRule="exact"/>
        <w:rPr>
          <w:rFonts w:ascii="Arial" w:cs="Arial" w:eastAsia="Arial" w:hAnsi="Arial"/>
          <w:sz w:val="17"/>
          <w:szCs w:val="17"/>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drug candidates or drugs;</w:t>
      </w:r>
    </w:p>
    <w:p>
      <w:pPr>
        <w:spacing w:after="0" w:line="234" w:lineRule="exact"/>
        <w:rPr>
          <w:rFonts w:ascii="Arial" w:cs="Arial" w:eastAsia="Arial" w:hAnsi="Arial"/>
          <w:sz w:val="16"/>
          <w:szCs w:val="16"/>
          <w:color w:val="auto"/>
        </w:rPr>
      </w:pPr>
    </w:p>
    <w:p>
      <w:pPr>
        <w:ind w:left="1380" w:right="1179" w:hanging="331"/>
        <w:spacing w:after="0" w:line="261" w:lineRule="auto"/>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11" w:lineRule="exact"/>
        <w:rPr>
          <w:rFonts w:ascii="Arial" w:cs="Arial" w:eastAsia="Arial" w:hAnsi="Arial"/>
          <w:sz w:val="18"/>
          <w:szCs w:val="18"/>
          <w:color w:val="auto"/>
        </w:rPr>
      </w:pPr>
    </w:p>
    <w:p>
      <w:pPr>
        <w:ind w:left="1380" w:right="399" w:hanging="331"/>
        <w:spacing w:after="0" w:line="261" w:lineRule="auto"/>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natural disasters, epidemic or pandemic disease outbreaks, including the COVID-19 pandemic, trade wars, political unrest or other similar events;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3" w:lineRule="auto"/>
        <w:rPr>
          <w:sz w:val="20"/>
          <w:szCs w:val="20"/>
          <w:color w:val="auto"/>
        </w:rPr>
      </w:pPr>
      <w:r>
        <w:rPr>
          <w:rFonts w:ascii="Arial" w:cs="Arial" w:eastAsia="Arial" w:hAnsi="Arial"/>
          <w:sz w:val="17"/>
          <w:szCs w:val="17"/>
          <w:color w:val="auto"/>
        </w:rPr>
        <w:t>Future sales or issuances of common stock or other equity related securities may also adversely affect the market price of our common stock. For example, In July 2020, we entered into a sales agreement with Cowen through which we may, from time to time, issue and sell shares of our common stock having an aggregate offering price of up to $250.0 million, subject to the terms and conditions of the sales agreement. In the year ended December 31, 2020, we issued and sold 1,784,926 shares of our common stock under the sales agreement at an average price of $112.05 per share for net and gross proceeds of $194.7 million and $200.0 million, respectively. We did not sell any shares of common stock under the sales agreement in the three months ended March 31, 2021. If we seek authorization to sell additional shares of common stock under the sales agreement, enter into new “at the market” stock offering programs, or conduct a public offering or private offering through other means, it could lead to additional dilution for our stockholders and may impact our stock price adversely.</w:t>
      </w:r>
    </w:p>
    <w:p>
      <w:pPr>
        <w:spacing w:after="0" w:line="180" w:lineRule="exact"/>
        <w:rPr>
          <w:sz w:val="20"/>
          <w:szCs w:val="20"/>
          <w:color w:val="auto"/>
        </w:rPr>
      </w:pPr>
    </w:p>
    <w:p>
      <w:pPr>
        <w:ind w:left="60" w:right="259" w:firstLine="648"/>
        <w:spacing w:after="0" w:line="276"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2" w:lineRule="exact"/>
        <w:rPr>
          <w:sz w:val="20"/>
          <w:szCs w:val="20"/>
          <w:color w:val="auto"/>
        </w:rPr>
      </w:pPr>
    </w:p>
    <w:p>
      <w:pPr>
        <w:ind w:left="60" w:right="259"/>
        <w:spacing w:after="0" w:line="261" w:lineRule="auto"/>
        <w:rPr>
          <w:sz w:val="20"/>
          <w:szCs w:val="20"/>
          <w:color w:val="auto"/>
        </w:rPr>
      </w:pPr>
      <w:r>
        <w:rPr>
          <w:rFonts w:ascii="Arial" w:cs="Arial" w:eastAsia="Arial" w:hAnsi="Arial"/>
          <w:sz w:val="18"/>
          <w:szCs w:val="18"/>
          <w:b w:val="1"/>
          <w:bCs w:val="1"/>
          <w:i w:val="1"/>
          <w:iCs w:val="1"/>
          <w:color w:val="auto"/>
        </w:rPr>
        <w:t>If equity research analysts publish negative evaluations of or downgrade our common stock, the price of our common stock could decline.</w:t>
      </w:r>
    </w:p>
    <w:p>
      <w:pPr>
        <w:spacing w:after="0" w:line="171" w:lineRule="exact"/>
        <w:rPr>
          <w:sz w:val="20"/>
          <w:szCs w:val="20"/>
          <w:color w:val="auto"/>
        </w:rPr>
      </w:pPr>
    </w:p>
    <w:p>
      <w:pPr>
        <w:ind w:left="60" w:right="299" w:firstLine="648"/>
        <w:spacing w:after="0" w:line="241"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89" w:lineRule="exact"/>
        <w:rPr>
          <w:sz w:val="20"/>
          <w:szCs w:val="20"/>
          <w:color w:val="auto"/>
        </w:rPr>
      </w:pPr>
    </w:p>
    <w:p>
      <w:pPr>
        <w:ind w:left="60" w:right="279"/>
        <w:spacing w:after="0" w:line="291"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47"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3" w:lineRule="exact"/>
        <w:rPr>
          <w:sz w:val="20"/>
          <w:szCs w:val="20"/>
          <w:color w:val="auto"/>
        </w:rPr>
      </w:pPr>
    </w:p>
    <w:p>
      <w:pPr>
        <w:ind w:left="1380" w:hanging="331"/>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11" w:lineRule="exact"/>
        <w:rPr>
          <w:rFonts w:ascii="Arial" w:cs="Arial" w:eastAsia="Arial" w:hAnsi="Arial"/>
          <w:sz w:val="18"/>
          <w:szCs w:val="18"/>
          <w:color w:val="auto"/>
        </w:rPr>
      </w:pPr>
    </w:p>
    <w:p>
      <w:pPr>
        <w:ind w:left="1380" w:right="99" w:hanging="331"/>
        <w:spacing w:after="0" w:line="261" w:lineRule="auto"/>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discouraging a potential acquiror from making a tender offer or otherwise attempting to obtain control of us.</w:t>
      </w:r>
    </w:p>
    <w:p>
      <w:pPr>
        <w:spacing w:after="0" w:line="171" w:lineRule="exact"/>
        <w:rPr>
          <w:sz w:val="20"/>
          <w:szCs w:val="20"/>
          <w:color w:val="auto"/>
        </w:rPr>
      </w:pPr>
    </w:p>
    <w:p>
      <w:pPr>
        <w:ind w:left="60" w:right="119"/>
        <w:spacing w:after="0" w:line="24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82" w:lineRule="exact"/>
        <w:rPr>
          <w:sz w:val="20"/>
          <w:szCs w:val="20"/>
          <w:color w:val="auto"/>
        </w:rPr>
      </w:pPr>
    </w:p>
    <w:p>
      <w:pPr>
        <w:ind w:left="60" w:right="59" w:firstLine="648"/>
        <w:spacing w:after="0" w:line="276"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4"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211" w:lineRule="exact"/>
        <w:rPr>
          <w:sz w:val="20"/>
          <w:szCs w:val="20"/>
          <w:color w:val="auto"/>
        </w:rPr>
      </w:pPr>
    </w:p>
    <w:p>
      <w:pPr>
        <w:ind w:left="60" w:right="139" w:firstLine="648"/>
        <w:spacing w:after="0" w:line="252" w:lineRule="auto"/>
        <w:rPr>
          <w:sz w:val="20"/>
          <w:szCs w:val="20"/>
          <w:color w:val="auto"/>
        </w:rPr>
      </w:pPr>
      <w:r>
        <w:rPr>
          <w:rFonts w:ascii="Arial" w:cs="Arial" w:eastAsia="Arial" w:hAnsi="Arial"/>
          <w:sz w:val="17"/>
          <w:szCs w:val="17"/>
          <w:color w:val="auto"/>
        </w:rPr>
        <w:t>Our amended and restated bylaws, as amended, or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Securities Exchange Act of 1934 or the Securities Act of 1933, as amended, or the Securities Act. Our bylaws further provide that, unless we consent in writing to an alternative forum, the United States District Court for the District of Massachusetts will be the exclusive forum for resolving any complaint asserting a cause of action arising under the Securities Act, which we refer to as the federal forum provision. We have chosen the United States District Court for the District of Massachusetts as the exclusive forum for such Securities Act causes of action because our principal executive offices are located in Massachusetts. In addition, our bylaws provide that any person or entity purchasing or otherwise acquiring any interest in shares of our common stock is deemed to have notice of and consented to the Delaware forum provision and the federal forum provision.</w:t>
      </w:r>
    </w:p>
    <w:p>
      <w:pPr>
        <w:spacing w:after="0" w:line="221" w:lineRule="exact"/>
        <w:rPr>
          <w:sz w:val="20"/>
          <w:szCs w:val="20"/>
          <w:color w:val="auto"/>
        </w:rPr>
      </w:pPr>
    </w:p>
    <w:p>
      <w:pPr>
        <w:ind w:left="60" w:right="159" w:firstLine="648"/>
        <w:spacing w:after="0" w:line="268" w:lineRule="auto"/>
        <w:rPr>
          <w:sz w:val="20"/>
          <w:szCs w:val="20"/>
          <w:color w:val="auto"/>
        </w:rPr>
      </w:pPr>
      <w:r>
        <w:rPr>
          <w:rFonts w:ascii="Arial" w:cs="Arial" w:eastAsia="Arial" w:hAnsi="Arial"/>
          <w:sz w:val="16"/>
          <w:szCs w:val="16"/>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75" w:lineRule="exact"/>
        <w:rPr>
          <w:sz w:val="20"/>
          <w:szCs w:val="20"/>
          <w:color w:val="auto"/>
        </w:rPr>
      </w:pPr>
    </w:p>
    <w:p>
      <w:pPr>
        <w:ind w:left="60" w:right="399"/>
        <w:spacing w:after="0" w:line="261"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1"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362" w:lineRule="auto"/>
        <w:rPr>
          <w:sz w:val="20"/>
          <w:szCs w:val="20"/>
          <w:color w:val="auto"/>
        </w:rPr>
      </w:pPr>
      <w:r>
        <w:rPr>
          <w:rFonts w:ascii="Arial" w:cs="Arial" w:eastAsia="Arial" w:hAnsi="Arial"/>
          <w:sz w:val="15"/>
          <w:szCs w:val="15"/>
          <w:b w:val="1"/>
          <w:bCs w:val="1"/>
          <w:i w:val="1"/>
          <w:iCs w:val="1"/>
          <w:color w:val="auto"/>
        </w:rPr>
        <w:t>We have incurred and will continue to incur increased costs as a result of operating as a public company, and our management is required to devote substantial time to new compliance initiatives and corporate governance practices.</w:t>
      </w:r>
    </w:p>
    <w:p>
      <w:pPr>
        <w:spacing w:after="0" w:line="101" w:lineRule="exact"/>
        <w:rPr>
          <w:sz w:val="20"/>
          <w:szCs w:val="20"/>
          <w:color w:val="auto"/>
        </w:rPr>
      </w:pPr>
    </w:p>
    <w:p>
      <w:pPr>
        <w:ind w:left="60" w:right="59" w:firstLine="648"/>
        <w:spacing w:after="0" w:line="239" w:lineRule="auto"/>
        <w:rPr>
          <w:sz w:val="20"/>
          <w:szCs w:val="20"/>
          <w:color w:val="auto"/>
        </w:rPr>
      </w:pPr>
      <w:r>
        <w:rPr>
          <w:rFonts w:ascii="Arial" w:cs="Arial" w:eastAsia="Arial" w:hAnsi="Arial"/>
          <w:sz w:val="18"/>
          <w:szCs w:val="18"/>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spacing w:after="0" w:line="191"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81"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86" w:lineRule="exact"/>
        <w:rPr>
          <w:sz w:val="20"/>
          <w:szCs w:val="20"/>
          <w:color w:val="auto"/>
        </w:rPr>
      </w:pPr>
    </w:p>
    <w:p>
      <w:pPr>
        <w:ind w:left="60" w:right="879"/>
        <w:spacing w:after="0" w:line="291"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47"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23"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analyzed shifts in the stock ownership to determine if its net operating losses and tax credit carryforwards may be subject to limitation under Sections 382 and 383. Based on this analysis, we determined that it is more likely than not that an ownership change occurred on the following dates: March 24, 2011; April 5, 2011; November 10, 2014; and February 7, 2017. As a consequence of these ownership changes, our net operating loss carryforwards allocable for the period preceding each ownership change are subject to limitations under Section 382. In addition, pursuant to the TCJA (as modified by the CARES Act), we may not use net operating loss carry-forwards generated in taxable years beginning after December 31, 2017 to reduce our taxable income in any year beginning after December 31, 2020 by more than 80%, and we may not carry back any net operating losses generated in taxable years beginning after December 31, 2020 to prior years. These new rules apply regardless of the occurrence of an ownership change.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0" w:type="dxa"/>
            <w:vAlign w:val="bottom"/>
            <w:gridSpan w:val="8"/>
          </w:tcPr>
          <w:p>
            <w:pPr>
              <w:ind w:left="264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86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7800" w:type="dxa"/>
            <w:vAlign w:val="bottom"/>
            <w:tcBorders>
              <w:bottom w:val="single" w:sz="8" w:color="auto"/>
            </w:tcBorders>
            <w:gridSpan w:val="8"/>
          </w:tcPr>
          <w:p>
            <w:pPr>
              <w:ind w:left="3040"/>
              <w:spacing w:after="0"/>
              <w:rPr>
                <w:sz w:val="20"/>
                <w:szCs w:val="20"/>
                <w:color w:val="auto"/>
              </w:rPr>
            </w:pPr>
            <w:r>
              <w:rPr>
                <w:rFonts w:ascii="Arial" w:cs="Arial" w:eastAsia="Arial" w:hAnsi="Arial"/>
                <w:sz w:val="18"/>
                <w:szCs w:val="18"/>
                <w:b w:val="1"/>
                <w:bCs w:val="1"/>
                <w:color w:val="auto"/>
              </w:rPr>
              <w:t>Description of Exhibit</w:t>
            </w:r>
          </w:p>
        </w:tc>
      </w:tr>
      <w:tr>
        <w:trPr>
          <w:trHeight w:val="466"/>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7800" w:type="dxa"/>
            <w:vAlign w:val="bottom"/>
            <w:gridSpan w:val="8"/>
          </w:tcPr>
          <w:p>
            <w:pPr>
              <w:spacing w:after="0"/>
              <w:rPr>
                <w:rFonts w:ascii="Arial" w:cs="Arial" w:eastAsia="Arial" w:hAnsi="Arial"/>
                <w:sz w:val="18"/>
                <w:szCs w:val="18"/>
                <w:color w:val="0000EE"/>
                <w:w w:val="98"/>
              </w:rPr>
            </w:pPr>
            <w:hyperlink w:anchor="page90">
              <w:r>
                <w:rPr>
                  <w:rFonts w:ascii="Arial" w:cs="Arial" w:eastAsia="Arial" w:hAnsi="Arial"/>
                  <w:sz w:val="18"/>
                  <w:szCs w:val="18"/>
                  <w:color w:val="0000EE"/>
                  <w:w w:val="98"/>
                </w:rPr>
                <w:t>Second Amendment to Lease Agreement, dated April 6, 2021, by and between Blueprint Medicines</w:t>
              </w:r>
            </w:hyperlink>
          </w:p>
        </w:tc>
      </w:tr>
      <w:tr>
        <w:trPr>
          <w:trHeight w:val="183"/>
        </w:trPr>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90">
              <w:r>
                <w:rPr>
                  <w:rFonts w:ascii="Arial" w:cs="Arial" w:eastAsia="Arial" w:hAnsi="Arial"/>
                  <w:sz w:val="18"/>
                  <w:szCs w:val="18"/>
                  <w:color w:val="0000EE"/>
                </w:rPr>
                <w:t>Corporation and BRE-BMR 38 SIDNEY LLC</w:t>
              </w:r>
            </w:hyperlink>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7800" w:type="dxa"/>
            <w:vAlign w:val="bottom"/>
            <w:gridSpan w:val="8"/>
          </w:tcPr>
          <w:p>
            <w:pPr>
              <w:spacing w:after="0"/>
              <w:rPr>
                <w:rFonts w:ascii="Arial" w:cs="Arial" w:eastAsia="Arial" w:hAnsi="Arial"/>
                <w:sz w:val="18"/>
                <w:szCs w:val="18"/>
                <w:color w:val="0000EE"/>
                <w:w w:val="93"/>
              </w:rPr>
            </w:pPr>
            <w:hyperlink w:anchor="page103">
              <w:r>
                <w:rPr>
                  <w:rFonts w:ascii="Arial" w:cs="Arial" w:eastAsia="Arial" w:hAnsi="Arial"/>
                  <w:sz w:val="18"/>
                  <w:szCs w:val="18"/>
                  <w:color w:val="0000EE"/>
                  <w:w w:val="93"/>
                </w:rPr>
                <w:t>Certification of Principal Executive Officer pursuant to Rule 13a-14(a) or Rule 15d-14(a) of the Exchange</w:t>
              </w:r>
            </w:hyperlink>
          </w:p>
        </w:tc>
      </w:tr>
      <w:tr>
        <w:trPr>
          <w:trHeight w:val="183"/>
        </w:trPr>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6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103">
              <w:r>
                <w:rPr>
                  <w:rFonts w:ascii="Arial" w:cs="Arial" w:eastAsia="Arial" w:hAnsi="Arial"/>
                  <w:sz w:val="18"/>
                  <w:szCs w:val="18"/>
                  <w:color w:val="0000EE"/>
                </w:rPr>
                <w:t>Act, as adopted pursuant to Section 302 of the Sarbanes-Oxley Act of 2002</w:t>
              </w:r>
            </w:hyperlink>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800" w:type="dxa"/>
            <w:vAlign w:val="bottom"/>
            <w:gridSpan w:val="8"/>
          </w:tcPr>
          <w:p>
            <w:pPr>
              <w:spacing w:after="0"/>
              <w:rPr>
                <w:rFonts w:ascii="Arial" w:cs="Arial" w:eastAsia="Arial" w:hAnsi="Arial"/>
                <w:sz w:val="18"/>
                <w:szCs w:val="18"/>
                <w:color w:val="0000EE"/>
                <w:w w:val="94"/>
              </w:rPr>
            </w:pPr>
            <w:hyperlink w:anchor="page104">
              <w:r>
                <w:rPr>
                  <w:rFonts w:ascii="Arial" w:cs="Arial" w:eastAsia="Arial" w:hAnsi="Arial"/>
                  <w:sz w:val="18"/>
                  <w:szCs w:val="18"/>
                  <w:color w:val="0000EE"/>
                  <w:w w:val="94"/>
                </w:rPr>
                <w:t>Certification of Principal Financial Officer pursuant to Rule 13a-14(a) or Rule 15d-14(a) of the Exchange</w:t>
              </w:r>
            </w:hyperlink>
          </w:p>
        </w:tc>
      </w:tr>
      <w:tr>
        <w:trPr>
          <w:trHeight w:val="183"/>
        </w:trPr>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04">
              <w:r>
                <w:rPr>
                  <w:rFonts w:ascii="Arial" w:cs="Arial" w:eastAsia="Arial" w:hAnsi="Arial"/>
                  <w:sz w:val="18"/>
                  <w:szCs w:val="18"/>
                  <w:color w:val="0000EE"/>
                </w:rPr>
                <w:t>Act, as adopted pursuant to Section 302 of the Sarbanes-Oxley Act of 2002</w:t>
              </w:r>
            </w:hyperlink>
          </w:p>
        </w:tc>
        <w:tc>
          <w:tcPr>
            <w:tcW w:w="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68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05">
              <w:r>
                <w:rPr>
                  <w:rFonts w:ascii="Arial" w:cs="Arial" w:eastAsia="Arial" w:hAnsi="Arial"/>
                  <w:sz w:val="18"/>
                  <w:szCs w:val="18"/>
                  <w:color w:val="0000EE"/>
                  <w:w w:val="92"/>
                </w:rPr>
                <w:t>Certifications of Principal Executive Officer and Principal Financial Officer pursuant to 18 U.S.C. Section</w:t>
              </w:r>
            </w:hyperlink>
          </w:p>
        </w:tc>
        <w:tc>
          <w:tcPr>
            <w:tcW w:w="12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0" w:type="dxa"/>
            <w:vAlign w:val="bottom"/>
            <w:gridSpan w:val="8"/>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1350, as adopted pursuant to Section 906 of the Sarbanes-Oxley Act of 2002</w:t>
              </w:r>
            </w:hyperlink>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20" w:type="dxa"/>
            <w:vAlign w:val="bottom"/>
            <w:gridSpan w:val="3"/>
            <w:shd w:val="clear" w:color="auto" w:fill="0000EE"/>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7800" w:type="dxa"/>
            <w:vAlign w:val="bottom"/>
            <w:gridSpan w:val="8"/>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w:t>
            </w:r>
          </w:p>
        </w:tc>
      </w:tr>
      <w:tr>
        <w:trPr>
          <w:trHeight w:val="230"/>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0" w:type="dxa"/>
            <w:vAlign w:val="bottom"/>
            <w:gridSpan w:val="8"/>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780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78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78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11"/>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78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4"/>
                <w:szCs w:val="24"/>
                <w:color w:val="auto"/>
              </w:rPr>
            </w:pPr>
          </w:p>
        </w:tc>
        <w:tc>
          <w:tcPr>
            <w:tcW w:w="78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80" w:lineRule="exact"/>
        <w:rPr>
          <w:sz w:val="20"/>
          <w:szCs w:val="20"/>
          <w:color w:val="auto"/>
        </w:rPr>
      </w:pPr>
    </w:p>
    <w:p>
      <w:pPr>
        <w:ind w:left="1160" w:right="339" w:hanging="1104"/>
        <w:spacing w:after="0" w:line="277" w:lineRule="auto"/>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-198755</wp:posOffset>
            </wp:positionV>
            <wp:extent cx="14141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94" w:lineRule="exact"/>
        <w:rPr>
          <w:sz w:val="20"/>
          <w:szCs w:val="20"/>
          <w:color w:val="auto"/>
        </w:rPr>
      </w:pPr>
    </w:p>
    <w:p>
      <w:pPr>
        <w:ind w:left="300" w:right="119" w:hanging="250"/>
        <w:spacing w:after="0" w:line="262" w:lineRule="auto"/>
        <w:tabs>
          <w:tab w:leader="none" w:pos="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of 1933, as amended,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60" w:right="279" w:firstLine="441"/>
        <w:spacing w:after="0" w:line="29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BLUEPRINT MEDICINES CORPORATION</w:t>
      </w:r>
    </w:p>
    <w:p>
      <w:pPr>
        <w:spacing w:after="0" w:line="256" w:lineRule="exact"/>
        <w:rPr>
          <w:sz w:val="20"/>
          <w:szCs w:val="20"/>
          <w:color w:val="auto"/>
        </w:rPr>
      </w:pPr>
    </w:p>
    <w:p>
      <w:pPr>
        <w:ind w:left="60"/>
        <w:spacing w:after="0"/>
        <w:tabs>
          <w:tab w:leader="none" w:pos="4300" w:val="left"/>
          <w:tab w:leader="none" w:pos="4720" w:val="left"/>
        </w:tabs>
        <w:rPr>
          <w:sz w:val="20"/>
          <w:szCs w:val="20"/>
          <w:color w:val="auto"/>
        </w:rPr>
      </w:pPr>
      <w:r>
        <w:rPr>
          <w:rFonts w:ascii="Arial" w:cs="Arial" w:eastAsia="Arial" w:hAnsi="Arial"/>
          <w:sz w:val="18"/>
          <w:szCs w:val="18"/>
          <w:color w:val="auto"/>
        </w:rPr>
        <w:t>Date: April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6657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left="60"/>
        <w:spacing w:after="0"/>
        <w:tabs>
          <w:tab w:leader="none" w:pos="4300" w:val="left"/>
          <w:tab w:leader="none" w:pos="4720" w:val="left"/>
        </w:tabs>
        <w:rPr>
          <w:sz w:val="20"/>
          <w:szCs w:val="20"/>
          <w:color w:val="auto"/>
        </w:rPr>
      </w:pPr>
      <w:r>
        <w:rPr>
          <w:rFonts w:ascii="Arial" w:cs="Arial" w:eastAsia="Arial" w:hAnsi="Arial"/>
          <w:sz w:val="18"/>
          <w:szCs w:val="18"/>
          <w:color w:val="auto"/>
        </w:rPr>
        <w:t>Date: April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6657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Michael Landsittel</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jc w:val="right"/>
        <w:ind w:right="219"/>
        <w:spacing w:after="0"/>
        <w:rPr>
          <w:sz w:val="20"/>
          <w:szCs w:val="20"/>
          <w:color w:val="auto"/>
        </w:rPr>
      </w:pPr>
      <w:r>
        <w:rPr>
          <w:rFonts w:ascii="Arial" w:cs="Arial" w:eastAsia="Arial" w:hAnsi="Arial"/>
          <w:sz w:val="22"/>
          <w:szCs w:val="22"/>
          <w:color w:val="auto"/>
        </w:rPr>
        <w:t>Exhibit 10.1</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SECOND AMENDMENT TO LEASE</w:t>
      </w:r>
    </w:p>
    <w:p>
      <w:pPr>
        <w:spacing w:after="0" w:line="212" w:lineRule="exact"/>
        <w:rPr>
          <w:sz w:val="20"/>
          <w:szCs w:val="20"/>
          <w:color w:val="auto"/>
        </w:rPr>
      </w:pPr>
    </w:p>
    <w:p>
      <w:pPr>
        <w:jc w:val="right"/>
        <w:ind w:left="200" w:right="219"/>
        <w:spacing w:after="0" w:line="245" w:lineRule="auto"/>
        <w:rPr>
          <w:sz w:val="20"/>
          <w:szCs w:val="20"/>
          <w:color w:val="auto"/>
        </w:rPr>
      </w:pPr>
      <w:r>
        <w:rPr>
          <w:rFonts w:ascii="Arial" w:cs="Arial" w:eastAsia="Arial" w:hAnsi="Arial"/>
          <w:sz w:val="21"/>
          <w:szCs w:val="21"/>
          <w:color w:val="auto"/>
        </w:rPr>
        <w:t>THIS SECOND AMENDMENT TO LEASE (this “</w:t>
      </w:r>
      <w:r>
        <w:rPr>
          <w:rFonts w:ascii="Arial" w:cs="Arial" w:eastAsia="Arial" w:hAnsi="Arial"/>
          <w:sz w:val="21"/>
          <w:szCs w:val="21"/>
          <w:u w:val="single" w:color="auto"/>
          <w:color w:val="auto"/>
        </w:rPr>
        <w:t>Amendment</w:t>
      </w:r>
      <w:r>
        <w:rPr>
          <w:rFonts w:ascii="Arial" w:cs="Arial" w:eastAsia="Arial" w:hAnsi="Arial"/>
          <w:sz w:val="21"/>
          <w:szCs w:val="21"/>
          <w:color w:val="auto"/>
        </w:rPr>
        <w:t>”) is entered into as of this 6th day of April, 2021, by and between BRE-BMR 38 SIDNEY LLC, a Delaware limited liability company (“</w:t>
      </w:r>
      <w:r>
        <w:rPr>
          <w:rFonts w:ascii="Arial" w:cs="Arial" w:eastAsia="Arial" w:hAnsi="Arial"/>
          <w:sz w:val="21"/>
          <w:szCs w:val="21"/>
          <w:u w:val="single" w:color="auto"/>
          <w:color w:val="auto"/>
        </w:rPr>
        <w:t>Landlord</w:t>
      </w:r>
      <w:r>
        <w:rPr>
          <w:rFonts w:ascii="Arial" w:cs="Arial" w:eastAsia="Arial" w:hAnsi="Arial"/>
          <w:sz w:val="21"/>
          <w:szCs w:val="21"/>
          <w:color w:val="auto"/>
        </w:rPr>
        <w:t>”) (as successor in interest to Thirty-Eight Sidney Street LLC, which was successor-in-interest to Thirty-Eight Sidney Street Limited Partnership), and BLUEPRINT</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MEDICINES CORPORATION, a Delaware corporation (“</w:t>
      </w:r>
      <w:r>
        <w:rPr>
          <w:rFonts w:ascii="Arial" w:cs="Arial" w:eastAsia="Arial" w:hAnsi="Arial"/>
          <w:sz w:val="22"/>
          <w:szCs w:val="22"/>
          <w:u w:val="single" w:color="auto"/>
          <w:color w:val="auto"/>
        </w:rPr>
        <w:t>Tenant</w:t>
      </w:r>
      <w:r>
        <w:rPr>
          <w:rFonts w:ascii="Arial" w:cs="Arial" w:eastAsia="Arial" w:hAnsi="Arial"/>
          <w:sz w:val="22"/>
          <w:szCs w:val="22"/>
          <w:color w:val="auto"/>
        </w:rPr>
        <w:t>”).</w:t>
      </w:r>
    </w:p>
    <w:p>
      <w:pPr>
        <w:spacing w:after="0" w:line="182" w:lineRule="exact"/>
        <w:rPr>
          <w:sz w:val="20"/>
          <w:szCs w:val="20"/>
          <w:color w:val="auto"/>
        </w:rPr>
      </w:pPr>
    </w:p>
    <w:p>
      <w:pPr>
        <w:ind w:left="3960"/>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jc w:val="both"/>
        <w:ind w:left="200" w:right="219" w:firstLine="657"/>
        <w:spacing w:after="0" w:line="235" w:lineRule="auto"/>
        <w:tabs>
          <w:tab w:leader="none" w:pos="1496" w:val="left"/>
        </w:tabs>
        <w:numPr>
          <w:ilvl w:val="0"/>
          <w:numId w:val="45"/>
        </w:numPr>
        <w:rPr>
          <w:rFonts w:ascii="Arial" w:cs="Arial" w:eastAsia="Arial" w:hAnsi="Arial"/>
          <w:sz w:val="22"/>
          <w:szCs w:val="22"/>
          <w:color w:val="auto"/>
        </w:rPr>
      </w:pPr>
      <w:r>
        <w:rPr>
          <w:rFonts w:ascii="Arial" w:cs="Arial" w:eastAsia="Arial" w:hAnsi="Arial"/>
          <w:sz w:val="22"/>
          <w:szCs w:val="22"/>
          <w:color w:val="auto"/>
        </w:rPr>
        <w:t>WHEREAS, Landlord and Tenant are parties to that certain Lease dated as of February 12, 2015, as amended by that certain First Amendment to Lease dated as of January 26, 2018 (collectively, and as the same may have been further amended, amended and restated, supplemented or modified from time to time, the “</w:t>
      </w:r>
      <w:r>
        <w:rPr>
          <w:rFonts w:ascii="Arial" w:cs="Arial" w:eastAsia="Arial" w:hAnsi="Arial"/>
          <w:sz w:val="22"/>
          <w:szCs w:val="22"/>
          <w:u w:val="single" w:color="auto"/>
          <w:color w:val="auto"/>
        </w:rPr>
        <w:t>Existing Lease</w:t>
      </w:r>
      <w:r>
        <w:rPr>
          <w:rFonts w:ascii="Arial" w:cs="Arial" w:eastAsia="Arial" w:hAnsi="Arial"/>
          <w:sz w:val="22"/>
          <w:szCs w:val="22"/>
          <w:color w:val="auto"/>
        </w:rPr>
        <w:t>”), whereby Tenant leases certain premises (the “</w:t>
      </w:r>
      <w:r>
        <w:rPr>
          <w:rFonts w:ascii="Arial" w:cs="Arial" w:eastAsia="Arial" w:hAnsi="Arial"/>
          <w:sz w:val="22"/>
          <w:szCs w:val="22"/>
          <w:u w:val="single" w:color="auto"/>
          <w:color w:val="auto"/>
        </w:rPr>
        <w:t>Premises</w:t>
      </w:r>
      <w:r>
        <w:rPr>
          <w:rFonts w:ascii="Arial" w:cs="Arial" w:eastAsia="Arial" w:hAnsi="Arial"/>
          <w:sz w:val="22"/>
          <w:szCs w:val="22"/>
          <w:color w:val="auto"/>
        </w:rPr>
        <w:t>”) from Landlord at 38 Sidney Street, Cambridge, Massachusetts 02139 (the “</w:t>
      </w:r>
      <w:r>
        <w:rPr>
          <w:rFonts w:ascii="Arial" w:cs="Arial" w:eastAsia="Arial" w:hAnsi="Arial"/>
          <w:sz w:val="22"/>
          <w:szCs w:val="22"/>
          <w:u w:val="single" w:color="auto"/>
          <w:color w:val="auto"/>
        </w:rPr>
        <w:t>Building</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left="200" w:right="219" w:firstLine="657"/>
        <w:spacing w:after="0" w:line="250" w:lineRule="auto"/>
        <w:tabs>
          <w:tab w:leader="none" w:pos="1496" w:val="left"/>
        </w:tabs>
        <w:numPr>
          <w:ilvl w:val="0"/>
          <w:numId w:val="45"/>
        </w:numPr>
        <w:rPr>
          <w:rFonts w:ascii="Arial" w:cs="Arial" w:eastAsia="Arial" w:hAnsi="Arial"/>
          <w:sz w:val="22"/>
          <w:szCs w:val="22"/>
          <w:color w:val="auto"/>
        </w:rPr>
      </w:pPr>
      <w:r>
        <w:rPr>
          <w:rFonts w:ascii="Arial" w:cs="Arial" w:eastAsia="Arial" w:hAnsi="Arial"/>
          <w:sz w:val="22"/>
          <w:szCs w:val="22"/>
          <w:color w:val="auto"/>
        </w:rPr>
        <w:t>WHEREAS, Landlord and Tenant desire to make certain amendments to the Existing Lease; and</w:t>
      </w:r>
    </w:p>
    <w:p>
      <w:pPr>
        <w:spacing w:after="0" w:line="174" w:lineRule="exact"/>
        <w:rPr>
          <w:rFonts w:ascii="Arial" w:cs="Arial" w:eastAsia="Arial" w:hAnsi="Arial"/>
          <w:sz w:val="22"/>
          <w:szCs w:val="22"/>
          <w:color w:val="auto"/>
        </w:rPr>
      </w:pPr>
    </w:p>
    <w:p>
      <w:pPr>
        <w:ind w:left="200" w:right="219" w:firstLine="657"/>
        <w:spacing w:after="0" w:line="250" w:lineRule="auto"/>
        <w:tabs>
          <w:tab w:leader="none" w:pos="1496" w:val="left"/>
        </w:tabs>
        <w:numPr>
          <w:ilvl w:val="0"/>
          <w:numId w:val="45"/>
        </w:numPr>
        <w:rPr>
          <w:rFonts w:ascii="Arial" w:cs="Arial" w:eastAsia="Arial" w:hAnsi="Arial"/>
          <w:sz w:val="22"/>
          <w:szCs w:val="22"/>
          <w:color w:val="auto"/>
        </w:rPr>
      </w:pPr>
      <w:r>
        <w:rPr>
          <w:rFonts w:ascii="Arial" w:cs="Arial" w:eastAsia="Arial" w:hAnsi="Arial"/>
          <w:sz w:val="22"/>
          <w:szCs w:val="22"/>
          <w:color w:val="auto"/>
        </w:rPr>
        <w:t>WHEREAS, Landlord and Tenant desire to modify and amend the Existing Lease only in the respects and on the conditions hereinafter stated.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AGREEMENT</w:t>
      </w:r>
    </w:p>
    <w:p>
      <w:pPr>
        <w:spacing w:after="0" w:line="212"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69" w:lineRule="exact"/>
        <w:rPr>
          <w:sz w:val="20"/>
          <w:szCs w:val="20"/>
          <w:color w:val="auto"/>
        </w:rPr>
      </w:pPr>
    </w:p>
    <w:p>
      <w:pPr>
        <w:jc w:val="both"/>
        <w:ind w:left="200" w:right="219" w:firstLine="657"/>
        <w:spacing w:after="0" w:line="236" w:lineRule="auto"/>
        <w:tabs>
          <w:tab w:leader="none" w:pos="1496"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Amendment, capitalized terms shall have the meanings ascribed to them in the Existing Lease unless otherwise defined herein. The Existing Lease, as amended by this Amendment, is referred to collectively herein as the “</w:t>
      </w:r>
      <w:r>
        <w:rPr>
          <w:rFonts w:ascii="Arial" w:cs="Arial" w:eastAsia="Arial" w:hAnsi="Arial"/>
          <w:sz w:val="22"/>
          <w:szCs w:val="22"/>
          <w:u w:val="single" w:color="auto"/>
          <w:color w:val="auto"/>
        </w:rPr>
        <w:t>Lease</w:t>
      </w:r>
      <w:r>
        <w:rPr>
          <w:rFonts w:ascii="Arial" w:cs="Arial" w:eastAsia="Arial" w:hAnsi="Arial"/>
          <w:sz w:val="22"/>
          <w:szCs w:val="22"/>
          <w:color w:val="auto"/>
        </w:rPr>
        <w:t>.” From and after the date hereof, the term “Lease,” as used in the Existing Lease, shall mean the Existing Lease, as amended by this Amendment.</w:t>
      </w:r>
    </w:p>
    <w:p>
      <w:pPr>
        <w:spacing w:after="0" w:line="187" w:lineRule="exact"/>
        <w:rPr>
          <w:rFonts w:ascii="Arial" w:cs="Arial" w:eastAsia="Arial" w:hAnsi="Arial"/>
          <w:sz w:val="22"/>
          <w:szCs w:val="22"/>
          <w:color w:val="auto"/>
        </w:rPr>
      </w:pPr>
    </w:p>
    <w:p>
      <w:pPr>
        <w:jc w:val="both"/>
        <w:ind w:left="200" w:right="219" w:firstLine="657"/>
        <w:spacing w:after="0" w:line="238" w:lineRule="auto"/>
        <w:tabs>
          <w:tab w:leader="none" w:pos="1496"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Sublease Profits.</w:t>
      </w:r>
      <w:r>
        <w:rPr>
          <w:rFonts w:ascii="Arial" w:cs="Arial" w:eastAsia="Arial" w:hAnsi="Arial"/>
          <w:sz w:val="22"/>
          <w:szCs w:val="22"/>
          <w:color w:val="auto"/>
        </w:rPr>
        <w:t xml:space="preserve"> The fourth sentence of the fourth paragraph of </w:t>
      </w:r>
      <w:r>
        <w:rPr>
          <w:rFonts w:ascii="Arial" w:cs="Arial" w:eastAsia="Arial" w:hAnsi="Arial"/>
          <w:sz w:val="22"/>
          <w:szCs w:val="22"/>
          <w:u w:val="single" w:color="auto"/>
          <w:color w:val="auto"/>
        </w:rPr>
        <w:t>Section 6.8</w:t>
      </w:r>
      <w:r>
        <w:rPr>
          <w:rFonts w:ascii="Arial" w:cs="Arial" w:eastAsia="Arial" w:hAnsi="Arial"/>
          <w:sz w:val="22"/>
          <w:szCs w:val="22"/>
          <w:color w:val="auto"/>
        </w:rPr>
        <w:t xml:space="preserve"> of the Existing Lease is hereby amended by deleting the clause “fifty percent (50%) of any amounts the Tenant receives” and replacing it with the clause “one hundred percent (100%) of any amounts the Tenant receives.”</w:t>
      </w:r>
    </w:p>
    <w:p>
      <w:pPr>
        <w:spacing w:after="0" w:line="184" w:lineRule="exact"/>
        <w:rPr>
          <w:rFonts w:ascii="Arial" w:cs="Arial" w:eastAsia="Arial" w:hAnsi="Arial"/>
          <w:sz w:val="22"/>
          <w:szCs w:val="22"/>
          <w:color w:val="auto"/>
        </w:rPr>
      </w:pPr>
    </w:p>
    <w:p>
      <w:pPr>
        <w:ind w:left="1500" w:hanging="643"/>
        <w:spacing w:after="0"/>
        <w:tabs>
          <w:tab w:leader="none" w:pos="150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Extension Option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160" w:right="219" w:hanging="655"/>
        <w:spacing w:after="0" w:line="282" w:lineRule="auto"/>
        <w:tabs>
          <w:tab w:leader="none" w:pos="2160" w:val="left"/>
        </w:tabs>
        <w:numPr>
          <w:ilvl w:val="1"/>
          <w:numId w:val="46"/>
        </w:numPr>
        <w:rPr>
          <w:rFonts w:ascii="Arial" w:cs="Arial" w:eastAsia="Arial" w:hAnsi="Arial"/>
          <w:sz w:val="19"/>
          <w:szCs w:val="19"/>
          <w:color w:val="auto"/>
        </w:rPr>
      </w:pPr>
      <w:r>
        <w:rPr>
          <w:rFonts w:ascii="Arial" w:cs="Arial" w:eastAsia="Arial" w:hAnsi="Arial"/>
          <w:sz w:val="19"/>
          <w:szCs w:val="19"/>
          <w:color w:val="auto"/>
        </w:rPr>
        <w:t xml:space="preserve">The first sentence of the first paragraph of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of the Existing Lease is hereby deleted in its entirety and replaced with the following: “Provided that there has been no Event of Default which is uncured and continuing on the part of the Tenant, the Tenant shall have the right to extend the Term hereof for one (1) period of five (5) years (the “</w:t>
      </w:r>
      <w:r>
        <w:rPr>
          <w:rFonts w:ascii="Arial" w:cs="Arial" w:eastAsia="Arial" w:hAnsi="Arial"/>
          <w:sz w:val="19"/>
          <w:szCs w:val="19"/>
          <w:u w:val="single" w:color="auto"/>
          <w:color w:val="auto"/>
        </w:rPr>
        <w:t>Extension Term</w:t>
      </w:r>
      <w:r>
        <w:rPr>
          <w:rFonts w:ascii="Arial" w:cs="Arial" w:eastAsia="Arial" w:hAnsi="Arial"/>
          <w:sz w:val="19"/>
          <w:szCs w:val="19"/>
          <w:color w:val="auto"/>
        </w:rPr>
        <w:t>”)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313055</wp:posOffset>
            </wp:positionV>
            <wp:extent cx="545211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0" w:name="page91"/>
    <w:bookmarkEnd w:id="90"/>
    <w:p>
      <w:pPr>
        <w:ind w:left="2160"/>
        <w:spacing w:after="0"/>
        <w:rPr>
          <w:sz w:val="20"/>
          <w:szCs w:val="20"/>
          <w:color w:val="auto"/>
        </w:rPr>
      </w:pPr>
      <w:r>
        <w:rPr>
          <w:rFonts w:ascii="Arial" w:cs="Arial" w:eastAsia="Arial" w:hAnsi="Arial"/>
          <w:sz w:val="22"/>
          <w:szCs w:val="22"/>
          <w:color w:val="auto"/>
        </w:rPr>
        <w:t>following terms and conditions:”</w:t>
      </w:r>
    </w:p>
    <w:p>
      <w:pPr>
        <w:spacing w:after="0" w:line="234" w:lineRule="exact"/>
        <w:rPr>
          <w:sz w:val="20"/>
          <w:szCs w:val="20"/>
          <w:color w:val="auto"/>
        </w:rPr>
      </w:pPr>
    </w:p>
    <w:p>
      <w:pPr>
        <w:jc w:val="both"/>
        <w:ind w:left="2160" w:right="219" w:hanging="655"/>
        <w:spacing w:after="0"/>
        <w:tabs>
          <w:tab w:leader="none" w:pos="2160" w:val="left"/>
        </w:tabs>
        <w:numPr>
          <w:ilvl w:val="1"/>
          <w:numId w:val="47"/>
        </w:numPr>
        <w:rPr>
          <w:rFonts w:ascii="Arial" w:cs="Arial" w:eastAsia="Arial" w:hAnsi="Arial"/>
          <w:sz w:val="22"/>
          <w:szCs w:val="22"/>
          <w:color w:val="auto"/>
        </w:rPr>
      </w:pPr>
      <w:r>
        <w:rPr>
          <w:rFonts w:ascii="Arial" w:cs="Arial" w:eastAsia="Arial" w:hAnsi="Arial"/>
          <w:sz w:val="22"/>
          <w:szCs w:val="22"/>
          <w:color w:val="auto"/>
        </w:rPr>
        <w:t xml:space="preserve">The first sentence of clause (a) of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is hereby amended by deleting “at least twelve (12) months prior” and replacing it with “at least ten (10) months prior.”</w:t>
      </w:r>
    </w:p>
    <w:p>
      <w:pPr>
        <w:spacing w:after="0" w:line="213" w:lineRule="exact"/>
        <w:rPr>
          <w:rFonts w:ascii="Arial" w:cs="Arial" w:eastAsia="Arial" w:hAnsi="Arial"/>
          <w:sz w:val="22"/>
          <w:szCs w:val="22"/>
          <w:color w:val="auto"/>
        </w:rPr>
      </w:pPr>
    </w:p>
    <w:p>
      <w:pPr>
        <w:jc w:val="both"/>
        <w:ind w:left="200" w:right="219" w:firstLine="657"/>
        <w:spacing w:after="0"/>
        <w:tabs>
          <w:tab w:leader="none" w:pos="1496"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Tenant’s insurance requirements in the Existing Lease shall be amended by the requirements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In the event of any conflict, the provisions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shall govern.</w:t>
      </w:r>
    </w:p>
    <w:p>
      <w:pPr>
        <w:spacing w:after="0" w:line="186" w:lineRule="exact"/>
        <w:rPr>
          <w:rFonts w:ascii="Arial" w:cs="Arial" w:eastAsia="Arial" w:hAnsi="Arial"/>
          <w:sz w:val="22"/>
          <w:szCs w:val="22"/>
          <w:color w:val="auto"/>
        </w:rPr>
      </w:pPr>
    </w:p>
    <w:p>
      <w:pPr>
        <w:jc w:val="both"/>
        <w:ind w:left="200" w:right="219" w:firstLine="657"/>
        <w:spacing w:after="0" w:line="234" w:lineRule="auto"/>
        <w:tabs>
          <w:tab w:leader="none" w:pos="1496"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Broker</w:t>
      </w:r>
      <w:r>
        <w:rPr>
          <w:rFonts w:ascii="Arial" w:cs="Arial" w:eastAsia="Arial" w:hAnsi="Arial"/>
          <w:sz w:val="22"/>
          <w:szCs w:val="22"/>
          <w:color w:val="auto"/>
        </w:rPr>
        <w:t>. Tenant represents and warrants that it has not dealt with any broker or agent in the negotiation for or the obtaining of this Amendment, other than CBRE (“</w:t>
      </w:r>
      <w:r>
        <w:rPr>
          <w:rFonts w:ascii="Arial" w:cs="Arial" w:eastAsia="Arial" w:hAnsi="Arial"/>
          <w:sz w:val="22"/>
          <w:szCs w:val="22"/>
          <w:u w:val="single" w:color="auto"/>
          <w:color w:val="auto"/>
        </w:rPr>
        <w:t>Broker</w:t>
      </w:r>
      <w:r>
        <w:rPr>
          <w:rFonts w:ascii="Arial" w:cs="Arial" w:eastAsia="Arial" w:hAnsi="Arial"/>
          <w:sz w:val="22"/>
          <w:szCs w:val="22"/>
          <w:color w:val="auto"/>
        </w:rPr>
        <w:t>”), and agrees to reimburse, indemnify, save, defend (at Landlord’s option and with counsel reasonably acceptable to Landlord, at Tenant’s sole cost and expense) and hold harmless Landlord and its affiliates, employees, agents and contractors, and any lender, mortgagee, ground lessor or beneficiary, for, from and against any and all cost or liability for compensation claimed by any such broker or agent employed or engaged by it or claiming to have been employed or engaged by it.</w:t>
      </w:r>
    </w:p>
    <w:p>
      <w:pPr>
        <w:spacing w:after="0" w:line="186" w:lineRule="exact"/>
        <w:rPr>
          <w:rFonts w:ascii="Arial" w:cs="Arial" w:eastAsia="Arial" w:hAnsi="Arial"/>
          <w:sz w:val="22"/>
          <w:szCs w:val="22"/>
          <w:color w:val="auto"/>
        </w:rPr>
      </w:pPr>
    </w:p>
    <w:p>
      <w:pPr>
        <w:jc w:val="both"/>
        <w:ind w:left="200" w:right="219" w:firstLine="657"/>
        <w:spacing w:after="0" w:line="287" w:lineRule="auto"/>
        <w:tabs>
          <w:tab w:leader="none" w:pos="149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No Default</w:t>
      </w:r>
      <w:r>
        <w:rPr>
          <w:rFonts w:ascii="Arial" w:cs="Arial" w:eastAsia="Arial" w:hAnsi="Arial"/>
          <w:sz w:val="19"/>
          <w:szCs w:val="19"/>
          <w:color w:val="auto"/>
        </w:rPr>
        <w:t>. Tenant represents, warrants and covenants that, to the best of Tenant’s knowledge, Landlord and Tenant are not in default of any of their respective obligations under the Existing Lease and no event has occurred that, with the passage of time or the giving of notice (or both) would constitute a default by either Landlord or Tenant thereunder.</w:t>
      </w:r>
    </w:p>
    <w:p>
      <w:pPr>
        <w:spacing w:after="0" w:line="142" w:lineRule="exact"/>
        <w:rPr>
          <w:rFonts w:ascii="Arial" w:cs="Arial" w:eastAsia="Arial" w:hAnsi="Arial"/>
          <w:sz w:val="19"/>
          <w:szCs w:val="19"/>
          <w:color w:val="auto"/>
        </w:rPr>
      </w:pPr>
    </w:p>
    <w:p>
      <w:pPr>
        <w:jc w:val="both"/>
        <w:ind w:left="200" w:right="219" w:firstLine="657"/>
        <w:spacing w:after="0" w:line="270" w:lineRule="auto"/>
        <w:tabs>
          <w:tab w:leader="none" w:pos="149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Notwithstanding anything in the Lease to the contrary, any notice, consent, demand, invoice, statement or other communication required or permitted to be given under the Lease shall be in writing and shall be given by (a) personal delivery, (b) overnight delivery with a reputable international overnight delivery service, such as FedEx, or (c) email transmission, so long as such transmission is followed within one (1) business day by delivery utilizing one of the methods described in (a) or (b),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for purposes of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if delivery utilizing one of the other methods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is not reasonably practicable due to External Causes (as defined in the Existing Lease), then such requirement shall be waived for deliveries by email transmission so long as either the receiving party responds to the sending party confirming receipt of the applicable email transmission, or the sending party receives other electronic confirmation that the email transmission was received and read by the receiving party, such as a “read receipt” notice. Any such notice, consent, demand, invoice, statement or other communication shall be deemed delivered (x) upon receipt, if given in accordance with subsection (a); (y) one business (1) day after deposit with a reputable international overnight delivery service, if given if given in accordance with subsection (b); or (z) upon transmission, if given in accordance with subsection (c). Tenant confirms that, notwithstanding anything in the Lease to the contrary, notices delivered to Tenant pursuant to the Lease should be sent to:</w:t>
      </w:r>
    </w:p>
    <w:p>
      <w:pPr>
        <w:spacing w:after="0" w:line="168"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Blueprint Medicines Corporation</w:t>
      </w:r>
    </w:p>
    <w:p>
      <w:pPr>
        <w:ind w:left="2160"/>
        <w:spacing w:after="0" w:line="238" w:lineRule="auto"/>
        <w:rPr>
          <w:sz w:val="20"/>
          <w:szCs w:val="20"/>
          <w:color w:val="auto"/>
        </w:rPr>
      </w:pPr>
      <w:r>
        <w:rPr>
          <w:rFonts w:ascii="Arial" w:cs="Arial" w:eastAsia="Arial" w:hAnsi="Arial"/>
          <w:sz w:val="22"/>
          <w:szCs w:val="22"/>
          <w:color w:val="auto"/>
        </w:rPr>
        <w:t>45 Sidney Street</w:t>
      </w:r>
    </w:p>
    <w:p>
      <w:pPr>
        <w:ind w:left="2160"/>
        <w:spacing w:after="0" w:line="230" w:lineRule="auto"/>
        <w:rPr>
          <w:sz w:val="20"/>
          <w:szCs w:val="20"/>
          <w:color w:val="auto"/>
        </w:rPr>
      </w:pPr>
      <w:r>
        <w:rPr>
          <w:rFonts w:ascii="Arial" w:cs="Arial" w:eastAsia="Arial" w:hAnsi="Arial"/>
          <w:sz w:val="22"/>
          <w:szCs w:val="22"/>
          <w:color w:val="auto"/>
        </w:rPr>
        <w:t>Cambridge, MA 02139</w:t>
      </w:r>
    </w:p>
    <w:p>
      <w:pPr>
        <w:ind w:left="2160"/>
        <w:spacing w:after="0" w:line="231" w:lineRule="auto"/>
        <w:rPr>
          <w:sz w:val="20"/>
          <w:szCs w:val="20"/>
          <w:color w:val="auto"/>
        </w:rPr>
      </w:pPr>
      <w:r>
        <w:rPr>
          <w:rFonts w:ascii="Arial" w:cs="Arial" w:eastAsia="Arial" w:hAnsi="Arial"/>
          <w:sz w:val="22"/>
          <w:szCs w:val="22"/>
          <w:color w:val="auto"/>
        </w:rPr>
        <w:t>Attn: Legal Department</w:t>
      </w:r>
    </w:p>
    <w:p>
      <w:pPr>
        <w:ind w:left="2160"/>
        <w:spacing w:after="0"/>
        <w:rPr>
          <w:sz w:val="20"/>
          <w:szCs w:val="20"/>
          <w:color w:val="auto"/>
        </w:rPr>
      </w:pPr>
      <w:r>
        <w:rPr>
          <w:rFonts w:ascii="Arial" w:cs="Arial" w:eastAsia="Arial" w:hAnsi="Arial"/>
          <w:sz w:val="22"/>
          <w:szCs w:val="22"/>
          <w:color w:val="auto"/>
        </w:rPr>
        <w:t>Email: legal@blueprintmedicines.com</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1" w:name="page92"/>
    <w:bookmarkEnd w:id="91"/>
    <w:p>
      <w:pPr>
        <w:ind w:left="216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Blueprint Medicines Corporation</w:t>
      </w:r>
    </w:p>
    <w:p>
      <w:pPr>
        <w:ind w:left="2160"/>
        <w:spacing w:after="0" w:line="238" w:lineRule="auto"/>
        <w:rPr>
          <w:sz w:val="20"/>
          <w:szCs w:val="20"/>
          <w:color w:val="auto"/>
        </w:rPr>
      </w:pPr>
      <w:r>
        <w:rPr>
          <w:rFonts w:ascii="Arial" w:cs="Arial" w:eastAsia="Arial" w:hAnsi="Arial"/>
          <w:sz w:val="22"/>
          <w:szCs w:val="22"/>
          <w:color w:val="auto"/>
        </w:rPr>
        <w:t>45 Sidney Street</w:t>
      </w:r>
    </w:p>
    <w:p>
      <w:pPr>
        <w:ind w:left="2160"/>
        <w:spacing w:after="0" w:line="230" w:lineRule="auto"/>
        <w:rPr>
          <w:sz w:val="20"/>
          <w:szCs w:val="20"/>
          <w:color w:val="auto"/>
        </w:rPr>
      </w:pPr>
      <w:r>
        <w:rPr>
          <w:rFonts w:ascii="Arial" w:cs="Arial" w:eastAsia="Arial" w:hAnsi="Arial"/>
          <w:sz w:val="22"/>
          <w:szCs w:val="22"/>
          <w:color w:val="auto"/>
        </w:rPr>
        <w:t>Cambridge, MA 02139</w:t>
      </w:r>
    </w:p>
    <w:p>
      <w:pPr>
        <w:ind w:left="2160"/>
        <w:spacing w:after="0" w:line="231" w:lineRule="auto"/>
        <w:rPr>
          <w:sz w:val="20"/>
          <w:szCs w:val="20"/>
          <w:color w:val="auto"/>
        </w:rPr>
      </w:pPr>
      <w:r>
        <w:rPr>
          <w:rFonts w:ascii="Arial" w:cs="Arial" w:eastAsia="Arial" w:hAnsi="Arial"/>
          <w:sz w:val="22"/>
          <w:szCs w:val="22"/>
          <w:color w:val="auto"/>
        </w:rPr>
        <w:t>Attn: Michael Landsittel, Chief Financial Officer</w:t>
      </w:r>
    </w:p>
    <w:p>
      <w:pPr>
        <w:ind w:left="21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MLandsittel</w:t>
      </w:r>
      <w:r>
        <w:rPr>
          <w:rFonts w:ascii="Arial" w:cs="Arial" w:eastAsia="Arial" w:hAnsi="Arial"/>
          <w:sz w:val="22"/>
          <w:szCs w:val="22"/>
          <w:color w:val="auto"/>
        </w:rPr>
        <w:t>@blueprintmedicines.com</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Landlord confirms that, notwithstanding anything in the Lease to the contrary, notices delivered to</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Landlord pursuant to the Lease should be sent to:</w:t>
      </w:r>
    </w:p>
    <w:p>
      <w:pPr>
        <w:spacing w:after="0" w:line="188"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BRE-BMR 38 Sidney LLC</w:t>
      </w:r>
    </w:p>
    <w:p>
      <w:pPr>
        <w:ind w:left="2160"/>
        <w:spacing w:after="0" w:line="238" w:lineRule="auto"/>
        <w:rPr>
          <w:sz w:val="20"/>
          <w:szCs w:val="20"/>
          <w:color w:val="auto"/>
        </w:rPr>
      </w:pPr>
      <w:r>
        <w:rPr>
          <w:rFonts w:ascii="Arial" w:cs="Arial" w:eastAsia="Arial" w:hAnsi="Arial"/>
          <w:sz w:val="22"/>
          <w:szCs w:val="22"/>
          <w:color w:val="auto"/>
        </w:rPr>
        <w:t>4570 Executive Drive, Suite 400</w:t>
      </w:r>
    </w:p>
    <w:p>
      <w:pPr>
        <w:ind w:left="2160"/>
        <w:spacing w:after="0" w:line="230" w:lineRule="auto"/>
        <w:rPr>
          <w:sz w:val="20"/>
          <w:szCs w:val="20"/>
          <w:color w:val="auto"/>
        </w:rPr>
      </w:pPr>
      <w:r>
        <w:rPr>
          <w:rFonts w:ascii="Arial" w:cs="Arial" w:eastAsia="Arial" w:hAnsi="Arial"/>
          <w:sz w:val="22"/>
          <w:szCs w:val="22"/>
          <w:color w:val="auto"/>
        </w:rPr>
        <w:t>San Diego, CA 92121</w:t>
      </w:r>
    </w:p>
    <w:p>
      <w:pPr>
        <w:ind w:left="2160"/>
        <w:spacing w:after="0" w:line="231" w:lineRule="auto"/>
        <w:rPr>
          <w:sz w:val="20"/>
          <w:szCs w:val="20"/>
          <w:color w:val="auto"/>
        </w:rPr>
      </w:pPr>
      <w:r>
        <w:rPr>
          <w:rFonts w:ascii="Arial" w:cs="Arial" w:eastAsia="Arial" w:hAnsi="Arial"/>
          <w:sz w:val="22"/>
          <w:szCs w:val="22"/>
          <w:color w:val="auto"/>
        </w:rPr>
        <w:t>Attn: Legal Review</w:t>
      </w:r>
    </w:p>
    <w:p>
      <w:pPr>
        <w:ind w:left="2160"/>
        <w:spacing w:after="0"/>
        <w:rPr>
          <w:sz w:val="20"/>
          <w:szCs w:val="20"/>
          <w:color w:val="auto"/>
        </w:rPr>
      </w:pPr>
      <w:r>
        <w:rPr>
          <w:rFonts w:ascii="Arial" w:cs="Arial" w:eastAsia="Arial" w:hAnsi="Arial"/>
          <w:sz w:val="22"/>
          <w:szCs w:val="22"/>
          <w:color w:val="auto"/>
        </w:rPr>
        <w:t>Email: legalreview@biomedrealty.com</w:t>
      </w:r>
    </w:p>
    <w:p>
      <w:pPr>
        <w:spacing w:after="0" w:line="215" w:lineRule="exact"/>
        <w:rPr>
          <w:sz w:val="20"/>
          <w:szCs w:val="20"/>
          <w:color w:val="auto"/>
        </w:rPr>
      </w:pPr>
    </w:p>
    <w:p>
      <w:pPr>
        <w:jc w:val="both"/>
        <w:ind w:left="200" w:right="219" w:firstLine="657"/>
        <w:spacing w:after="0" w:line="249" w:lineRule="auto"/>
        <w:tabs>
          <w:tab w:leader="none" w:pos="1496"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Effect of Amendment</w:t>
      </w:r>
      <w:r>
        <w:rPr>
          <w:rFonts w:ascii="Arial" w:cs="Arial" w:eastAsia="Arial" w:hAnsi="Arial"/>
          <w:sz w:val="21"/>
          <w:szCs w:val="21"/>
          <w:color w:val="auto"/>
        </w:rPr>
        <w:t>. Except as modified by this Amendment, the Existing Lease and all the covenants, agreements, terms, provisions and conditions thereof shall remain in full force and effect and are hereby ratified and affirmed. In the event of any conflict between the terms contained in this Amendment and the Existing Lease, the terms herein contained shall supersede and control the obligations and liabilities of the parties.</w:t>
      </w:r>
    </w:p>
    <w:p>
      <w:pPr>
        <w:spacing w:after="0" w:line="178" w:lineRule="exact"/>
        <w:rPr>
          <w:rFonts w:ascii="Arial" w:cs="Arial" w:eastAsia="Arial" w:hAnsi="Arial"/>
          <w:sz w:val="21"/>
          <w:szCs w:val="21"/>
          <w:color w:val="auto"/>
        </w:rPr>
      </w:pPr>
    </w:p>
    <w:p>
      <w:pPr>
        <w:jc w:val="both"/>
        <w:ind w:left="200" w:right="219" w:firstLine="657"/>
        <w:spacing w:after="0" w:line="282" w:lineRule="auto"/>
        <w:tabs>
          <w:tab w:leader="none" w:pos="149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Each of the covenants, conditions and agreements contained in this Amendment shall inure to the benefit of and shall apply to and be binding upon the parties hereto and their respective heirs, legatees, devisees, executors, administrators and permitted successors and assigns and sublessees. Nothing in this section shall in any way alter the provisions of the Lease restricting assignment or subletting.</w:t>
      </w:r>
    </w:p>
    <w:p>
      <w:pPr>
        <w:spacing w:after="0" w:line="147" w:lineRule="exact"/>
        <w:rPr>
          <w:rFonts w:ascii="Arial" w:cs="Arial" w:eastAsia="Arial" w:hAnsi="Arial"/>
          <w:sz w:val="19"/>
          <w:szCs w:val="19"/>
          <w:color w:val="auto"/>
        </w:rPr>
      </w:pPr>
    </w:p>
    <w:p>
      <w:pPr>
        <w:jc w:val="both"/>
        <w:ind w:left="200" w:right="219" w:firstLine="657"/>
        <w:spacing w:after="0" w:line="277" w:lineRule="auto"/>
        <w:tabs>
          <w:tab w:leader="none" w:pos="149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This Amendment becomes effective only upon execution and delivery hereof by Landlord and Tenant. The captions of the paragraphs and subparagraphs in this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51" w:lineRule="exact"/>
        <w:rPr>
          <w:rFonts w:ascii="Arial" w:cs="Arial" w:eastAsia="Arial" w:hAnsi="Arial"/>
          <w:sz w:val="19"/>
          <w:szCs w:val="19"/>
          <w:color w:val="auto"/>
        </w:rPr>
      </w:pPr>
    </w:p>
    <w:p>
      <w:pPr>
        <w:jc w:val="both"/>
        <w:ind w:left="200" w:right="219" w:firstLine="657"/>
        <w:spacing w:after="0" w:line="236" w:lineRule="auto"/>
        <w:tabs>
          <w:tab w:leader="none" w:pos="1496"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Tenant guarantees, warrants and represents that the individual or individuals signing this Amendment have the power, authority and legal capacity to sign this Amendment on behalf of and to bind all entities, corporations, partnerships, limited liability companies, joint venturers or other organizations and entities on whose behalf such individual or individuals have signed.</w:t>
      </w:r>
    </w:p>
    <w:p>
      <w:pPr>
        <w:spacing w:after="0" w:line="187" w:lineRule="exact"/>
        <w:rPr>
          <w:rFonts w:ascii="Arial" w:cs="Arial" w:eastAsia="Arial" w:hAnsi="Arial"/>
          <w:sz w:val="22"/>
          <w:szCs w:val="22"/>
          <w:color w:val="auto"/>
        </w:rPr>
      </w:pPr>
    </w:p>
    <w:p>
      <w:pPr>
        <w:ind w:left="200" w:right="239" w:firstLine="657"/>
        <w:spacing w:after="0" w:line="328" w:lineRule="auto"/>
        <w:tabs>
          <w:tab w:leader="none" w:pos="149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Counterparts; Facsimile and PDF Signatures</w:t>
      </w:r>
      <w:r>
        <w:rPr>
          <w:rFonts w:ascii="Arial" w:cs="Arial" w:eastAsia="Arial" w:hAnsi="Arial"/>
          <w:sz w:val="19"/>
          <w:szCs w:val="19"/>
          <w:color w:val="auto"/>
        </w:rPr>
        <w:t>. This Amendment may be executed in one or more counterparts, each of which, when taken together, shall constitute one and the same</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92" w:name="page93"/>
    <w:bookmarkEnd w:id="92"/>
    <w:p>
      <w:pPr>
        <w:ind w:left="200" w:right="219"/>
        <w:spacing w:after="0" w:line="251" w:lineRule="auto"/>
        <w:rPr>
          <w:sz w:val="20"/>
          <w:szCs w:val="20"/>
          <w:color w:val="auto"/>
        </w:rPr>
      </w:pPr>
      <w:r>
        <w:rPr>
          <w:rFonts w:ascii="Arial" w:cs="Arial" w:eastAsia="Arial" w:hAnsi="Arial"/>
          <w:sz w:val="22"/>
          <w:szCs w:val="22"/>
          <w:color w:val="auto"/>
        </w:rPr>
        <w:t>document. A facsimile or portable document format (PDF) signature on this Amendment shall be equivalent to, and have the same force and effect as, an original signature.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3" w:name="page94"/>
    <w:bookmarkEnd w:id="93"/>
    <w:p>
      <w:pPr>
        <w:ind w:left="100" w:right="119" w:firstLine="648"/>
        <w:spacing w:after="0" w:line="250" w:lineRule="auto"/>
        <w:rPr>
          <w:sz w:val="20"/>
          <w:szCs w:val="20"/>
          <w:color w:val="auto"/>
        </w:rPr>
      </w:pPr>
      <w:r>
        <w:rPr>
          <w:rFonts w:ascii="Arial" w:cs="Arial" w:eastAsia="Arial" w:hAnsi="Arial"/>
          <w:sz w:val="22"/>
          <w:szCs w:val="22"/>
          <w:color w:val="auto"/>
        </w:rPr>
        <w:t>IN WITNESS WHEREOF, Landlord and Tenant have executed this Amendment as a sealed Massachusetts instrument as of the date and year first above written.</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22"/>
          <w:szCs w:val="22"/>
          <w:b w:val="1"/>
          <w:bCs w:val="1"/>
          <w:u w:val="single" w:color="auto"/>
          <w:color w:val="auto"/>
        </w:rPr>
        <w:t>LANDLORD</w:t>
      </w:r>
      <w:r>
        <w:rPr>
          <w:rFonts w:ascii="Arial" w:cs="Arial" w:eastAsia="Arial" w:hAnsi="Arial"/>
          <w:sz w:val="22"/>
          <w:szCs w:val="22"/>
          <w:b w:val="1"/>
          <w:bCs w:val="1"/>
          <w:color w:val="auto"/>
        </w:rPr>
        <w:t>:</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BRE-BMR 38 SIDNEY LLC,</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/s/Colleen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-17780</wp:posOffset>
            </wp:positionV>
            <wp:extent cx="8229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100"/>
        <w:spacing w:after="0" w:line="238" w:lineRule="auto"/>
        <w:rPr>
          <w:sz w:val="20"/>
          <w:szCs w:val="20"/>
          <w:color w:val="auto"/>
        </w:rPr>
      </w:pPr>
      <w:r>
        <w:rPr>
          <w:rFonts w:ascii="Arial" w:cs="Arial" w:eastAsia="Arial" w:hAnsi="Arial"/>
          <w:sz w:val="22"/>
          <w:szCs w:val="22"/>
          <w:color w:val="auto"/>
        </w:rPr>
        <w:t>Name: Colleen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-22860</wp:posOffset>
            </wp:positionV>
            <wp:extent cx="20574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ind w:left="100"/>
        <w:spacing w:after="0"/>
        <w:tabs>
          <w:tab w:leader="none" w:pos="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East Coast and U.K.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-29210</wp:posOffset>
            </wp:positionV>
            <wp:extent cx="28670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67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
        <w:spacing w:after="0"/>
        <w:rPr>
          <w:sz w:val="20"/>
          <w:szCs w:val="20"/>
          <w:color w:val="auto"/>
        </w:rPr>
      </w:pPr>
      <w:r>
        <w:rPr>
          <w:rFonts w:ascii="Arial" w:cs="Arial" w:eastAsia="Arial" w:hAnsi="Arial"/>
          <w:sz w:val="22"/>
          <w:szCs w:val="22"/>
          <w:b w:val="1"/>
          <w:bCs w:val="1"/>
          <w:u w:val="single" w:color="auto"/>
          <w:color w:val="auto"/>
        </w:rPr>
        <w:t>TENANT</w:t>
      </w:r>
      <w:r>
        <w:rPr>
          <w:rFonts w:ascii="Arial" w:cs="Arial" w:eastAsia="Arial" w:hAnsi="Arial"/>
          <w:sz w:val="22"/>
          <w:szCs w:val="22"/>
          <w:b w:val="1"/>
          <w:bCs w:val="1"/>
          <w:color w:val="auto"/>
        </w:rPr>
        <w:t>:</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BLUEPRINT MEDICINES CORPORATION,</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-17780</wp:posOffset>
            </wp:positionV>
            <wp:extent cx="8229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100"/>
        <w:spacing w:after="0" w:line="238" w:lineRule="auto"/>
        <w:rPr>
          <w:sz w:val="20"/>
          <w:szCs w:val="20"/>
          <w:color w:val="auto"/>
        </w:rPr>
      </w:pPr>
      <w:r>
        <w:rPr>
          <w:rFonts w:ascii="Arial" w:cs="Arial" w:eastAsia="Arial" w:hAnsi="Arial"/>
          <w:sz w:val="22"/>
          <w:szCs w:val="22"/>
          <w:color w:val="auto"/>
        </w:rPr>
        <w:t>Name: Michael Landsittel</w:t>
      </w:r>
    </w:p>
    <w:p>
      <w:pPr>
        <w:ind w:left="100"/>
        <w:spacing w:after="0"/>
        <w:tabs>
          <w:tab w:leader="none" w:pos="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981710</wp:posOffset>
            </wp:positionV>
            <wp:extent cx="558927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89270" cy="25400"/>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b w:val="1"/>
          <w:bCs w:val="1"/>
          <w:color w:val="auto"/>
        </w:rPr>
        <w:t>EXHIBIT A</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TENANT INSURANCE</w:t>
      </w:r>
    </w:p>
    <w:p>
      <w:pPr>
        <w:spacing w:after="0" w:line="131" w:lineRule="exact"/>
        <w:rPr>
          <w:sz w:val="20"/>
          <w:szCs w:val="20"/>
          <w:color w:val="auto"/>
        </w:rPr>
      </w:pPr>
    </w:p>
    <w:p>
      <w:pPr>
        <w:jc w:val="both"/>
        <w:ind w:left="200" w:right="159" w:firstLine="648"/>
        <w:spacing w:after="0" w:line="238" w:lineRule="auto"/>
        <w:rPr>
          <w:sz w:val="20"/>
          <w:szCs w:val="20"/>
          <w:color w:val="auto"/>
        </w:rPr>
      </w:pPr>
      <w:r>
        <w:rPr>
          <w:rFonts w:ascii="Arial" w:cs="Arial" w:eastAsia="Arial" w:hAnsi="Arial"/>
          <w:sz w:val="22"/>
          <w:szCs w:val="22"/>
          <w:color w:val="auto"/>
        </w:rPr>
        <w:t>1.1 Tenant shall, at its own cost and expense, procure and maintain during the Term the following insurance for the benefit of Tenant and Landlord (as their interests may appear) with insurers financially acceptable and lawfully authorized to do business in the state where the Premises are located:</w:t>
      </w:r>
    </w:p>
    <w:p>
      <w:pPr>
        <w:spacing w:after="0" w:line="185" w:lineRule="exact"/>
        <w:rPr>
          <w:sz w:val="20"/>
          <w:szCs w:val="20"/>
          <w:color w:val="auto"/>
        </w:rPr>
      </w:pPr>
    </w:p>
    <w:p>
      <w:pPr>
        <w:jc w:val="both"/>
        <w:ind w:left="200" w:right="159" w:firstLine="1303"/>
        <w:spacing w:after="0" w:line="246" w:lineRule="auto"/>
        <w:tabs>
          <w:tab w:leader="none" w:pos="2006"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Commercial General Liability insurance on an occurrence coverage form, with coverages including but not limited to bodily injury (including death), property damage (including loss of use resulting therefrom), premises/operations, personal &amp; advertising injury, and contractual liability with limits of liability of not less than $5,000,000 for bodily injury and property damage per occurrence, $5,000,000 general aggregate, which limits may be met by use of excess and/or umbrella liability insurance;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coverage is at least as broad as the primary coverages required herein.</w:t>
      </w:r>
    </w:p>
    <w:p>
      <w:pPr>
        <w:spacing w:after="0" w:line="184" w:lineRule="exact"/>
        <w:rPr>
          <w:rFonts w:ascii="Arial" w:cs="Arial" w:eastAsia="Arial" w:hAnsi="Arial"/>
          <w:sz w:val="21"/>
          <w:szCs w:val="21"/>
          <w:color w:val="auto"/>
        </w:rPr>
      </w:pPr>
    </w:p>
    <w:p>
      <w:pPr>
        <w:jc w:val="both"/>
        <w:ind w:left="200" w:right="179" w:firstLine="1303"/>
        <w:spacing w:after="0" w:line="235" w:lineRule="auto"/>
        <w:tabs>
          <w:tab w:leader="none" w:pos="2239" w:val="left"/>
        </w:tabs>
        <w:numPr>
          <w:ilvl w:val="0"/>
          <w:numId w:val="50"/>
        </w:numPr>
        <w:rPr>
          <w:rFonts w:ascii="Arial" w:cs="Arial" w:eastAsia="Arial" w:hAnsi="Arial"/>
          <w:sz w:val="22"/>
          <w:szCs w:val="22"/>
          <w:color w:val="auto"/>
        </w:rPr>
      </w:pPr>
      <w:r>
        <w:rPr>
          <w:rFonts w:ascii="Arial" w:cs="Arial" w:eastAsia="Arial" w:hAnsi="Arial"/>
          <w:sz w:val="22"/>
          <w:szCs w:val="22"/>
          <w:color w:val="auto"/>
        </w:rPr>
        <w:t>Commercial Automobile Liability insurance covering liability arising from the use or operation of any auto on behalf of Tenant or invited by Tenant (including those hired, rented, leased, borrowed or non-owned). Coverage shall be on an occurrence coverage form in an amount not less than $1,000,000 combined single limit per accident for bodily injury and property damage. Such coverage shall apply to all vehicles and persons, whether accessing the property with active or passive consent.</w:t>
      </w:r>
    </w:p>
    <w:p>
      <w:pPr>
        <w:spacing w:after="0" w:line="187" w:lineRule="exact"/>
        <w:rPr>
          <w:rFonts w:ascii="Arial" w:cs="Arial" w:eastAsia="Arial" w:hAnsi="Arial"/>
          <w:sz w:val="22"/>
          <w:szCs w:val="22"/>
          <w:color w:val="auto"/>
        </w:rPr>
      </w:pPr>
    </w:p>
    <w:p>
      <w:pPr>
        <w:jc w:val="both"/>
        <w:ind w:left="200" w:right="159" w:firstLine="1303"/>
        <w:spacing w:after="0" w:line="270" w:lineRule="auto"/>
        <w:tabs>
          <w:tab w:leader="none" w:pos="2330" w:val="left"/>
        </w:tabs>
        <w:numPr>
          <w:ilvl w:val="0"/>
          <w:numId w:val="50"/>
        </w:numPr>
        <w:rPr>
          <w:rFonts w:ascii="Arial" w:cs="Arial" w:eastAsia="Arial" w:hAnsi="Arial"/>
          <w:sz w:val="19"/>
          <w:szCs w:val="19"/>
          <w:color w:val="auto"/>
        </w:rPr>
      </w:pPr>
      <w:r>
        <w:rPr>
          <w:rFonts w:ascii="Arial" w:cs="Arial" w:eastAsia="Arial" w:hAnsi="Arial"/>
          <w:sz w:val="19"/>
          <w:szCs w:val="19"/>
          <w:color w:val="auto"/>
        </w:rPr>
        <w:t>Commercial Property insurance covering property damage to the full replacement cost value and business interruption. Covered property shall include all tenant improvements in the Premises and Tenant’s property including personal property, furniture, fixtures, machinery, equipment, stock, inventory and improvements and betterments, which may be owned by Tenant or Landlord and required to be insured hereunder, or which may be leased, rented, borrowed or in the care custody or control of Tenant, or Tenant’s agents, employees or subcontractors. Such insurance, with respect only to all t enant improvements, alterations or other work performed on the Premises by Tenant (collectively, “</w:t>
      </w:r>
      <w:r>
        <w:rPr>
          <w:rFonts w:ascii="Arial" w:cs="Arial" w:eastAsia="Arial" w:hAnsi="Arial"/>
          <w:sz w:val="19"/>
          <w:szCs w:val="19"/>
          <w:u w:val="single" w:color="auto"/>
          <w:color w:val="auto"/>
        </w:rPr>
        <w:t>Tenant Work”</w:t>
      </w:r>
      <w:r>
        <w:rPr>
          <w:rFonts w:ascii="Arial" w:cs="Arial" w:eastAsia="Arial" w:hAnsi="Arial"/>
          <w:sz w:val="19"/>
          <w:szCs w:val="19"/>
          <w:color w:val="auto"/>
        </w:rPr>
        <w:t>), shall name Landlord and Landlord’s current and future mortgagees as loss payees as their interests may appear. Such insurance shall be written on an “all risk” of physical loss or damage basis including the perils of fire, extended coverage, electrical injury, mechanical breakdown, windstorm, vandalism, malicious mischief, sprinkler leakage, back-up of sewers or drains, terrorism and such other risks Landlord may from time to time designate, for the full replacement cost value of the covered items with an agreed amount with no co- insurance. Business interruption coverage shall have limits sufficient to cover Tenant’s lost profits and necessary continuing expenses, including rents due Landlord under the Lease. The minimum period of indemnity for business interruption coverage shall be twelve (12) months.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left="200" w:right="159" w:firstLine="1303"/>
        <w:spacing w:after="0" w:line="274" w:lineRule="auto"/>
        <w:tabs>
          <w:tab w:leader="none" w:pos="2144" w:val="left"/>
        </w:tabs>
        <w:numPr>
          <w:ilvl w:val="0"/>
          <w:numId w:val="50"/>
        </w:numPr>
        <w:rPr>
          <w:rFonts w:ascii="Arial" w:cs="Arial" w:eastAsia="Arial" w:hAnsi="Arial"/>
          <w:sz w:val="21"/>
          <w:szCs w:val="21"/>
          <w:color w:val="auto"/>
        </w:rPr>
      </w:pPr>
      <w:r>
        <w:rPr>
          <w:rFonts w:ascii="Arial" w:cs="Arial" w:eastAsia="Arial" w:hAnsi="Arial"/>
          <w:sz w:val="21"/>
          <w:szCs w:val="21"/>
          <w:color w:val="auto"/>
        </w:rPr>
        <w:t>Workers’ Compensation in compliance with all applicable laws or as may be available on a voluntary basis. Employer’s Liability must be at least in the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375285</wp:posOffset>
            </wp:positionV>
            <wp:extent cx="55892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8927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95" w:name="page96"/>
    <w:bookmarkEnd w:id="95"/>
    <w:p>
      <w:pPr>
        <w:ind w:left="320" w:right="319"/>
        <w:spacing w:after="0" w:line="274" w:lineRule="auto"/>
        <w:rPr>
          <w:sz w:val="20"/>
          <w:szCs w:val="20"/>
          <w:color w:val="auto"/>
        </w:rPr>
      </w:pPr>
      <w:r>
        <w:rPr>
          <w:rFonts w:ascii="Arial" w:cs="Arial" w:eastAsia="Arial" w:hAnsi="Arial"/>
          <w:sz w:val="21"/>
          <w:szCs w:val="21"/>
          <w:color w:val="auto"/>
        </w:rPr>
        <w:t>$1,000,000 for bodily injury by accident for each employee, $1,000,000 for bodily injury by disease for each employee, and $1,000,000 bodily injury by disease for policy limit.</w:t>
      </w:r>
    </w:p>
    <w:p>
      <w:pPr>
        <w:spacing w:after="0" w:line="151" w:lineRule="exact"/>
        <w:rPr>
          <w:sz w:val="20"/>
          <w:szCs w:val="20"/>
          <w:color w:val="auto"/>
        </w:rPr>
      </w:pPr>
    </w:p>
    <w:p>
      <w:pPr>
        <w:jc w:val="both"/>
        <w:ind w:left="320" w:right="279" w:firstLine="1293"/>
        <w:spacing w:after="0" w:line="271" w:lineRule="auto"/>
        <w:tabs>
          <w:tab w:leader="none" w:pos="2156" w:val="left"/>
        </w:tabs>
        <w:numPr>
          <w:ilvl w:val="0"/>
          <w:numId w:val="51"/>
        </w:numPr>
        <w:rPr>
          <w:rFonts w:ascii="Arial" w:cs="Arial" w:eastAsia="Arial" w:hAnsi="Arial"/>
          <w:sz w:val="19"/>
          <w:szCs w:val="19"/>
          <w:color w:val="auto"/>
        </w:rPr>
      </w:pPr>
      <w:r>
        <w:rPr>
          <w:rFonts w:ascii="Arial" w:cs="Arial" w:eastAsia="Arial" w:hAnsi="Arial"/>
          <w:sz w:val="19"/>
          <w:szCs w:val="19"/>
          <w:color w:val="auto"/>
        </w:rPr>
        <w:t>Pollution Legal Liability insurance is required if Tenant stores, handles, generates or treats Hazardous Materials, as determined solely by Landlord, on or about the Premises. Such coverage shall include bodily injury, sickness, disease, death or mental anguish or shock sustained by any person; property damage including physical injury to or destruction of tangible property including the resulting loss of use thereof, clean-up costs, and the loss of use of tangible property that has not been physically injured or destroyed; and defense costs, charges and expenses incurred in the investigation, adjustment or defense of claims for such compensatory damages. Coverage shall apply to both sudden and non-sudden pollution conditions including the discharge, dispersal, release or escape of smoke, vapors, soot, fumes, acids, alkalis, toxic chemicals, liquids or gases, waste materials or other irritants, contaminants or pollutants into or upon land, the atmosphere or any watercourse or body of water. Claims-made coverage is permitted, provided the policy retroactive date is continuously maintained prior to the commencement date of this agreement, and coverage is continuously maintained during all periods in which Tenant occupies the Premises. Coverage shall be maintained with limits of not less than $2,000,000 per incident with a $4,000,000 policy aggregate and for a period of two (2) years thereafter.</w:t>
      </w:r>
    </w:p>
    <w:p>
      <w:pPr>
        <w:spacing w:after="0" w:line="183" w:lineRule="exact"/>
        <w:rPr>
          <w:rFonts w:ascii="Arial" w:cs="Arial" w:eastAsia="Arial" w:hAnsi="Arial"/>
          <w:sz w:val="19"/>
          <w:szCs w:val="19"/>
          <w:color w:val="auto"/>
        </w:rPr>
      </w:pPr>
    </w:p>
    <w:p>
      <w:pPr>
        <w:jc w:val="both"/>
        <w:ind w:left="320" w:right="279" w:firstLine="1293"/>
        <w:spacing w:after="0"/>
        <w:tabs>
          <w:tab w:leader="none" w:pos="2156"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During all construction by Tenant at the Premises, with respect to tenant improvements being constructed and any alterations, insurance required in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of this Amendment must be in place.</w:t>
      </w:r>
    </w:p>
    <w:p>
      <w:pPr>
        <w:spacing w:after="0" w:line="186" w:lineRule="exact"/>
        <w:rPr>
          <w:sz w:val="20"/>
          <w:szCs w:val="20"/>
          <w:color w:val="auto"/>
        </w:rPr>
      </w:pPr>
    </w:p>
    <w:p>
      <w:pPr>
        <w:jc w:val="both"/>
        <w:ind w:left="320" w:right="279" w:firstLine="648"/>
        <w:spacing w:after="0" w:line="269" w:lineRule="auto"/>
        <w:rPr>
          <w:sz w:val="20"/>
          <w:szCs w:val="20"/>
          <w:color w:val="auto"/>
        </w:rPr>
      </w:pPr>
      <w:r>
        <w:rPr>
          <w:rFonts w:ascii="Arial" w:cs="Arial" w:eastAsia="Arial" w:hAnsi="Arial"/>
          <w:sz w:val="19"/>
          <w:szCs w:val="19"/>
          <w:color w:val="auto"/>
        </w:rPr>
        <w:t>1.2. The insurance required of Tenant by this Exhibit shall be with companies at all times having a current rating of not less than A- and financial category rating of at least Class VII in “A.M. Best’s Insurance Guide” current edition. Tenant shall obtain for Landlord from the insurance companies/broker or cause the insurance companies/broker to furnish certificates of insurance evidencing all coverages required herein to Landlord. Landlord reserves the right to require complete, certified copies of all required insurance policies including any endorsements. No such policy shall be cancelable or subject to reduction of coverage or other modification or cancellation except after thirty (30) days’ prior written notice to Landlord from Tenant or its insurers (except in the event of non-payment of premium, in which case ten (10) days’ written notice shall be given). All such policies shall be written as primary policies, not contributing with and not in excess of the coverage that Landlord may carry. Tenant’s required policies shall contain severability of interests clauses stating that, except with respect to limits of insurance, coverage shall apply separately to each insured or additional insured. Tenant shall, on the date of expiration of such policies, furnish Landlord with renewal certificates of insurance or binders. Tenant agrees that if Tenant does not take out and maintain such insurance, Landlord may (but shall not be required to) procure such insurance on Tenant’s behalf and at its cost to be paid by Tenant as Additional Rent. Commercial General Liability, Commercial Automobile Liability, and Umbrella Liability insurance as required above shall name the Landlord, BioMed Realty, L.P., Massachusetts Institute of Technology, and their respective officers, employees, directors, representatives, agents, general partners, members, subsidiaries, affiliates, ground lessors, lenders, mortgagees and beneficiaries (collectively with Landlord, the “</w:t>
      </w:r>
      <w:r>
        <w:rPr>
          <w:rFonts w:ascii="Arial" w:cs="Arial" w:eastAsia="Arial" w:hAnsi="Arial"/>
          <w:sz w:val="19"/>
          <w:szCs w:val="19"/>
          <w:u w:val="single" w:color="auto"/>
          <w:color w:val="auto"/>
        </w:rPr>
        <w:t>Landlord Parties”</w:t>
      </w:r>
      <w:r>
        <w:rPr>
          <w:rFonts w:ascii="Arial" w:cs="Arial" w:eastAsia="Arial" w:hAnsi="Arial"/>
          <w:sz w:val="19"/>
          <w:szCs w:val="19"/>
          <w:color w:val="auto"/>
        </w:rPr>
        <w:t>) as additional insureds as respects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640080</wp:posOffset>
            </wp:positionV>
            <wp:extent cx="545211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96" w:name="page97"/>
    <w:bookmarkEnd w:id="96"/>
    <w:p>
      <w:pPr>
        <w:jc w:val="both"/>
        <w:ind w:left="320" w:right="279"/>
        <w:spacing w:after="0" w:line="233" w:lineRule="auto"/>
        <w:rPr>
          <w:sz w:val="20"/>
          <w:szCs w:val="20"/>
          <w:color w:val="auto"/>
        </w:rPr>
      </w:pPr>
      <w:r>
        <w:rPr>
          <w:rFonts w:ascii="Arial" w:cs="Arial" w:eastAsia="Arial" w:hAnsi="Arial"/>
          <w:sz w:val="22"/>
          <w:szCs w:val="22"/>
          <w:color w:val="auto"/>
        </w:rPr>
        <w:t>arising from work or operations performed by or on behalf of Tenant, Tenant’s use or occupancy of Premises, and ownership, maintenance or use of vehicles by or on behalf of Tenant. Tenant must disclose any self-insurance, including self- insurance retentions, to Landlord in writing in advance, which shall be subject to Landlord’s prior written approval in its sole discretion. If Tenant self-insures with Landlord’s prior written approval, Tenant is itself acting as though it were providing the insurance required under the provisions of this Lease, and Tenant shall pay those amounts due in lieu of insurance proceeds that would have been covered and payable if the insurance policies had been carried for such self-insured coverages, which amounts shall be treated as insurance proceeds for all purposes under this Lease.</w:t>
      </w:r>
    </w:p>
    <w:p>
      <w:pPr>
        <w:spacing w:after="0" w:line="190" w:lineRule="exact"/>
        <w:rPr>
          <w:sz w:val="20"/>
          <w:szCs w:val="20"/>
          <w:color w:val="auto"/>
        </w:rPr>
      </w:pPr>
    </w:p>
    <w:p>
      <w:pPr>
        <w:jc w:val="both"/>
        <w:ind w:left="320" w:right="279" w:firstLine="648"/>
        <w:spacing w:after="0" w:line="271" w:lineRule="auto"/>
        <w:rPr>
          <w:sz w:val="20"/>
          <w:szCs w:val="20"/>
          <w:color w:val="auto"/>
        </w:rPr>
      </w:pPr>
      <w:r>
        <w:rPr>
          <w:rFonts w:ascii="Arial" w:cs="Arial" w:eastAsia="Arial" w:hAnsi="Arial"/>
          <w:sz w:val="19"/>
          <w:szCs w:val="19"/>
          <w:color w:val="auto"/>
        </w:rPr>
        <w:t>1.3. In each instance where insurance is to name the Landlord Parties as additional insureds, Tenant shall, upon Landlord’s written request, also designate and furnish certificates evidencing the Landlord Parties as additional insureds to (a) any ground lessor, lender, mortgagee, or beneficiary of Landlord holding a security interest in the Building or the Property,</w:t>
      </w:r>
    </w:p>
    <w:p>
      <w:pPr>
        <w:spacing w:after="0" w:line="3" w:lineRule="exact"/>
        <w:rPr>
          <w:sz w:val="20"/>
          <w:szCs w:val="20"/>
          <w:color w:val="auto"/>
        </w:rPr>
      </w:pPr>
    </w:p>
    <w:p>
      <w:pPr>
        <w:jc w:val="both"/>
        <w:ind w:left="320" w:right="279" w:hanging="3"/>
        <w:spacing w:after="0" w:line="233" w:lineRule="auto"/>
        <w:tabs>
          <w:tab w:leader="none" w:pos="63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landlord under any lease whereunder Landlord is a tenant of the real property upon which the Building is located if the interest of Landlord is or shall become that of a tenant under a ground lease rather than that of a fee owner and (c) any management company retained by Landlord to manage the Building or Property.</w:t>
      </w:r>
    </w:p>
    <w:p>
      <w:pPr>
        <w:spacing w:after="0" w:line="188" w:lineRule="exact"/>
        <w:rPr>
          <w:sz w:val="20"/>
          <w:szCs w:val="20"/>
          <w:color w:val="auto"/>
        </w:rPr>
      </w:pPr>
    </w:p>
    <w:p>
      <w:pPr>
        <w:jc w:val="both"/>
        <w:ind w:left="320" w:right="279" w:firstLine="648"/>
        <w:spacing w:after="0" w:line="235" w:lineRule="auto"/>
        <w:rPr>
          <w:sz w:val="20"/>
          <w:szCs w:val="20"/>
          <w:color w:val="auto"/>
        </w:rPr>
      </w:pPr>
      <w:r>
        <w:rPr>
          <w:rFonts w:ascii="Arial" w:cs="Arial" w:eastAsia="Arial" w:hAnsi="Arial"/>
          <w:sz w:val="22"/>
          <w:szCs w:val="22"/>
          <w:color w:val="auto"/>
        </w:rPr>
        <w:t>1.4. Tenant assumes the risk of damage to any fixtures, goods, inventory, merchandise, equipment and leasehold improvements, and Landlord shall not be liable for injury to Tenant’s business or any loss of income therefrom, relative to such damage, all as more particularly set forth within the Lease. Tenant shall, at Tenant’s sole cost and expense, carry such insurance as Tenant desires for Tenant’s protection with respect to personal property of Tenant or business interruption.</w:t>
      </w:r>
    </w:p>
    <w:p>
      <w:pPr>
        <w:spacing w:after="0" w:line="188" w:lineRule="exact"/>
        <w:rPr>
          <w:sz w:val="20"/>
          <w:szCs w:val="20"/>
          <w:color w:val="auto"/>
        </w:rPr>
      </w:pPr>
    </w:p>
    <w:p>
      <w:pPr>
        <w:ind w:left="960"/>
        <w:spacing w:after="0"/>
        <w:tabs>
          <w:tab w:leader="none" w:pos="160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i w:val="1"/>
          <w:iCs w:val="1"/>
          <w:color w:val="auto"/>
        </w:rPr>
        <w:t>[Removed and reserved.]</w:t>
      </w:r>
    </w:p>
    <w:p>
      <w:pPr>
        <w:spacing w:after="0" w:line="206" w:lineRule="exact"/>
        <w:rPr>
          <w:sz w:val="20"/>
          <w:szCs w:val="20"/>
          <w:color w:val="auto"/>
        </w:rPr>
      </w:pPr>
    </w:p>
    <w:p>
      <w:pPr>
        <w:jc w:val="both"/>
        <w:ind w:left="320" w:right="279" w:firstLine="648"/>
        <w:spacing w:after="0" w:line="238" w:lineRule="auto"/>
        <w:rPr>
          <w:sz w:val="20"/>
          <w:szCs w:val="20"/>
          <w:color w:val="auto"/>
        </w:rPr>
      </w:pPr>
      <w:r>
        <w:rPr>
          <w:rFonts w:ascii="Arial" w:cs="Arial" w:eastAsia="Arial" w:hAnsi="Arial"/>
          <w:sz w:val="22"/>
          <w:szCs w:val="22"/>
          <w:color w:val="auto"/>
        </w:rPr>
        <w:t>1.6. Landlord may require insurance policy limits required under this Lease to be raised to conform with requirements of Landlord’s Lender or to bring coverage limits to levels then being required of new tenants within the Property, and Tenant shall have thirty (30) days after notice thereof from Landlord to raise such limits.</w:t>
      </w:r>
    </w:p>
    <w:p>
      <w:pPr>
        <w:spacing w:after="0" w:line="185" w:lineRule="exact"/>
        <w:rPr>
          <w:sz w:val="20"/>
          <w:szCs w:val="20"/>
          <w:color w:val="auto"/>
        </w:rPr>
      </w:pPr>
    </w:p>
    <w:p>
      <w:pPr>
        <w:jc w:val="both"/>
        <w:ind w:left="320" w:right="279" w:firstLine="648"/>
        <w:spacing w:after="0" w:line="244" w:lineRule="auto"/>
        <w:rPr>
          <w:sz w:val="20"/>
          <w:szCs w:val="20"/>
          <w:color w:val="auto"/>
        </w:rPr>
      </w:pPr>
      <w:r>
        <w:rPr>
          <w:rFonts w:ascii="Arial" w:cs="Arial" w:eastAsia="Arial" w:hAnsi="Arial"/>
          <w:sz w:val="21"/>
          <w:szCs w:val="21"/>
          <w:color w:val="auto"/>
        </w:rPr>
        <w:t>1.7. In addition to other insurance required by this Lease to be carried by Tenant, if Tenant sells, merchandises, transfers, gives away or exchanges alcoholic beverages in, upon or from any part of the Premises, then Tenant shall, at Tenant’s sole cost and expense, purchase and maintain in full force and effect during the Term host liquor liability insurance in form and substance satisfactory to Landlord, with total limits of liability for bodily injury, loss of means of support and property damage for each occurrence in an amount and with a carrier reasonably acceptable to Landlord, and otherwise in compliance with the general provisions of this Exhibit governing the provision of insurance by Tenant. Such policy shall name the Landlord Parties as additional insureds against any liability by virtue of applicable laws concerning the use, sale or giving away of alcoholic beverages. If at any time such insurance is for any reason not in force, then during all and any such times no selling, merchandising, transferring, giving away or exchanging of alcoholic beverages shall be conducted by Tenant in, upon or from any part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490220</wp:posOffset>
            </wp:positionV>
            <wp:extent cx="545211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97" w:name="page98"/>
    <w:bookmarkEnd w:id="97"/>
    <w:p>
      <w:pPr>
        <w:ind w:left="300" w:right="359" w:firstLine="648"/>
        <w:spacing w:after="0" w:line="250" w:lineRule="auto"/>
        <w:rPr>
          <w:sz w:val="20"/>
          <w:szCs w:val="20"/>
          <w:color w:val="auto"/>
        </w:rPr>
      </w:pPr>
      <w:r>
        <w:rPr>
          <w:rFonts w:ascii="Arial" w:cs="Arial" w:eastAsia="Arial" w:hAnsi="Arial"/>
          <w:sz w:val="22"/>
          <w:szCs w:val="22"/>
          <w:color w:val="auto"/>
        </w:rPr>
        <w:t>1.8. The provisions of this Exhibit shall survive the expiration or earlier termination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793115</wp:posOffset>
            </wp:positionV>
            <wp:extent cx="545211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22"/>
          <w:szCs w:val="22"/>
          <w:b w:val="1"/>
          <w:bCs w:val="1"/>
          <w:color w:val="auto"/>
        </w:rPr>
        <w:t>EXHIBIT A-1</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TENANT WORK INSURANCE SCHEDULE</w:t>
      </w:r>
    </w:p>
    <w:p>
      <w:pPr>
        <w:spacing w:after="0" w:line="212" w:lineRule="exact"/>
        <w:rPr>
          <w:sz w:val="20"/>
          <w:szCs w:val="20"/>
          <w:color w:val="auto"/>
        </w:rPr>
      </w:pPr>
    </w:p>
    <w:p>
      <w:pPr>
        <w:jc w:val="both"/>
        <w:ind w:left="200" w:right="219" w:firstLine="9"/>
        <w:spacing w:after="0" w:line="248" w:lineRule="auto"/>
        <w:tabs>
          <w:tab w:leader="none" w:pos="848"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Types of Coverage</w:t>
      </w:r>
      <w:r>
        <w:rPr>
          <w:rFonts w:ascii="Arial" w:cs="Arial" w:eastAsia="Arial" w:hAnsi="Arial"/>
          <w:sz w:val="21"/>
          <w:szCs w:val="21"/>
          <w:color w:val="auto"/>
        </w:rPr>
        <w:t>. Tenant shall maintain or cause Tenant’s contractors performing construction or renovation work (“</w:t>
      </w:r>
      <w:r>
        <w:rPr>
          <w:rFonts w:ascii="Arial" w:cs="Arial" w:eastAsia="Arial" w:hAnsi="Arial"/>
          <w:sz w:val="21"/>
          <w:szCs w:val="21"/>
          <w:u w:val="single" w:color="auto"/>
          <w:color w:val="auto"/>
        </w:rPr>
        <w:t>Tenant Work</w:t>
      </w:r>
      <w:r>
        <w:rPr>
          <w:rFonts w:ascii="Arial" w:cs="Arial" w:eastAsia="Arial" w:hAnsi="Arial"/>
          <w:sz w:val="21"/>
          <w:szCs w:val="21"/>
          <w:color w:val="auto"/>
        </w:rPr>
        <w:t>”) to maintain such insurance as shall protect it from the claims set forth below that may arise out of or result from any Tenant Work, whether such Tenant Work is completed by Tenant or by any Tenant contractors or by any person directly or indirectly employed by Tenant or any Tenant contractors, or by any person for whose acts Tenant or any Tenant contractors may be liable:</w:t>
      </w:r>
    </w:p>
    <w:p>
      <w:pPr>
        <w:spacing w:after="0" w:line="176" w:lineRule="exact"/>
        <w:rPr>
          <w:rFonts w:ascii="Arial" w:cs="Arial" w:eastAsia="Arial" w:hAnsi="Arial"/>
          <w:sz w:val="21"/>
          <w:szCs w:val="21"/>
          <w:color w:val="auto"/>
        </w:rPr>
      </w:pPr>
    </w:p>
    <w:p>
      <w:pPr>
        <w:jc w:val="both"/>
        <w:ind w:left="200" w:right="219" w:firstLine="657"/>
        <w:spacing w:after="0" w:line="270" w:lineRule="auto"/>
        <w:tabs>
          <w:tab w:leader="none" w:pos="1496"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Commercial General Liability</w:t>
      </w:r>
      <w:r>
        <w:rPr>
          <w:rFonts w:ascii="Arial" w:cs="Arial" w:eastAsia="Arial" w:hAnsi="Arial"/>
          <w:sz w:val="19"/>
          <w:szCs w:val="19"/>
          <w:color w:val="auto"/>
        </w:rPr>
        <w:t>. Commercial general liability insurance written on the ISO form CG 00 01 or equivalent, including products and completed operations, on an occurrence basis. Such coverage shall apply to all Tenant Work done by Tenant’s contractors and subcontractors of all tiers and provide insurance against personal injury, wrongful death, and property damage (other than to the Tenant Work itself). The policy shall include contractual liability coverage sufficient to address the obligations of the Lease and the Tenant Work. This insurance policy shall include Landlord Parties as additional insureds with endorsements equivalent to ISO CG 20 10 04/13 for ongoing operations, and to ISO CG 20 37 04/13 for completed operations. This policy shall be primary and noncontributory with respect to any other insurance available to an additional insured. The policy shall include endorsement ISO CG 24 04 or its equivalent, a waiver of subrogation in favor of the Landlord Parties. Tenant contractors’ Commercial General Liability Insurance shall include premises/operations (including explosion, collapse and underground coverage if such Tenant Work involves any underground work), elevators, independent contractors, products and completed operations, and blanket contractual liability on all written contracts, all including broad form property damage coverage. Coverage for completed operations must be maintained through the applicable statue of repose period following completion of the Tenant Work.</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left="200" w:right="219" w:firstLine="657"/>
        <w:spacing w:after="0" w:line="282" w:lineRule="auto"/>
        <w:tabs>
          <w:tab w:leader="none" w:pos="1496"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Business Automobile Liability Insurance</w:t>
      </w:r>
      <w:r>
        <w:rPr>
          <w:rFonts w:ascii="Arial" w:cs="Arial" w:eastAsia="Arial" w:hAnsi="Arial"/>
          <w:sz w:val="19"/>
          <w:szCs w:val="19"/>
          <w:color w:val="auto"/>
        </w:rPr>
        <w:t>. Business Automobile Liability Insurance on an “occurrence” form covering any or all autos (including owned, hired, leased and non-owned vehicles) used by or on behalf of the insured, and providing insurance for bodily injury and property damage. The policy shall include coverage for loading and unloading activities. This policy shall include the Landlord Parties as additional insureds, with endorsements.</w:t>
      </w:r>
    </w:p>
    <w:p>
      <w:pPr>
        <w:spacing w:after="0" w:line="147" w:lineRule="exact"/>
        <w:rPr>
          <w:rFonts w:ascii="Arial" w:cs="Arial" w:eastAsia="Arial" w:hAnsi="Arial"/>
          <w:sz w:val="19"/>
          <w:szCs w:val="19"/>
          <w:color w:val="auto"/>
        </w:rPr>
      </w:pPr>
    </w:p>
    <w:p>
      <w:pPr>
        <w:jc w:val="both"/>
        <w:ind w:left="200" w:right="219" w:firstLine="657"/>
        <w:spacing w:after="0" w:line="238" w:lineRule="auto"/>
        <w:tabs>
          <w:tab w:leader="none" w:pos="1496"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Workers’ Compensation and Employer’s Liability Insurance</w:t>
      </w:r>
      <w:r>
        <w:rPr>
          <w:rFonts w:ascii="Arial" w:cs="Arial" w:eastAsia="Arial" w:hAnsi="Arial"/>
          <w:sz w:val="22"/>
          <w:szCs w:val="22"/>
          <w:color w:val="auto"/>
        </w:rPr>
        <w:t>. For all operations, Workers’ Compensation insurance in compliance with statutory limits for the Workers’ Compensation Laws of the state in which the Premises are located, and an Employer’s Liability limit of not less than $1,000,000 each accident.</w:t>
      </w:r>
    </w:p>
    <w:p>
      <w:pPr>
        <w:spacing w:after="0" w:line="184" w:lineRule="exact"/>
        <w:rPr>
          <w:rFonts w:ascii="Arial" w:cs="Arial" w:eastAsia="Arial" w:hAnsi="Arial"/>
          <w:sz w:val="22"/>
          <w:szCs w:val="22"/>
          <w:color w:val="auto"/>
        </w:rPr>
      </w:pPr>
    </w:p>
    <w:p>
      <w:pPr>
        <w:jc w:val="both"/>
        <w:ind w:left="200" w:right="219" w:firstLine="657"/>
        <w:spacing w:after="0" w:line="277" w:lineRule="auto"/>
        <w:tabs>
          <w:tab w:leader="none" w:pos="1496"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Contractors’ Pollution Liability</w:t>
      </w:r>
      <w:r>
        <w:rPr>
          <w:rFonts w:ascii="Arial" w:cs="Arial" w:eastAsia="Arial" w:hAnsi="Arial"/>
          <w:sz w:val="19"/>
          <w:szCs w:val="19"/>
          <w:color w:val="auto"/>
        </w:rPr>
        <w:t>. Contractors and subcontractors handling, removing or treating Hazardous Materials shall maintain pollution liability insurance. Such coverage shall include bodily injury, sickness, disease, death or mental anguish or shock sustained by any person; property damage or environmental damage, including physical injury to or destruction of tangible property (including the resulting loss of use thereof), contractual liability coverage to cover liability arising out of cleanup, removal, storage or handling of hazardous or toxic chemicals, materials or substances, or any other pollutants (including mold, asbestos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607060</wp:posOffset>
            </wp:positionV>
            <wp:extent cx="545211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47" w:right="1440" w:bottom="1440" w:gutter="0" w:footer="0" w:header="0"/>
        </w:sectPr>
      </w:pPr>
    </w:p>
    <w:bookmarkStart w:id="99" w:name="page100"/>
    <w:bookmarkEnd w:id="99"/>
    <w:p>
      <w:pPr>
        <w:jc w:val="both"/>
        <w:ind w:left="200" w:right="219"/>
        <w:spacing w:after="0" w:line="236" w:lineRule="auto"/>
        <w:rPr>
          <w:sz w:val="20"/>
          <w:szCs w:val="20"/>
          <w:color w:val="auto"/>
        </w:rPr>
      </w:pPr>
      <w:r>
        <w:rPr>
          <w:rFonts w:ascii="Arial" w:cs="Arial" w:eastAsia="Arial" w:hAnsi="Arial"/>
          <w:sz w:val="22"/>
          <w:szCs w:val="22"/>
          <w:color w:val="auto"/>
        </w:rPr>
        <w:t xml:space="preserve">asbestos-containing materials); and defense costs, charges and expenses incurred in the investigation, adjustment or defense of claims for such damages. Claims-made coverage is permitted,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policy retroactive date is continuously maintained prior to the commencement of the Tenant Work. This policy shall include the Landlord Parties as additional insureds, with endorsements.</w:t>
      </w:r>
    </w:p>
    <w:p>
      <w:pPr>
        <w:spacing w:after="0" w:line="187" w:lineRule="exact"/>
        <w:rPr>
          <w:sz w:val="20"/>
          <w:szCs w:val="20"/>
          <w:color w:val="auto"/>
        </w:rPr>
      </w:pPr>
    </w:p>
    <w:p>
      <w:pPr>
        <w:jc w:val="both"/>
        <w:ind w:left="200" w:right="219" w:firstLine="657"/>
        <w:spacing w:after="0" w:line="282" w:lineRule="auto"/>
        <w:tabs>
          <w:tab w:leader="none" w:pos="1496"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Professional Liability (Errors and Omissions)</w:t>
      </w:r>
      <w:r>
        <w:rPr>
          <w:rFonts w:ascii="Arial" w:cs="Arial" w:eastAsia="Arial" w:hAnsi="Arial"/>
          <w:sz w:val="19"/>
          <w:szCs w:val="19"/>
          <w:color w:val="auto"/>
        </w:rPr>
        <w:t>. Contractors and subcontractors of any tier performing Tenant Work that includes any professional services, including design, architecture, engineering, testing, surveying or design/build services shall provide and maintain professional liability insurance. Coverage shall be maintained following completion of the Tenant Work through the applicable statute of repose of the state in which the Premises are located.</w:t>
      </w:r>
    </w:p>
    <w:p>
      <w:pPr>
        <w:spacing w:after="0" w:line="147" w:lineRule="exact"/>
        <w:rPr>
          <w:rFonts w:ascii="Arial" w:cs="Arial" w:eastAsia="Arial" w:hAnsi="Arial"/>
          <w:sz w:val="19"/>
          <w:szCs w:val="19"/>
          <w:color w:val="auto"/>
        </w:rPr>
      </w:pPr>
    </w:p>
    <w:p>
      <w:pPr>
        <w:jc w:val="both"/>
        <w:ind w:left="200" w:right="219" w:firstLine="9"/>
        <w:spacing w:after="0"/>
        <w:tabs>
          <w:tab w:leader="none" w:pos="848"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Minimum Limits of Insurance</w:t>
      </w:r>
      <w:r>
        <w:rPr>
          <w:rFonts w:ascii="Arial" w:cs="Arial" w:eastAsia="Arial" w:hAnsi="Arial"/>
          <w:sz w:val="22"/>
          <w:szCs w:val="22"/>
          <w:color w:val="auto"/>
        </w:rPr>
        <w:t>. All coverage types as defined above to be procured by Tenant’s general contractor and designer for any Tenant Work shall be written for limits of insurance not less than:</w:t>
      </w:r>
    </w:p>
    <w:p>
      <w:pPr>
        <w:spacing w:after="0" w:line="188" w:lineRule="exact"/>
        <w:rPr>
          <w:sz w:val="20"/>
          <w:szCs w:val="20"/>
          <w:color w:val="auto"/>
        </w:rPr>
      </w:pPr>
    </w:p>
    <w:tbl>
      <w:tblPr>
        <w:tblLayout w:type="fixed"/>
        <w:tblInd w:w="230" w:type="dxa"/>
        <w:tblCellMar>
          <w:top w:w="0" w:type="dxa"/>
          <w:left w:w="0" w:type="dxa"/>
          <w:bottom w:w="0" w:type="dxa"/>
          <w:right w:w="0" w:type="dxa"/>
        </w:tblCellMar>
      </w:tblPr>
      <w:tr>
        <w:trPr>
          <w:trHeight w:val="320"/>
        </w:trPr>
        <w:tc>
          <w:tcPr>
            <w:tcW w:w="500" w:type="dxa"/>
            <w:vAlign w:val="bottom"/>
            <w:tcBorders>
              <w:top w:val="single" w:sz="8" w:color="auto"/>
              <w:left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780" w:type="dxa"/>
            <w:vAlign w:val="bottom"/>
            <w:tcBorders>
              <w:top w:val="single" w:sz="8" w:color="auto"/>
              <w:right w:val="single" w:sz="8" w:color="auto"/>
            </w:tcBorders>
            <w:gridSpan w:val="2"/>
          </w:tcPr>
          <w:p>
            <w:pPr>
              <w:ind w:left="160"/>
              <w:spacing w:after="0"/>
              <w:rPr>
                <w:sz w:val="20"/>
                <w:szCs w:val="20"/>
                <w:color w:val="auto"/>
              </w:rPr>
            </w:pPr>
            <w:r>
              <w:rPr>
                <w:rFonts w:ascii="Arial" w:cs="Arial" w:eastAsia="Arial" w:hAnsi="Arial"/>
                <w:sz w:val="22"/>
                <w:szCs w:val="22"/>
                <w:b w:val="1"/>
                <w:bCs w:val="1"/>
                <w:color w:val="auto"/>
              </w:rPr>
              <w:t>Coverage</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Cost of Work</w:t>
            </w:r>
          </w:p>
        </w:tc>
        <w:tc>
          <w:tcPr>
            <w:tcW w:w="4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Minimum Limits of Insurance</w:t>
            </w:r>
          </w:p>
        </w:tc>
        <w:tc>
          <w:tcPr>
            <w:tcW w:w="0" w:type="dxa"/>
            <w:vAlign w:val="bottom"/>
          </w:tcPr>
          <w:p>
            <w:pPr>
              <w:spacing w:after="0"/>
              <w:rPr>
                <w:sz w:val="1"/>
                <w:szCs w:val="1"/>
                <w:color w:val="auto"/>
              </w:rPr>
            </w:pPr>
          </w:p>
        </w:tc>
      </w:tr>
      <w:tr>
        <w:trPr>
          <w:trHeight w:val="44"/>
        </w:trPr>
        <w:tc>
          <w:tcPr>
            <w:tcW w:w="50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500" w:type="dxa"/>
            <w:vAlign w:val="bottom"/>
            <w:tcBorders>
              <w:lef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&lt;$200 million</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$100 million per occurrence, general aggregate,</w:t>
            </w:r>
          </w:p>
        </w:tc>
        <w:tc>
          <w:tcPr>
            <w:tcW w:w="0" w:type="dxa"/>
            <w:vAlign w:val="bottom"/>
          </w:tcPr>
          <w:p>
            <w:pPr>
              <w:spacing w:after="0"/>
              <w:rPr>
                <w:sz w:val="1"/>
                <w:szCs w:val="1"/>
                <w:color w:val="auto"/>
              </w:rPr>
            </w:pPr>
          </w:p>
        </w:tc>
      </w:tr>
      <w:tr>
        <w:trPr>
          <w:trHeight w:val="153"/>
        </w:trPr>
        <w:tc>
          <w:tcPr>
            <w:tcW w:w="500" w:type="dxa"/>
            <w:vAlign w:val="bottom"/>
            <w:tcBorders>
              <w:left w:val="single" w:sz="8" w:color="auto"/>
            </w:tcBorders>
            <w:vMerge w:val="restart"/>
          </w:tcPr>
          <w:p>
            <w:pPr>
              <w:ind w:left="300"/>
              <w:spacing w:after="0"/>
              <w:rPr>
                <w:sz w:val="20"/>
                <w:szCs w:val="20"/>
                <w:color w:val="auto"/>
              </w:rPr>
            </w:pPr>
            <w:r>
              <w:rPr>
                <w:rFonts w:ascii="Arial" w:cs="Arial" w:eastAsia="Arial" w:hAnsi="Arial"/>
                <w:sz w:val="22"/>
                <w:szCs w:val="22"/>
                <w:color w:val="auto"/>
                <w:w w:val="97"/>
              </w:rPr>
              <w:t>a.</w:t>
            </w:r>
          </w:p>
        </w:tc>
        <w:tc>
          <w:tcPr>
            <w:tcW w:w="60" w:type="dxa"/>
            <w:vAlign w:val="bottom"/>
          </w:tcPr>
          <w:p>
            <w:pPr>
              <w:spacing w:after="0"/>
              <w:rPr>
                <w:sz w:val="13"/>
                <w:szCs w:val="13"/>
                <w:color w:val="auto"/>
              </w:rPr>
            </w:pPr>
          </w:p>
        </w:tc>
        <w:tc>
          <w:tcPr>
            <w:tcW w:w="1780" w:type="dxa"/>
            <w:vAlign w:val="bottom"/>
            <w:tcBorders>
              <w:right w:val="single" w:sz="8" w:color="auto"/>
            </w:tcBorders>
            <w:gridSpan w:val="2"/>
            <w:vMerge w:val="restart"/>
          </w:tcPr>
          <w:p>
            <w:pPr>
              <w:jc w:val="center"/>
              <w:ind w:right="180"/>
              <w:spacing w:after="0"/>
              <w:rPr>
                <w:sz w:val="20"/>
                <w:szCs w:val="20"/>
                <w:color w:val="auto"/>
              </w:rPr>
            </w:pPr>
            <w:r>
              <w:rPr>
                <w:rFonts w:ascii="Arial" w:cs="Arial" w:eastAsia="Arial" w:hAnsi="Arial"/>
                <w:sz w:val="22"/>
                <w:szCs w:val="22"/>
                <w:color w:val="auto"/>
                <w:w w:val="92"/>
              </w:rPr>
              <w:t>Commercial</w:t>
            </w:r>
          </w:p>
        </w:tc>
        <w:tc>
          <w:tcPr>
            <w:tcW w:w="1700" w:type="dxa"/>
            <w:vAlign w:val="bottom"/>
            <w:tcBorders>
              <w:right w:val="single" w:sz="8" w:color="auto"/>
            </w:tcBorders>
            <w:vMerge w:val="continue"/>
          </w:tcPr>
          <w:p>
            <w:pPr>
              <w:spacing w:after="0"/>
              <w:rPr>
                <w:sz w:val="13"/>
                <w:szCs w:val="13"/>
                <w:color w:val="auto"/>
              </w:rPr>
            </w:pP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7"/>
              </w:rPr>
              <w:t>and products and completed operations aggregate</w:t>
            </w:r>
          </w:p>
        </w:tc>
        <w:tc>
          <w:tcPr>
            <w:tcW w:w="0" w:type="dxa"/>
            <w:vAlign w:val="bottom"/>
          </w:tcPr>
          <w:p>
            <w:pPr>
              <w:spacing w:after="0"/>
              <w:rPr>
                <w:sz w:val="1"/>
                <w:szCs w:val="1"/>
                <w:color w:val="auto"/>
              </w:rPr>
            </w:pPr>
          </w:p>
        </w:tc>
      </w:tr>
      <w:tr>
        <w:trPr>
          <w:trHeight w:val="121"/>
        </w:trPr>
        <w:tc>
          <w:tcPr>
            <w:tcW w:w="500" w:type="dxa"/>
            <w:vAlign w:val="bottom"/>
            <w:tcBorders>
              <w:lef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780" w:type="dxa"/>
            <w:vAlign w:val="bottom"/>
            <w:tcBorders>
              <w:right w:val="single" w:sz="8" w:color="auto"/>
            </w:tcBorders>
            <w:gridSpan w:val="2"/>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4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500" w:type="dxa"/>
            <w:vAlign w:val="bottom"/>
            <w:tcBorders>
              <w:lef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780" w:type="dxa"/>
            <w:vAlign w:val="bottom"/>
            <w:tcBorders>
              <w:right w:val="single" w:sz="8" w:color="auto"/>
            </w:tcBorders>
            <w:gridSpan w:val="2"/>
            <w:vMerge w:val="continue"/>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500" w:type="dxa"/>
            <w:vAlign w:val="bottom"/>
            <w:tcBorders>
              <w:lef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78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22"/>
                <w:szCs w:val="22"/>
                <w:color w:val="auto"/>
                <w:w w:val="93"/>
              </w:rPr>
              <w:t>General Liability</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&lt;$100 million</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$50 million per occurrence, general aggregate,</w:t>
            </w:r>
          </w:p>
        </w:tc>
        <w:tc>
          <w:tcPr>
            <w:tcW w:w="0" w:type="dxa"/>
            <w:vAlign w:val="bottom"/>
          </w:tcPr>
          <w:p>
            <w:pPr>
              <w:spacing w:after="0"/>
              <w:rPr>
                <w:sz w:val="1"/>
                <w:szCs w:val="1"/>
                <w:color w:val="auto"/>
              </w:rPr>
            </w:pPr>
          </w:p>
        </w:tc>
      </w:tr>
      <w:tr>
        <w:trPr>
          <w:trHeight w:val="153"/>
        </w:trPr>
        <w:tc>
          <w:tcPr>
            <w:tcW w:w="2340" w:type="dxa"/>
            <w:vAlign w:val="bottom"/>
            <w:tcBorders>
              <w:left w:val="single" w:sz="8" w:color="auto"/>
              <w:right w:val="single" w:sz="8" w:color="auto"/>
            </w:tcBorders>
            <w:gridSpan w:val="4"/>
            <w:vMerge w:val="restart"/>
          </w:tcPr>
          <w:p>
            <w:pPr>
              <w:ind w:left="300"/>
              <w:spacing w:after="0"/>
              <w:rPr>
                <w:sz w:val="20"/>
                <w:szCs w:val="20"/>
                <w:color w:val="auto"/>
              </w:rPr>
            </w:pPr>
            <w:r>
              <w:rPr>
                <w:rFonts w:ascii="Arial" w:cs="Arial" w:eastAsia="Arial" w:hAnsi="Arial"/>
                <w:sz w:val="22"/>
                <w:szCs w:val="22"/>
                <w:color w:val="auto"/>
              </w:rPr>
              <w:t>* Limits may be met</w:t>
            </w:r>
          </w:p>
        </w:tc>
        <w:tc>
          <w:tcPr>
            <w:tcW w:w="1700" w:type="dxa"/>
            <w:vAlign w:val="bottom"/>
            <w:tcBorders>
              <w:right w:val="single" w:sz="8" w:color="auto"/>
            </w:tcBorders>
            <w:vMerge w:val="continue"/>
          </w:tcPr>
          <w:p>
            <w:pPr>
              <w:spacing w:after="0"/>
              <w:rPr>
                <w:sz w:val="13"/>
                <w:szCs w:val="13"/>
                <w:color w:val="auto"/>
              </w:rPr>
            </w:pP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7"/>
              </w:rPr>
              <w:t>and products and completed operations aggregate</w:t>
            </w:r>
          </w:p>
        </w:tc>
        <w:tc>
          <w:tcPr>
            <w:tcW w:w="0" w:type="dxa"/>
            <w:vAlign w:val="bottom"/>
          </w:tcPr>
          <w:p>
            <w:pPr>
              <w:spacing w:after="0"/>
              <w:rPr>
                <w:sz w:val="1"/>
                <w:szCs w:val="1"/>
                <w:color w:val="auto"/>
              </w:rPr>
            </w:pPr>
          </w:p>
        </w:tc>
      </w:tr>
      <w:tr>
        <w:trPr>
          <w:trHeight w:val="144"/>
        </w:trPr>
        <w:tc>
          <w:tcPr>
            <w:tcW w:w="2340" w:type="dxa"/>
            <w:vAlign w:val="bottom"/>
            <w:tcBorders>
              <w:left w:val="single" w:sz="8" w:color="auto"/>
              <w:right w:val="single" w:sz="8" w:color="auto"/>
            </w:tcBorders>
            <w:gridSpan w:val="4"/>
            <w:vMerge w:val="continue"/>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780" w:type="dxa"/>
            <w:vAlign w:val="bottom"/>
            <w:tcBorders>
              <w:right w:val="single" w:sz="8" w:color="auto"/>
            </w:tcBorders>
            <w:gridSpan w:val="2"/>
            <w:vMerge w:val="restart"/>
          </w:tcPr>
          <w:p>
            <w:pPr>
              <w:jc w:val="center"/>
              <w:ind w:right="160"/>
              <w:spacing w:after="0"/>
              <w:rPr>
                <w:sz w:val="20"/>
                <w:szCs w:val="20"/>
                <w:color w:val="auto"/>
              </w:rPr>
            </w:pPr>
            <w:r>
              <w:rPr>
                <w:rFonts w:ascii="Arial" w:cs="Arial" w:eastAsia="Arial" w:hAnsi="Arial"/>
                <w:sz w:val="22"/>
                <w:szCs w:val="22"/>
                <w:color w:val="auto"/>
                <w:w w:val="86"/>
              </w:rPr>
              <w:t>by use of excess</w:t>
            </w: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4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00" w:type="dxa"/>
            <w:vAlign w:val="bottom"/>
            <w:tcBorders>
              <w:left w:val="single" w:sz="8" w:color="auto"/>
            </w:tcBorders>
          </w:tcPr>
          <w:p>
            <w:pPr>
              <w:spacing w:after="0"/>
              <w:rPr>
                <w:sz w:val="20"/>
                <w:szCs w:val="20"/>
                <w:color w:val="auto"/>
              </w:rPr>
            </w:pPr>
          </w:p>
        </w:tc>
        <w:tc>
          <w:tcPr>
            <w:tcW w:w="60" w:type="dxa"/>
            <w:vAlign w:val="bottom"/>
            <w:vMerge w:val="continue"/>
          </w:tcPr>
          <w:p>
            <w:pPr>
              <w:spacing w:after="0"/>
              <w:rPr>
                <w:sz w:val="20"/>
                <w:szCs w:val="20"/>
                <w:color w:val="auto"/>
              </w:rPr>
            </w:pPr>
          </w:p>
        </w:tc>
        <w:tc>
          <w:tcPr>
            <w:tcW w:w="1780" w:type="dxa"/>
            <w:vAlign w:val="bottom"/>
            <w:tcBorders>
              <w:right w:val="single" w:sz="8" w:color="auto"/>
            </w:tcBorders>
            <w:gridSpan w:val="2"/>
            <w:vMerge w:val="continue"/>
          </w:tcPr>
          <w:p>
            <w:pPr>
              <w:spacing w:after="0"/>
              <w:rPr>
                <w:sz w:val="20"/>
                <w:szCs w:val="20"/>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4"/>
              </w:rPr>
              <w:t>&lt;$50 million</w:t>
            </w:r>
          </w:p>
        </w:tc>
        <w:tc>
          <w:tcPr>
            <w:tcW w:w="4540" w:type="dxa"/>
            <w:vAlign w:val="bottom"/>
            <w:tcBorders>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$25 million per occurrence, general aggregate,</w:t>
            </w:r>
          </w:p>
        </w:tc>
        <w:tc>
          <w:tcPr>
            <w:tcW w:w="0" w:type="dxa"/>
            <w:vAlign w:val="bottom"/>
          </w:tcPr>
          <w:p>
            <w:pPr>
              <w:spacing w:after="0"/>
              <w:rPr>
                <w:sz w:val="1"/>
                <w:szCs w:val="1"/>
                <w:color w:val="auto"/>
              </w:rPr>
            </w:pPr>
          </w:p>
        </w:tc>
      </w:tr>
      <w:tr>
        <w:trPr>
          <w:trHeight w:val="243"/>
        </w:trPr>
        <w:tc>
          <w:tcPr>
            <w:tcW w:w="500" w:type="dxa"/>
            <w:vAlign w:val="bottom"/>
            <w:tcBorders>
              <w:lef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Borders>
              <w:right w:val="single" w:sz="8" w:color="auto"/>
            </w:tcBorders>
            <w:gridSpan w:val="2"/>
          </w:tcPr>
          <w:p>
            <w:pPr>
              <w:jc w:val="center"/>
              <w:ind w:right="160"/>
              <w:spacing w:after="0" w:line="243" w:lineRule="exact"/>
              <w:rPr>
                <w:sz w:val="20"/>
                <w:szCs w:val="20"/>
                <w:color w:val="auto"/>
              </w:rPr>
            </w:pPr>
            <w:r>
              <w:rPr>
                <w:rFonts w:ascii="Arial" w:cs="Arial" w:eastAsia="Arial" w:hAnsi="Arial"/>
                <w:sz w:val="22"/>
                <w:szCs w:val="22"/>
                <w:color w:val="auto"/>
                <w:w w:val="90"/>
              </w:rPr>
              <w:t>and/or umbrella</w:t>
            </w:r>
          </w:p>
        </w:tc>
        <w:tc>
          <w:tcPr>
            <w:tcW w:w="1700" w:type="dxa"/>
            <w:vAlign w:val="bottom"/>
            <w:tcBorders>
              <w:right w:val="single" w:sz="8" w:color="auto"/>
            </w:tcBorders>
            <w:vMerge w:val="continue"/>
          </w:tcPr>
          <w:p>
            <w:pPr>
              <w:spacing w:after="0"/>
              <w:rPr>
                <w:sz w:val="21"/>
                <w:szCs w:val="21"/>
                <w:color w:val="auto"/>
              </w:rPr>
            </w:pPr>
          </w:p>
        </w:tc>
        <w:tc>
          <w:tcPr>
            <w:tcW w:w="4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7"/>
              </w:rPr>
              <w:t>and products and completed operations aggregate</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1840" w:type="dxa"/>
            <w:vAlign w:val="bottom"/>
            <w:tcBorders>
              <w:right w:val="single" w:sz="8" w:color="auto"/>
            </w:tcBorders>
            <w:gridSpan w:val="3"/>
            <w:vMerge w:val="restart"/>
          </w:tcPr>
          <w:p>
            <w:pPr>
              <w:jc w:val="center"/>
              <w:ind w:right="120"/>
              <w:spacing w:after="0" w:line="208" w:lineRule="exact"/>
              <w:rPr>
                <w:sz w:val="20"/>
                <w:szCs w:val="20"/>
                <w:color w:val="auto"/>
              </w:rPr>
            </w:pPr>
            <w:r>
              <w:rPr>
                <w:rFonts w:ascii="Arial" w:cs="Arial" w:eastAsia="Arial" w:hAnsi="Arial"/>
                <w:sz w:val="22"/>
                <w:szCs w:val="22"/>
                <w:color w:val="auto"/>
                <w:w w:val="92"/>
              </w:rPr>
              <w:t>liability insurance,</w:t>
            </w:r>
          </w:p>
        </w:tc>
        <w:tc>
          <w:tcPr>
            <w:tcW w:w="1700" w:type="dxa"/>
            <w:vAlign w:val="bottom"/>
            <w:tcBorders>
              <w:bottom w:val="single" w:sz="8" w:color="auto"/>
              <w:right w:val="single" w:sz="8" w:color="auto"/>
            </w:tcBorders>
          </w:tcPr>
          <w:p>
            <w:pPr>
              <w:spacing w:after="0"/>
              <w:rPr>
                <w:sz w:val="9"/>
                <w:szCs w:val="9"/>
                <w:color w:val="auto"/>
              </w:rPr>
            </w:pPr>
          </w:p>
        </w:tc>
        <w:tc>
          <w:tcPr>
            <w:tcW w:w="4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0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3"/>
            <w:vMerge w:val="continue"/>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$10 million per occurrence, general aggregate,</w:t>
            </w:r>
          </w:p>
        </w:tc>
        <w:tc>
          <w:tcPr>
            <w:tcW w:w="0" w:type="dxa"/>
            <w:vAlign w:val="bottom"/>
          </w:tcPr>
          <w:p>
            <w:pPr>
              <w:spacing w:after="0"/>
              <w:rPr>
                <w:sz w:val="1"/>
                <w:szCs w:val="1"/>
                <w:color w:val="auto"/>
              </w:rPr>
            </w:pPr>
          </w:p>
        </w:tc>
      </w:tr>
      <w:tr>
        <w:trPr>
          <w:trHeight w:val="210"/>
        </w:trPr>
        <w:tc>
          <w:tcPr>
            <w:tcW w:w="50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180"/>
              <w:spacing w:after="0" w:line="210" w:lineRule="exact"/>
              <w:rPr>
                <w:sz w:val="20"/>
                <w:szCs w:val="20"/>
                <w:color w:val="auto"/>
              </w:rPr>
            </w:pPr>
            <w:r>
              <w:rPr>
                <w:rFonts w:ascii="Arial" w:cs="Arial" w:eastAsia="Arial" w:hAnsi="Arial"/>
                <w:sz w:val="22"/>
                <w:szCs w:val="22"/>
                <w:color w:val="auto"/>
                <w:w w:val="88"/>
              </w:rPr>
              <w:t>provided that such</w:t>
            </w:r>
          </w:p>
        </w:tc>
        <w:tc>
          <w:tcPr>
            <w:tcW w:w="1700" w:type="dxa"/>
            <w:vAlign w:val="bottom"/>
            <w:tcBorders>
              <w:right w:val="single" w:sz="8" w:color="auto"/>
            </w:tcBorders>
          </w:tcPr>
          <w:p>
            <w:pPr>
              <w:jc w:val="center"/>
              <w:spacing w:after="0" w:line="210" w:lineRule="exact"/>
              <w:rPr>
                <w:sz w:val="20"/>
                <w:szCs w:val="20"/>
                <w:color w:val="auto"/>
              </w:rPr>
            </w:pPr>
            <w:r>
              <w:rPr>
                <w:rFonts w:ascii="Arial" w:cs="Arial" w:eastAsia="Arial" w:hAnsi="Arial"/>
                <w:sz w:val="22"/>
                <w:szCs w:val="22"/>
                <w:color w:val="auto"/>
                <w:w w:val="94"/>
              </w:rPr>
              <w:t>&lt;$25 million</w:t>
            </w:r>
          </w:p>
        </w:tc>
        <w:tc>
          <w:tcPr>
            <w:tcW w:w="45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700" w:type="dxa"/>
            <w:vAlign w:val="bottom"/>
            <w:tcBorders>
              <w:right w:val="single" w:sz="8" w:color="auto"/>
            </w:tcBorders>
          </w:tcPr>
          <w:p>
            <w:pPr>
              <w:spacing w:after="0"/>
              <w:rPr>
                <w:sz w:val="2"/>
                <w:szCs w:val="2"/>
                <w:color w:val="auto"/>
              </w:rPr>
            </w:pP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7"/>
              </w:rPr>
              <w:t>and products and completed operations aggregate</w:t>
            </w:r>
          </w:p>
        </w:tc>
        <w:tc>
          <w:tcPr>
            <w:tcW w:w="0" w:type="dxa"/>
            <w:vAlign w:val="bottom"/>
          </w:tcPr>
          <w:p>
            <w:pPr>
              <w:spacing w:after="0" w:line="20" w:lineRule="exact"/>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1840" w:type="dxa"/>
            <w:vAlign w:val="bottom"/>
            <w:tcBorders>
              <w:right w:val="single" w:sz="8" w:color="auto"/>
            </w:tcBorders>
            <w:gridSpan w:val="3"/>
          </w:tcPr>
          <w:p>
            <w:pPr>
              <w:jc w:val="center"/>
              <w:ind w:right="120"/>
              <w:spacing w:after="0" w:line="248" w:lineRule="exact"/>
              <w:rPr>
                <w:sz w:val="20"/>
                <w:szCs w:val="20"/>
                <w:color w:val="auto"/>
              </w:rPr>
            </w:pPr>
            <w:r>
              <w:rPr>
                <w:rFonts w:ascii="Arial" w:cs="Arial" w:eastAsia="Arial" w:hAnsi="Arial"/>
                <w:sz w:val="22"/>
                <w:szCs w:val="22"/>
                <w:color w:val="auto"/>
                <w:w w:val="86"/>
              </w:rPr>
              <w:t>coverage is at least</w:t>
            </w:r>
          </w:p>
        </w:tc>
        <w:tc>
          <w:tcPr>
            <w:tcW w:w="1700" w:type="dxa"/>
            <w:vAlign w:val="bottom"/>
            <w:tcBorders>
              <w:right w:val="single" w:sz="8" w:color="auto"/>
            </w:tcBorders>
          </w:tcPr>
          <w:p>
            <w:pPr>
              <w:spacing w:after="0"/>
              <w:rPr>
                <w:sz w:val="21"/>
                <w:szCs w:val="21"/>
                <w:color w:val="auto"/>
              </w:rPr>
            </w:pPr>
          </w:p>
        </w:tc>
        <w:tc>
          <w:tcPr>
            <w:tcW w:w="45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780" w:type="dxa"/>
            <w:vAlign w:val="bottom"/>
            <w:tcBorders>
              <w:right w:val="single" w:sz="8" w:color="auto"/>
            </w:tcBorders>
            <w:gridSpan w:val="2"/>
            <w:vMerge w:val="restart"/>
          </w:tcPr>
          <w:p>
            <w:pPr>
              <w:jc w:val="center"/>
              <w:ind w:right="180"/>
              <w:spacing w:after="0"/>
              <w:rPr>
                <w:sz w:val="20"/>
                <w:szCs w:val="20"/>
                <w:color w:val="auto"/>
              </w:rPr>
            </w:pPr>
            <w:r>
              <w:rPr>
                <w:rFonts w:ascii="Arial" w:cs="Arial" w:eastAsia="Arial" w:hAnsi="Arial"/>
                <w:sz w:val="22"/>
                <w:szCs w:val="22"/>
                <w:color w:val="auto"/>
                <w:w w:val="84"/>
              </w:rPr>
              <w:t>as broad as the</w:t>
            </w: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4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00" w:type="dxa"/>
            <w:vAlign w:val="bottom"/>
            <w:tcBorders>
              <w:left w:val="single" w:sz="8" w:color="auto"/>
            </w:tcBorders>
          </w:tcPr>
          <w:p>
            <w:pPr>
              <w:spacing w:after="0"/>
              <w:rPr>
                <w:sz w:val="20"/>
                <w:szCs w:val="20"/>
                <w:color w:val="auto"/>
              </w:rPr>
            </w:pPr>
          </w:p>
        </w:tc>
        <w:tc>
          <w:tcPr>
            <w:tcW w:w="60" w:type="dxa"/>
            <w:vAlign w:val="bottom"/>
            <w:vMerge w:val="continue"/>
          </w:tcPr>
          <w:p>
            <w:pPr>
              <w:spacing w:after="0"/>
              <w:rPr>
                <w:sz w:val="20"/>
                <w:szCs w:val="20"/>
                <w:color w:val="auto"/>
              </w:rPr>
            </w:pPr>
          </w:p>
        </w:tc>
        <w:tc>
          <w:tcPr>
            <w:tcW w:w="1780" w:type="dxa"/>
            <w:vAlign w:val="bottom"/>
            <w:tcBorders>
              <w:right w:val="single" w:sz="8" w:color="auto"/>
            </w:tcBorders>
            <w:gridSpan w:val="2"/>
            <w:vMerge w:val="continue"/>
          </w:tcPr>
          <w:p>
            <w:pPr>
              <w:spacing w:after="0"/>
              <w:rPr>
                <w:sz w:val="20"/>
                <w:szCs w:val="20"/>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4"/>
              </w:rPr>
              <w:t>&lt;$10 million</w:t>
            </w:r>
          </w:p>
        </w:tc>
        <w:tc>
          <w:tcPr>
            <w:tcW w:w="4540" w:type="dxa"/>
            <w:vAlign w:val="bottom"/>
            <w:tcBorders>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$5 million per occurrence, general aggregate, and</w:t>
            </w:r>
          </w:p>
        </w:tc>
        <w:tc>
          <w:tcPr>
            <w:tcW w:w="0" w:type="dxa"/>
            <w:vAlign w:val="bottom"/>
          </w:tcPr>
          <w:p>
            <w:pPr>
              <w:spacing w:after="0"/>
              <w:rPr>
                <w:sz w:val="1"/>
                <w:szCs w:val="1"/>
                <w:color w:val="auto"/>
              </w:rPr>
            </w:pPr>
          </w:p>
        </w:tc>
      </w:tr>
      <w:tr>
        <w:trPr>
          <w:trHeight w:val="243"/>
        </w:trPr>
        <w:tc>
          <w:tcPr>
            <w:tcW w:w="500" w:type="dxa"/>
            <w:vAlign w:val="bottom"/>
            <w:tcBorders>
              <w:left w:val="single" w:sz="8" w:color="auto"/>
            </w:tcBorders>
          </w:tcPr>
          <w:p>
            <w:pPr>
              <w:spacing w:after="0"/>
              <w:rPr>
                <w:sz w:val="21"/>
                <w:szCs w:val="21"/>
                <w:color w:val="auto"/>
              </w:rPr>
            </w:pPr>
          </w:p>
        </w:tc>
        <w:tc>
          <w:tcPr>
            <w:tcW w:w="1840" w:type="dxa"/>
            <w:vAlign w:val="bottom"/>
            <w:tcBorders>
              <w:right w:val="single" w:sz="8" w:color="auto"/>
            </w:tcBorders>
            <w:gridSpan w:val="3"/>
          </w:tcPr>
          <w:p>
            <w:pPr>
              <w:jc w:val="center"/>
              <w:ind w:right="120"/>
              <w:spacing w:after="0" w:line="243" w:lineRule="exact"/>
              <w:rPr>
                <w:sz w:val="20"/>
                <w:szCs w:val="20"/>
                <w:color w:val="auto"/>
              </w:rPr>
            </w:pPr>
            <w:r>
              <w:rPr>
                <w:rFonts w:ascii="Arial" w:cs="Arial" w:eastAsia="Arial" w:hAnsi="Arial"/>
                <w:sz w:val="22"/>
                <w:szCs w:val="22"/>
                <w:color w:val="auto"/>
                <w:w w:val="88"/>
              </w:rPr>
              <w:t>primary coverages</w:t>
            </w:r>
          </w:p>
        </w:tc>
        <w:tc>
          <w:tcPr>
            <w:tcW w:w="1700" w:type="dxa"/>
            <w:vAlign w:val="bottom"/>
            <w:tcBorders>
              <w:right w:val="single" w:sz="8" w:color="auto"/>
            </w:tcBorders>
            <w:vMerge w:val="continue"/>
          </w:tcPr>
          <w:p>
            <w:pPr>
              <w:spacing w:after="0"/>
              <w:rPr>
                <w:sz w:val="21"/>
                <w:szCs w:val="21"/>
                <w:color w:val="auto"/>
              </w:rPr>
            </w:pPr>
          </w:p>
        </w:tc>
        <w:tc>
          <w:tcPr>
            <w:tcW w:w="4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7"/>
              </w:rPr>
              <w:t>products and completed operations aggregate</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60" w:type="dxa"/>
            <w:vAlign w:val="bottom"/>
            <w:vMerge w:val="restart"/>
          </w:tcPr>
          <w:p>
            <w:pPr>
              <w:spacing w:after="0"/>
              <w:rPr>
                <w:sz w:val="9"/>
                <w:szCs w:val="9"/>
                <w:color w:val="auto"/>
              </w:rPr>
            </w:pPr>
          </w:p>
        </w:tc>
        <w:tc>
          <w:tcPr>
            <w:tcW w:w="1780" w:type="dxa"/>
            <w:vAlign w:val="bottom"/>
            <w:tcBorders>
              <w:right w:val="single" w:sz="8" w:color="auto"/>
            </w:tcBorders>
            <w:gridSpan w:val="2"/>
            <w:vMerge w:val="restart"/>
          </w:tcPr>
          <w:p>
            <w:pPr>
              <w:jc w:val="center"/>
              <w:ind w:right="180"/>
              <w:spacing w:after="0"/>
              <w:rPr>
                <w:sz w:val="20"/>
                <w:szCs w:val="20"/>
                <w:color w:val="auto"/>
              </w:rPr>
            </w:pPr>
            <w:r>
              <w:rPr>
                <w:rFonts w:ascii="Arial" w:cs="Arial" w:eastAsia="Arial" w:hAnsi="Arial"/>
                <w:sz w:val="22"/>
                <w:szCs w:val="22"/>
                <w:color w:val="auto"/>
                <w:w w:val="89"/>
              </w:rPr>
              <w:t>required herein</w:t>
            </w:r>
          </w:p>
        </w:tc>
        <w:tc>
          <w:tcPr>
            <w:tcW w:w="1700" w:type="dxa"/>
            <w:vAlign w:val="bottom"/>
            <w:tcBorders>
              <w:bottom w:val="single" w:sz="8" w:color="auto"/>
              <w:right w:val="single" w:sz="8" w:color="auto"/>
            </w:tcBorders>
          </w:tcPr>
          <w:p>
            <w:pPr>
              <w:spacing w:after="0"/>
              <w:rPr>
                <w:sz w:val="9"/>
                <w:szCs w:val="9"/>
                <w:color w:val="auto"/>
              </w:rPr>
            </w:pPr>
          </w:p>
        </w:tc>
        <w:tc>
          <w:tcPr>
            <w:tcW w:w="4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500" w:type="dxa"/>
            <w:vAlign w:val="bottom"/>
            <w:tcBorders>
              <w:left w:val="single" w:sz="8" w:color="auto"/>
            </w:tcBorders>
          </w:tcPr>
          <w:p>
            <w:pPr>
              <w:spacing w:after="0"/>
              <w:rPr>
                <w:sz w:val="12"/>
                <w:szCs w:val="12"/>
                <w:color w:val="auto"/>
              </w:rPr>
            </w:pPr>
          </w:p>
        </w:tc>
        <w:tc>
          <w:tcPr>
            <w:tcW w:w="60" w:type="dxa"/>
            <w:vAlign w:val="bottom"/>
            <w:vMerge w:val="continue"/>
          </w:tcPr>
          <w:p>
            <w:pPr>
              <w:spacing w:after="0"/>
              <w:rPr>
                <w:sz w:val="12"/>
                <w:szCs w:val="12"/>
                <w:color w:val="auto"/>
              </w:rPr>
            </w:pPr>
          </w:p>
        </w:tc>
        <w:tc>
          <w:tcPr>
            <w:tcW w:w="1780" w:type="dxa"/>
            <w:vAlign w:val="bottom"/>
            <w:tcBorders>
              <w:right w:val="single" w:sz="8" w:color="auto"/>
            </w:tcBorders>
            <w:gridSpan w:val="2"/>
            <w:vMerge w:val="continue"/>
          </w:tcPr>
          <w:p>
            <w:pPr>
              <w:spacing w:after="0"/>
              <w:rPr>
                <w:sz w:val="12"/>
                <w:szCs w:val="12"/>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4"/>
              </w:rPr>
              <w:t>&lt;$5 million</w:t>
            </w: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$2 million per occurrence, general aggregate, and</w:t>
            </w:r>
          </w:p>
        </w:tc>
        <w:tc>
          <w:tcPr>
            <w:tcW w:w="0" w:type="dxa"/>
            <w:vAlign w:val="bottom"/>
          </w:tcPr>
          <w:p>
            <w:pPr>
              <w:spacing w:after="0"/>
              <w:rPr>
                <w:sz w:val="1"/>
                <w:szCs w:val="1"/>
                <w:color w:val="auto"/>
              </w:rPr>
            </w:pPr>
          </w:p>
        </w:tc>
      </w:tr>
      <w:tr>
        <w:trPr>
          <w:trHeight w:val="123"/>
        </w:trPr>
        <w:tc>
          <w:tcPr>
            <w:tcW w:w="50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4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0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vMerge w:val="continue"/>
          </w:tcPr>
          <w:p>
            <w:pPr>
              <w:spacing w:after="0"/>
              <w:rPr>
                <w:sz w:val="13"/>
                <w:szCs w:val="13"/>
                <w:color w:val="auto"/>
              </w:rPr>
            </w:pP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7"/>
              </w:rPr>
              <w:t>products and completed operations aggregate</w:t>
            </w:r>
          </w:p>
        </w:tc>
        <w:tc>
          <w:tcPr>
            <w:tcW w:w="0" w:type="dxa"/>
            <w:vAlign w:val="bottom"/>
          </w:tcPr>
          <w:p>
            <w:pPr>
              <w:spacing w:after="0"/>
              <w:rPr>
                <w:sz w:val="1"/>
                <w:szCs w:val="1"/>
                <w:color w:val="auto"/>
              </w:rPr>
            </w:pPr>
          </w:p>
        </w:tc>
      </w:tr>
      <w:tr>
        <w:trPr>
          <w:trHeight w:val="122"/>
        </w:trPr>
        <w:tc>
          <w:tcPr>
            <w:tcW w:w="50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4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50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500" w:type="dxa"/>
            <w:vAlign w:val="bottom"/>
            <w:tcBorders>
              <w:left w:val="single" w:sz="8" w:color="auto"/>
            </w:tcBorders>
            <w:vMerge w:val="restart"/>
          </w:tcPr>
          <w:p>
            <w:pPr>
              <w:ind w:left="300"/>
              <w:spacing w:after="0"/>
              <w:rPr>
                <w:sz w:val="20"/>
                <w:szCs w:val="20"/>
                <w:color w:val="auto"/>
              </w:rPr>
            </w:pPr>
            <w:r>
              <w:rPr>
                <w:rFonts w:ascii="Arial" w:cs="Arial" w:eastAsia="Arial" w:hAnsi="Arial"/>
                <w:sz w:val="22"/>
                <w:szCs w:val="22"/>
                <w:color w:val="auto"/>
                <w:w w:val="97"/>
              </w:rPr>
              <w:t>g.</w:t>
            </w:r>
          </w:p>
        </w:tc>
        <w:tc>
          <w:tcPr>
            <w:tcW w:w="60" w:type="dxa"/>
            <w:vAlign w:val="bottom"/>
          </w:tcPr>
          <w:p>
            <w:pPr>
              <w:spacing w:after="0"/>
              <w:rPr>
                <w:sz w:val="24"/>
                <w:szCs w:val="24"/>
                <w:color w:val="auto"/>
              </w:rPr>
            </w:pPr>
          </w:p>
        </w:tc>
        <w:tc>
          <w:tcPr>
            <w:tcW w:w="1780" w:type="dxa"/>
            <w:vAlign w:val="bottom"/>
            <w:tcBorders>
              <w:right w:val="single" w:sz="8" w:color="auto"/>
            </w:tcBorders>
            <w:gridSpan w:val="2"/>
            <w:vMerge w:val="restart"/>
          </w:tcPr>
          <w:p>
            <w:pPr>
              <w:jc w:val="center"/>
              <w:ind w:right="180"/>
              <w:spacing w:after="0"/>
              <w:rPr>
                <w:sz w:val="20"/>
                <w:szCs w:val="20"/>
                <w:color w:val="auto"/>
              </w:rPr>
            </w:pPr>
            <w:r>
              <w:rPr>
                <w:rFonts w:ascii="Arial" w:cs="Arial" w:eastAsia="Arial" w:hAnsi="Arial"/>
                <w:sz w:val="22"/>
                <w:szCs w:val="22"/>
                <w:color w:val="auto"/>
                <w:w w:val="92"/>
              </w:rPr>
              <w:t>Commercial</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5"/>
              </w:rPr>
              <w:t>≥$25 million</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$25 million combined single limit</w:t>
            </w:r>
          </w:p>
        </w:tc>
        <w:tc>
          <w:tcPr>
            <w:tcW w:w="0" w:type="dxa"/>
            <w:vAlign w:val="bottom"/>
          </w:tcPr>
          <w:p>
            <w:pPr>
              <w:spacing w:after="0"/>
              <w:rPr>
                <w:sz w:val="1"/>
                <w:szCs w:val="1"/>
                <w:color w:val="auto"/>
              </w:rPr>
            </w:pPr>
          </w:p>
        </w:tc>
      </w:tr>
      <w:tr>
        <w:trPr>
          <w:trHeight w:val="44"/>
        </w:trPr>
        <w:tc>
          <w:tcPr>
            <w:tcW w:w="500" w:type="dxa"/>
            <w:vAlign w:val="bottom"/>
            <w:tcBorders>
              <w:left w:val="single" w:sz="8" w:color="auto"/>
            </w:tcBorders>
            <w:vMerge w:val="continue"/>
          </w:tcPr>
          <w:p>
            <w:pPr>
              <w:spacing w:after="0"/>
              <w:rPr>
                <w:sz w:val="3"/>
                <w:szCs w:val="3"/>
                <w:color w:val="auto"/>
              </w:rPr>
            </w:pPr>
          </w:p>
        </w:tc>
        <w:tc>
          <w:tcPr>
            <w:tcW w:w="60" w:type="dxa"/>
            <w:vAlign w:val="bottom"/>
            <w:vMerge w:val="restart"/>
          </w:tcPr>
          <w:p>
            <w:pPr>
              <w:spacing w:after="0"/>
              <w:rPr>
                <w:sz w:val="3"/>
                <w:szCs w:val="3"/>
                <w:color w:val="auto"/>
              </w:rPr>
            </w:pPr>
          </w:p>
        </w:tc>
        <w:tc>
          <w:tcPr>
            <w:tcW w:w="1780" w:type="dxa"/>
            <w:vAlign w:val="bottom"/>
            <w:tcBorders>
              <w:right w:val="single" w:sz="8" w:color="auto"/>
            </w:tcBorders>
            <w:gridSpan w:val="2"/>
            <w:vMerge w:val="continue"/>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500" w:type="dxa"/>
            <w:vAlign w:val="bottom"/>
            <w:tcBorders>
              <w:left w:val="single" w:sz="8" w:color="auto"/>
            </w:tcBorders>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780" w:type="dxa"/>
            <w:vAlign w:val="bottom"/>
            <w:tcBorders>
              <w:right w:val="single" w:sz="8" w:color="auto"/>
            </w:tcBorders>
            <w:gridSpan w:val="2"/>
            <w:vMerge w:val="continue"/>
          </w:tcPr>
          <w:p>
            <w:pPr>
              <w:spacing w:after="0"/>
              <w:rPr>
                <w:sz w:val="3"/>
                <w:szCs w:val="3"/>
                <w:color w:val="auto"/>
              </w:rPr>
            </w:pPr>
          </w:p>
        </w:tc>
        <w:tc>
          <w:tcPr>
            <w:tcW w:w="1700" w:type="dxa"/>
            <w:vAlign w:val="bottom"/>
            <w:tcBorders>
              <w:right w:val="single" w:sz="8" w:color="auto"/>
            </w:tcBorders>
          </w:tcPr>
          <w:p>
            <w:pPr>
              <w:spacing w:after="0"/>
              <w:rPr>
                <w:sz w:val="3"/>
                <w:szCs w:val="3"/>
                <w:color w:val="auto"/>
              </w:rPr>
            </w:pPr>
          </w:p>
        </w:tc>
        <w:tc>
          <w:tcPr>
            <w:tcW w:w="45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00" w:type="dxa"/>
            <w:vAlign w:val="bottom"/>
            <w:tcBorders>
              <w:lef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Borders>
              <w:right w:val="single" w:sz="8" w:color="auto"/>
            </w:tcBorders>
            <w:gridSpan w:val="2"/>
          </w:tcPr>
          <w:p>
            <w:pPr>
              <w:jc w:val="center"/>
              <w:ind w:right="180"/>
              <w:spacing w:after="0" w:line="243" w:lineRule="exact"/>
              <w:rPr>
                <w:sz w:val="20"/>
                <w:szCs w:val="20"/>
                <w:color w:val="auto"/>
              </w:rPr>
            </w:pPr>
            <w:r>
              <w:rPr>
                <w:rFonts w:ascii="Arial" w:cs="Arial" w:eastAsia="Arial" w:hAnsi="Arial"/>
                <w:sz w:val="22"/>
                <w:szCs w:val="22"/>
                <w:color w:val="auto"/>
                <w:w w:val="94"/>
              </w:rPr>
              <w:t>Automobile</w:t>
            </w:r>
          </w:p>
        </w:tc>
        <w:tc>
          <w:tcPr>
            <w:tcW w:w="17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4"/>
              </w:rPr>
              <w:t>&lt;$25 million</w:t>
            </w:r>
          </w:p>
        </w:tc>
        <w:tc>
          <w:tcPr>
            <w:tcW w:w="4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3"/>
              </w:rPr>
              <w:t>$10 million combined single limit</w:t>
            </w:r>
          </w:p>
        </w:tc>
        <w:tc>
          <w:tcPr>
            <w:tcW w:w="0" w:type="dxa"/>
            <w:vAlign w:val="bottom"/>
          </w:tcPr>
          <w:p>
            <w:pPr>
              <w:spacing w:after="0"/>
              <w:rPr>
                <w:sz w:val="1"/>
                <w:szCs w:val="1"/>
                <w:color w:val="auto"/>
              </w:rPr>
            </w:pPr>
          </w:p>
        </w:tc>
      </w:tr>
      <w:tr>
        <w:trPr>
          <w:trHeight w:val="89"/>
        </w:trPr>
        <w:tc>
          <w:tcPr>
            <w:tcW w:w="500" w:type="dxa"/>
            <w:vAlign w:val="bottom"/>
            <w:tcBorders>
              <w:left w:val="single" w:sz="8" w:color="auto"/>
            </w:tcBorders>
          </w:tcPr>
          <w:p>
            <w:pPr>
              <w:spacing w:after="0"/>
              <w:rPr>
                <w:sz w:val="7"/>
                <w:szCs w:val="7"/>
                <w:color w:val="auto"/>
              </w:rPr>
            </w:pPr>
          </w:p>
        </w:tc>
        <w:tc>
          <w:tcPr>
            <w:tcW w:w="60" w:type="dxa"/>
            <w:vAlign w:val="bottom"/>
            <w:vMerge w:val="restart"/>
          </w:tcPr>
          <w:p>
            <w:pPr>
              <w:spacing w:after="0"/>
              <w:rPr>
                <w:sz w:val="7"/>
                <w:szCs w:val="7"/>
                <w:color w:val="auto"/>
              </w:rPr>
            </w:pPr>
          </w:p>
        </w:tc>
        <w:tc>
          <w:tcPr>
            <w:tcW w:w="1780" w:type="dxa"/>
            <w:vAlign w:val="bottom"/>
            <w:tcBorders>
              <w:right w:val="single" w:sz="8" w:color="auto"/>
            </w:tcBorders>
            <w:gridSpan w:val="2"/>
            <w:vMerge w:val="restart"/>
          </w:tcPr>
          <w:p>
            <w:pPr>
              <w:jc w:val="center"/>
              <w:ind w:right="160"/>
              <w:spacing w:after="0"/>
              <w:rPr>
                <w:sz w:val="20"/>
                <w:szCs w:val="20"/>
                <w:color w:val="auto"/>
              </w:rPr>
            </w:pPr>
            <w:r>
              <w:rPr>
                <w:rFonts w:ascii="Arial" w:cs="Arial" w:eastAsia="Arial" w:hAnsi="Arial"/>
                <w:sz w:val="22"/>
                <w:szCs w:val="22"/>
                <w:color w:val="auto"/>
              </w:rPr>
              <w:t>Liability</w:t>
            </w:r>
          </w:p>
        </w:tc>
        <w:tc>
          <w:tcPr>
            <w:tcW w:w="1700" w:type="dxa"/>
            <w:vAlign w:val="bottom"/>
            <w:tcBorders>
              <w:bottom w:val="single" w:sz="8" w:color="auto"/>
              <w:right w:val="single" w:sz="8" w:color="auto"/>
            </w:tcBorders>
          </w:tcPr>
          <w:p>
            <w:pPr>
              <w:spacing w:after="0"/>
              <w:rPr>
                <w:sz w:val="7"/>
                <w:szCs w:val="7"/>
                <w:color w:val="auto"/>
              </w:rPr>
            </w:pPr>
          </w:p>
        </w:tc>
        <w:tc>
          <w:tcPr>
            <w:tcW w:w="4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500" w:type="dxa"/>
            <w:vAlign w:val="bottom"/>
            <w:tcBorders>
              <w:left w:val="single" w:sz="8" w:color="auto"/>
            </w:tcBorders>
          </w:tcPr>
          <w:p>
            <w:pPr>
              <w:spacing w:after="0"/>
              <w:rPr>
                <w:sz w:val="14"/>
                <w:szCs w:val="14"/>
                <w:color w:val="auto"/>
              </w:rPr>
            </w:pPr>
          </w:p>
        </w:tc>
        <w:tc>
          <w:tcPr>
            <w:tcW w:w="60" w:type="dxa"/>
            <w:vAlign w:val="bottom"/>
            <w:vMerge w:val="continue"/>
          </w:tcPr>
          <w:p>
            <w:pPr>
              <w:spacing w:after="0"/>
              <w:rPr>
                <w:sz w:val="14"/>
                <w:szCs w:val="14"/>
                <w:color w:val="auto"/>
              </w:rPr>
            </w:pPr>
          </w:p>
        </w:tc>
        <w:tc>
          <w:tcPr>
            <w:tcW w:w="1780" w:type="dxa"/>
            <w:vAlign w:val="bottom"/>
            <w:tcBorders>
              <w:right w:val="single" w:sz="8" w:color="auto"/>
            </w:tcBorders>
            <w:gridSpan w:val="2"/>
            <w:vMerge w:val="continue"/>
          </w:tcPr>
          <w:p>
            <w:pPr>
              <w:spacing w:after="0"/>
              <w:rPr>
                <w:sz w:val="14"/>
                <w:szCs w:val="14"/>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4"/>
              </w:rPr>
              <w:t>&lt;$10 million</w:t>
            </w: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3"/>
              </w:rPr>
              <w:t>$5 million combined single limit</w:t>
            </w:r>
          </w:p>
        </w:tc>
        <w:tc>
          <w:tcPr>
            <w:tcW w:w="0" w:type="dxa"/>
            <w:vAlign w:val="bottom"/>
          </w:tcPr>
          <w:p>
            <w:pPr>
              <w:spacing w:after="0"/>
              <w:rPr>
                <w:sz w:val="1"/>
                <w:szCs w:val="1"/>
                <w:color w:val="auto"/>
              </w:rPr>
            </w:pPr>
          </w:p>
        </w:tc>
      </w:tr>
      <w:tr>
        <w:trPr>
          <w:trHeight w:val="135"/>
        </w:trPr>
        <w:tc>
          <w:tcPr>
            <w:tcW w:w="2340" w:type="dxa"/>
            <w:vAlign w:val="bottom"/>
            <w:tcBorders>
              <w:left w:val="single" w:sz="8" w:color="auto"/>
              <w:right w:val="single" w:sz="8" w:color="auto"/>
            </w:tcBorders>
            <w:gridSpan w:val="4"/>
            <w:vMerge w:val="restart"/>
          </w:tcPr>
          <w:p>
            <w:pPr>
              <w:ind w:left="300"/>
              <w:spacing w:after="0"/>
              <w:rPr>
                <w:sz w:val="20"/>
                <w:szCs w:val="20"/>
                <w:color w:val="auto"/>
              </w:rPr>
            </w:pPr>
            <w:r>
              <w:rPr>
                <w:rFonts w:ascii="Arial" w:cs="Arial" w:eastAsia="Arial" w:hAnsi="Arial"/>
                <w:sz w:val="22"/>
                <w:szCs w:val="22"/>
                <w:color w:val="auto"/>
              </w:rPr>
              <w:t>* Limits may be met</w:t>
            </w:r>
          </w:p>
        </w:tc>
        <w:tc>
          <w:tcPr>
            <w:tcW w:w="1700" w:type="dxa"/>
            <w:vAlign w:val="bottom"/>
            <w:tcBorders>
              <w:right w:val="single" w:sz="8" w:color="auto"/>
            </w:tcBorders>
            <w:vMerge w:val="continue"/>
          </w:tcPr>
          <w:p>
            <w:pPr>
              <w:spacing w:after="0"/>
              <w:rPr>
                <w:sz w:val="11"/>
                <w:szCs w:val="11"/>
                <w:color w:val="auto"/>
              </w:rPr>
            </w:pPr>
          </w:p>
        </w:tc>
        <w:tc>
          <w:tcPr>
            <w:tcW w:w="45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340" w:type="dxa"/>
            <w:vAlign w:val="bottom"/>
            <w:tcBorders>
              <w:left w:val="single" w:sz="8" w:color="auto"/>
              <w:right w:val="single" w:sz="8" w:color="auto"/>
            </w:tcBorders>
            <w:gridSpan w:val="4"/>
            <w:vMerge w:val="continue"/>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340" w:type="dxa"/>
            <w:vAlign w:val="bottom"/>
            <w:tcBorders>
              <w:left w:val="single" w:sz="8" w:color="auto"/>
              <w:right w:val="single" w:sz="8" w:color="auto"/>
            </w:tcBorders>
            <w:gridSpan w:val="4"/>
            <w:vMerge w:val="continue"/>
          </w:tcPr>
          <w:p>
            <w:pPr>
              <w:spacing w:after="0"/>
              <w:rPr>
                <w:sz w:val="8"/>
                <w:szCs w:val="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4"/>
              </w:rPr>
              <w:t>&lt;$5 million</w:t>
            </w: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3"/>
              </w:rPr>
              <w:t>$2 million combined single limit</w:t>
            </w: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vMerge w:val="continue"/>
          </w:tcPr>
          <w:p>
            <w:pPr>
              <w:spacing w:after="0"/>
              <w:rPr>
                <w:sz w:val="17"/>
                <w:szCs w:val="17"/>
                <w:color w:val="auto"/>
              </w:rPr>
            </w:pPr>
          </w:p>
        </w:tc>
        <w:tc>
          <w:tcPr>
            <w:tcW w:w="45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50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97"/>
        </w:trPr>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753" w:right="1440" w:bottom="1440" w:gutter="0" w:footer="0" w:header="0"/>
        </w:sectPr>
      </w:pPr>
    </w:p>
    <w:bookmarkStart w:id="100" w:name="page101"/>
    <w:bookmarkEnd w:id="100"/>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320"/>
        </w:trPr>
        <w:tc>
          <w:tcPr>
            <w:tcW w:w="520" w:type="dxa"/>
            <w:vAlign w:val="bottom"/>
            <w:tcBorders>
              <w:top w:val="single" w:sz="8" w:color="auto"/>
              <w:left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780" w:type="dxa"/>
            <w:vAlign w:val="bottom"/>
            <w:tcBorders>
              <w:top w:val="single" w:sz="8" w:color="auto"/>
              <w:right w:val="single" w:sz="8" w:color="auto"/>
            </w:tcBorders>
            <w:gridSpan w:val="2"/>
          </w:tcPr>
          <w:p>
            <w:pPr>
              <w:ind w:left="160"/>
              <w:spacing w:after="0"/>
              <w:rPr>
                <w:sz w:val="20"/>
                <w:szCs w:val="20"/>
                <w:color w:val="auto"/>
              </w:rPr>
            </w:pPr>
            <w:r>
              <w:rPr>
                <w:rFonts w:ascii="Arial" w:cs="Arial" w:eastAsia="Arial" w:hAnsi="Arial"/>
                <w:sz w:val="22"/>
                <w:szCs w:val="22"/>
                <w:b w:val="1"/>
                <w:bCs w:val="1"/>
                <w:color w:val="auto"/>
              </w:rPr>
              <w:t>Coverage</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Cost of Work</w:t>
            </w:r>
          </w:p>
        </w:tc>
        <w:tc>
          <w:tcPr>
            <w:tcW w:w="4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Minimum Limits of Insurance</w:t>
            </w:r>
          </w:p>
        </w:tc>
        <w:tc>
          <w:tcPr>
            <w:tcW w:w="0" w:type="dxa"/>
            <w:vAlign w:val="bottom"/>
          </w:tcPr>
          <w:p>
            <w:pPr>
              <w:spacing w:after="0"/>
              <w:rPr>
                <w:sz w:val="1"/>
                <w:szCs w:val="1"/>
                <w:color w:val="auto"/>
              </w:rPr>
            </w:pPr>
          </w:p>
        </w:tc>
      </w:tr>
      <w:tr>
        <w:trPr>
          <w:trHeight w:val="44"/>
        </w:trPr>
        <w:tc>
          <w:tcPr>
            <w:tcW w:w="520" w:type="dxa"/>
            <w:vAlign w:val="bottom"/>
            <w:tcBorders>
              <w:left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2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160"/>
              <w:spacing w:after="0" w:line="216" w:lineRule="exact"/>
              <w:rPr>
                <w:sz w:val="20"/>
                <w:szCs w:val="20"/>
                <w:color w:val="auto"/>
              </w:rPr>
            </w:pPr>
            <w:r>
              <w:rPr>
                <w:rFonts w:ascii="Arial" w:cs="Arial" w:eastAsia="Arial" w:hAnsi="Arial"/>
                <w:sz w:val="22"/>
                <w:szCs w:val="22"/>
                <w:color w:val="auto"/>
                <w:w w:val="86"/>
              </w:rPr>
              <w:t>by use of excess</w:t>
            </w:r>
          </w:p>
        </w:tc>
        <w:tc>
          <w:tcPr>
            <w:tcW w:w="1700" w:type="dxa"/>
            <w:vAlign w:val="bottom"/>
            <w:tcBorders>
              <w:right w:val="single" w:sz="8" w:color="auto"/>
            </w:tcBorders>
          </w:tcPr>
          <w:p>
            <w:pPr>
              <w:spacing w:after="0"/>
              <w:rPr>
                <w:sz w:val="18"/>
                <w:szCs w:val="18"/>
                <w:color w:val="auto"/>
              </w:rPr>
            </w:pPr>
          </w:p>
        </w:tc>
        <w:tc>
          <w:tcPr>
            <w:tcW w:w="4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tcBorders>
              <w:right w:val="single" w:sz="8" w:color="auto"/>
            </w:tcBorders>
            <w:gridSpan w:val="2"/>
          </w:tcPr>
          <w:p>
            <w:pPr>
              <w:jc w:val="center"/>
              <w:ind w:right="160"/>
              <w:spacing w:after="0" w:line="243" w:lineRule="exact"/>
              <w:rPr>
                <w:sz w:val="20"/>
                <w:szCs w:val="20"/>
                <w:color w:val="auto"/>
              </w:rPr>
            </w:pPr>
            <w:r>
              <w:rPr>
                <w:rFonts w:ascii="Arial" w:cs="Arial" w:eastAsia="Arial" w:hAnsi="Arial"/>
                <w:sz w:val="22"/>
                <w:szCs w:val="22"/>
                <w:color w:val="auto"/>
                <w:w w:val="90"/>
              </w:rPr>
              <w:t>and/or umbrella</w:t>
            </w:r>
          </w:p>
        </w:tc>
        <w:tc>
          <w:tcPr>
            <w:tcW w:w="1700" w:type="dxa"/>
            <w:vAlign w:val="bottom"/>
            <w:tcBorders>
              <w:right w:val="single" w:sz="8" w:color="auto"/>
            </w:tcBorders>
          </w:tcPr>
          <w:p>
            <w:pPr>
              <w:spacing w:after="0"/>
              <w:rPr>
                <w:sz w:val="21"/>
                <w:szCs w:val="21"/>
                <w:color w:val="auto"/>
              </w:rPr>
            </w:pPr>
          </w:p>
        </w:tc>
        <w:tc>
          <w:tcPr>
            <w:tcW w:w="45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Borders>
              <w:left w:val="single" w:sz="8" w:color="auto"/>
            </w:tcBorders>
          </w:tcPr>
          <w:p>
            <w:pPr>
              <w:spacing w:after="0"/>
              <w:rPr>
                <w:sz w:val="21"/>
                <w:szCs w:val="21"/>
                <w:color w:val="auto"/>
              </w:rPr>
            </w:pPr>
          </w:p>
        </w:tc>
        <w:tc>
          <w:tcPr>
            <w:tcW w:w="1820" w:type="dxa"/>
            <w:vAlign w:val="bottom"/>
            <w:tcBorders>
              <w:right w:val="single" w:sz="8" w:color="auto"/>
            </w:tcBorders>
            <w:gridSpan w:val="3"/>
          </w:tcPr>
          <w:p>
            <w:pPr>
              <w:jc w:val="center"/>
              <w:ind w:right="140"/>
              <w:spacing w:after="0" w:line="243" w:lineRule="exact"/>
              <w:rPr>
                <w:sz w:val="20"/>
                <w:szCs w:val="20"/>
                <w:color w:val="auto"/>
              </w:rPr>
            </w:pPr>
            <w:r>
              <w:rPr>
                <w:rFonts w:ascii="Arial" w:cs="Arial" w:eastAsia="Arial" w:hAnsi="Arial"/>
                <w:sz w:val="22"/>
                <w:szCs w:val="22"/>
                <w:color w:val="auto"/>
                <w:w w:val="92"/>
              </w:rPr>
              <w:t>liability insurance,</w:t>
            </w:r>
          </w:p>
        </w:tc>
        <w:tc>
          <w:tcPr>
            <w:tcW w:w="1700" w:type="dxa"/>
            <w:vAlign w:val="bottom"/>
            <w:tcBorders>
              <w:right w:val="single" w:sz="8" w:color="auto"/>
            </w:tcBorders>
          </w:tcPr>
          <w:p>
            <w:pPr>
              <w:spacing w:after="0"/>
              <w:rPr>
                <w:sz w:val="21"/>
                <w:szCs w:val="21"/>
                <w:color w:val="auto"/>
              </w:rPr>
            </w:pPr>
          </w:p>
        </w:tc>
        <w:tc>
          <w:tcPr>
            <w:tcW w:w="45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2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Borders>
              <w:right w:val="single" w:sz="8" w:color="auto"/>
            </w:tcBorders>
            <w:gridSpan w:val="2"/>
          </w:tcPr>
          <w:p>
            <w:pPr>
              <w:jc w:val="center"/>
              <w:ind w:right="180"/>
              <w:spacing w:after="0" w:line="224" w:lineRule="exact"/>
              <w:rPr>
                <w:sz w:val="20"/>
                <w:szCs w:val="20"/>
                <w:color w:val="auto"/>
              </w:rPr>
            </w:pPr>
            <w:r>
              <w:rPr>
                <w:rFonts w:ascii="Arial" w:cs="Arial" w:eastAsia="Arial" w:hAnsi="Arial"/>
                <w:sz w:val="22"/>
                <w:szCs w:val="22"/>
                <w:color w:val="auto"/>
                <w:w w:val="88"/>
              </w:rPr>
              <w:t>provided that such</w:t>
            </w:r>
          </w:p>
        </w:tc>
        <w:tc>
          <w:tcPr>
            <w:tcW w:w="1700" w:type="dxa"/>
            <w:vAlign w:val="bottom"/>
            <w:tcBorders>
              <w:right w:val="single" w:sz="8" w:color="auto"/>
            </w:tcBorders>
          </w:tcPr>
          <w:p>
            <w:pPr>
              <w:spacing w:after="0"/>
              <w:rPr>
                <w:sz w:val="19"/>
                <w:szCs w:val="19"/>
                <w:color w:val="auto"/>
              </w:rPr>
            </w:pPr>
          </w:p>
        </w:tc>
        <w:tc>
          <w:tcPr>
            <w:tcW w:w="4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c>
          <w:tcPr>
            <w:tcW w:w="45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20" w:type="dxa"/>
            <w:vAlign w:val="bottom"/>
            <w:tcBorders>
              <w:left w:val="single" w:sz="8" w:color="auto"/>
            </w:tcBorders>
          </w:tcPr>
          <w:p>
            <w:pPr>
              <w:spacing w:after="0"/>
              <w:rPr>
                <w:sz w:val="21"/>
                <w:szCs w:val="21"/>
                <w:color w:val="auto"/>
              </w:rPr>
            </w:pPr>
          </w:p>
        </w:tc>
        <w:tc>
          <w:tcPr>
            <w:tcW w:w="1820" w:type="dxa"/>
            <w:vAlign w:val="bottom"/>
            <w:tcBorders>
              <w:right w:val="single" w:sz="8" w:color="auto"/>
            </w:tcBorders>
            <w:gridSpan w:val="3"/>
          </w:tcPr>
          <w:p>
            <w:pPr>
              <w:jc w:val="center"/>
              <w:ind w:right="140"/>
              <w:spacing w:after="0" w:line="242" w:lineRule="exact"/>
              <w:rPr>
                <w:sz w:val="20"/>
                <w:szCs w:val="20"/>
                <w:color w:val="auto"/>
              </w:rPr>
            </w:pPr>
            <w:r>
              <w:rPr>
                <w:rFonts w:ascii="Arial" w:cs="Arial" w:eastAsia="Arial" w:hAnsi="Arial"/>
                <w:sz w:val="22"/>
                <w:szCs w:val="22"/>
                <w:color w:val="auto"/>
                <w:w w:val="86"/>
              </w:rPr>
              <w:t>coverage is at least</w:t>
            </w:r>
          </w:p>
        </w:tc>
        <w:tc>
          <w:tcPr>
            <w:tcW w:w="1700" w:type="dxa"/>
            <w:vAlign w:val="bottom"/>
            <w:tcBorders>
              <w:right w:val="single" w:sz="8" w:color="auto"/>
            </w:tcBorders>
          </w:tcPr>
          <w:p>
            <w:pPr>
              <w:spacing w:after="0"/>
              <w:rPr>
                <w:sz w:val="21"/>
                <w:szCs w:val="21"/>
                <w:color w:val="auto"/>
              </w:rPr>
            </w:pPr>
          </w:p>
        </w:tc>
        <w:tc>
          <w:tcPr>
            <w:tcW w:w="45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tcBorders>
              <w:right w:val="single" w:sz="8" w:color="auto"/>
            </w:tcBorders>
            <w:gridSpan w:val="2"/>
          </w:tcPr>
          <w:p>
            <w:pPr>
              <w:jc w:val="center"/>
              <w:ind w:right="180"/>
              <w:spacing w:after="0" w:line="243" w:lineRule="exact"/>
              <w:rPr>
                <w:sz w:val="20"/>
                <w:szCs w:val="20"/>
                <w:color w:val="auto"/>
              </w:rPr>
            </w:pPr>
            <w:r>
              <w:rPr>
                <w:rFonts w:ascii="Arial" w:cs="Arial" w:eastAsia="Arial" w:hAnsi="Arial"/>
                <w:sz w:val="22"/>
                <w:szCs w:val="22"/>
                <w:color w:val="auto"/>
                <w:w w:val="84"/>
              </w:rPr>
              <w:t>as broad as the</w:t>
            </w:r>
          </w:p>
        </w:tc>
        <w:tc>
          <w:tcPr>
            <w:tcW w:w="1700" w:type="dxa"/>
            <w:vAlign w:val="bottom"/>
            <w:tcBorders>
              <w:right w:val="single" w:sz="8" w:color="auto"/>
            </w:tcBorders>
          </w:tcPr>
          <w:p>
            <w:pPr>
              <w:spacing w:after="0"/>
              <w:rPr>
                <w:sz w:val="21"/>
                <w:szCs w:val="21"/>
                <w:color w:val="auto"/>
              </w:rPr>
            </w:pPr>
          </w:p>
        </w:tc>
        <w:tc>
          <w:tcPr>
            <w:tcW w:w="45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Borders>
              <w:left w:val="single" w:sz="8" w:color="auto"/>
            </w:tcBorders>
          </w:tcPr>
          <w:p>
            <w:pPr>
              <w:spacing w:after="0"/>
              <w:rPr>
                <w:sz w:val="21"/>
                <w:szCs w:val="21"/>
                <w:color w:val="auto"/>
              </w:rPr>
            </w:pPr>
          </w:p>
        </w:tc>
        <w:tc>
          <w:tcPr>
            <w:tcW w:w="1820" w:type="dxa"/>
            <w:vAlign w:val="bottom"/>
            <w:tcBorders>
              <w:right w:val="single" w:sz="8" w:color="auto"/>
            </w:tcBorders>
            <w:gridSpan w:val="3"/>
          </w:tcPr>
          <w:p>
            <w:pPr>
              <w:jc w:val="center"/>
              <w:ind w:right="140"/>
              <w:spacing w:after="0" w:line="243" w:lineRule="exact"/>
              <w:rPr>
                <w:sz w:val="20"/>
                <w:szCs w:val="20"/>
                <w:color w:val="auto"/>
              </w:rPr>
            </w:pPr>
            <w:r>
              <w:rPr>
                <w:rFonts w:ascii="Arial" w:cs="Arial" w:eastAsia="Arial" w:hAnsi="Arial"/>
                <w:sz w:val="22"/>
                <w:szCs w:val="22"/>
                <w:color w:val="auto"/>
                <w:w w:val="88"/>
              </w:rPr>
              <w:t>primary coverages</w:t>
            </w:r>
          </w:p>
        </w:tc>
        <w:tc>
          <w:tcPr>
            <w:tcW w:w="1700" w:type="dxa"/>
            <w:vAlign w:val="bottom"/>
            <w:tcBorders>
              <w:right w:val="single" w:sz="8" w:color="auto"/>
            </w:tcBorders>
          </w:tcPr>
          <w:p>
            <w:pPr>
              <w:spacing w:after="0"/>
              <w:rPr>
                <w:sz w:val="21"/>
                <w:szCs w:val="21"/>
                <w:color w:val="auto"/>
              </w:rPr>
            </w:pPr>
          </w:p>
        </w:tc>
        <w:tc>
          <w:tcPr>
            <w:tcW w:w="45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520" w:type="dxa"/>
            <w:vAlign w:val="bottom"/>
            <w:tcBorders>
              <w:lef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78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22"/>
                <w:szCs w:val="22"/>
                <w:color w:val="auto"/>
                <w:w w:val="89"/>
              </w:rPr>
              <w:t>required herein</w:t>
            </w:r>
          </w:p>
        </w:tc>
        <w:tc>
          <w:tcPr>
            <w:tcW w:w="1700" w:type="dxa"/>
            <w:vAlign w:val="bottom"/>
            <w:tcBorders>
              <w:right w:val="single" w:sz="8" w:color="auto"/>
            </w:tcBorders>
          </w:tcPr>
          <w:p>
            <w:pPr>
              <w:spacing w:after="0"/>
              <w:rPr>
                <w:sz w:val="23"/>
                <w:szCs w:val="23"/>
                <w:color w:val="auto"/>
              </w:rPr>
            </w:pPr>
          </w:p>
        </w:tc>
        <w:tc>
          <w:tcPr>
            <w:tcW w:w="4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520" w:type="dxa"/>
            <w:vAlign w:val="bottom"/>
            <w:tcBorders>
              <w:left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20" w:type="dxa"/>
            <w:vAlign w:val="bottom"/>
            <w:tcBorders>
              <w:left w:val="single" w:sz="8" w:color="auto"/>
            </w:tcBorders>
          </w:tcPr>
          <w:p>
            <w:pPr>
              <w:jc w:val="center"/>
              <w:ind w:left="132"/>
              <w:spacing w:after="0" w:line="216" w:lineRule="exact"/>
              <w:rPr>
                <w:sz w:val="20"/>
                <w:szCs w:val="20"/>
                <w:color w:val="auto"/>
              </w:rPr>
            </w:pPr>
            <w:r>
              <w:rPr>
                <w:rFonts w:ascii="Arial" w:cs="Arial" w:eastAsia="Arial" w:hAnsi="Arial"/>
                <w:sz w:val="22"/>
                <w:szCs w:val="22"/>
                <w:color w:val="auto"/>
                <w:w w:val="93"/>
              </w:rPr>
              <w:t>k.</w:t>
            </w:r>
          </w:p>
        </w:tc>
        <w:tc>
          <w:tcPr>
            <w:tcW w:w="4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180"/>
              <w:spacing w:after="0" w:line="216" w:lineRule="exact"/>
              <w:rPr>
                <w:sz w:val="20"/>
                <w:szCs w:val="20"/>
                <w:color w:val="auto"/>
              </w:rPr>
            </w:pPr>
            <w:r>
              <w:rPr>
                <w:rFonts w:ascii="Arial" w:cs="Arial" w:eastAsia="Arial" w:hAnsi="Arial"/>
                <w:sz w:val="22"/>
                <w:szCs w:val="22"/>
                <w:color w:val="auto"/>
                <w:w w:val="92"/>
              </w:rPr>
              <w:t>Workers’</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2"/>
              </w:rPr>
              <w:t>At all times</w:t>
            </w: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As required by Applicable Laws</w:t>
            </w:r>
          </w:p>
        </w:tc>
        <w:tc>
          <w:tcPr>
            <w:tcW w:w="0" w:type="dxa"/>
            <w:vAlign w:val="bottom"/>
          </w:tcPr>
          <w:p>
            <w:pPr>
              <w:spacing w:after="0"/>
              <w:rPr>
                <w:sz w:val="1"/>
                <w:szCs w:val="1"/>
                <w:color w:val="auto"/>
              </w:rPr>
            </w:pPr>
          </w:p>
        </w:tc>
      </w:tr>
      <w:tr>
        <w:trPr>
          <w:trHeight w:val="180"/>
        </w:trPr>
        <w:tc>
          <w:tcPr>
            <w:tcW w:w="52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780" w:type="dxa"/>
            <w:vAlign w:val="bottom"/>
            <w:tcBorders>
              <w:right w:val="single" w:sz="8" w:color="auto"/>
            </w:tcBorders>
            <w:gridSpan w:val="2"/>
            <w:vMerge w:val="restart"/>
          </w:tcPr>
          <w:p>
            <w:pPr>
              <w:jc w:val="center"/>
              <w:ind w:right="180"/>
              <w:spacing w:after="0"/>
              <w:rPr>
                <w:sz w:val="20"/>
                <w:szCs w:val="20"/>
                <w:color w:val="auto"/>
              </w:rPr>
            </w:pPr>
            <w:r>
              <w:rPr>
                <w:rFonts w:ascii="Arial" w:cs="Arial" w:eastAsia="Arial" w:hAnsi="Arial"/>
                <w:sz w:val="22"/>
                <w:szCs w:val="22"/>
                <w:color w:val="auto"/>
                <w:w w:val="87"/>
              </w:rPr>
              <w:t>Compensation</w:t>
            </w:r>
          </w:p>
        </w:tc>
        <w:tc>
          <w:tcPr>
            <w:tcW w:w="1700" w:type="dxa"/>
            <w:vAlign w:val="bottom"/>
            <w:tcBorders>
              <w:right w:val="single" w:sz="8" w:color="auto"/>
            </w:tcBorders>
            <w:vMerge w:val="continue"/>
          </w:tcPr>
          <w:p>
            <w:pPr>
              <w:spacing w:after="0"/>
              <w:rPr>
                <w:sz w:val="15"/>
                <w:szCs w:val="15"/>
                <w:color w:val="auto"/>
              </w:rPr>
            </w:pPr>
          </w:p>
        </w:tc>
        <w:tc>
          <w:tcPr>
            <w:tcW w:w="45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520" w:type="dxa"/>
            <w:vAlign w:val="bottom"/>
            <w:tcBorders>
              <w:lef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780" w:type="dxa"/>
            <w:vAlign w:val="bottom"/>
            <w:tcBorders>
              <w:right w:val="single" w:sz="8" w:color="auto"/>
            </w:tcBorders>
            <w:gridSpan w:val="2"/>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4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520" w:type="dxa"/>
            <w:vAlign w:val="bottom"/>
            <w:tcBorders>
              <w:left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20" w:type="dxa"/>
            <w:vAlign w:val="bottom"/>
            <w:tcBorders>
              <w:left w:val="single" w:sz="8" w:color="auto"/>
            </w:tcBorders>
          </w:tcPr>
          <w:p>
            <w:pPr>
              <w:jc w:val="center"/>
              <w:ind w:left="132"/>
              <w:spacing w:after="0" w:line="242" w:lineRule="exact"/>
              <w:rPr>
                <w:sz w:val="20"/>
                <w:szCs w:val="20"/>
                <w:color w:val="auto"/>
              </w:rPr>
            </w:pPr>
            <w:r>
              <w:rPr>
                <w:rFonts w:ascii="Arial" w:cs="Arial" w:eastAsia="Arial" w:hAnsi="Arial"/>
                <w:sz w:val="22"/>
                <w:szCs w:val="22"/>
                <w:color w:val="auto"/>
              </w:rPr>
              <w:t>l.</w:t>
            </w:r>
          </w:p>
        </w:tc>
        <w:tc>
          <w:tcPr>
            <w:tcW w:w="40" w:type="dxa"/>
            <w:vAlign w:val="bottom"/>
          </w:tcPr>
          <w:p>
            <w:pPr>
              <w:spacing w:after="0"/>
              <w:rPr>
                <w:sz w:val="21"/>
                <w:szCs w:val="21"/>
                <w:color w:val="auto"/>
              </w:rPr>
            </w:pPr>
          </w:p>
        </w:tc>
        <w:tc>
          <w:tcPr>
            <w:tcW w:w="1780" w:type="dxa"/>
            <w:vAlign w:val="bottom"/>
            <w:tcBorders>
              <w:right w:val="single" w:sz="8" w:color="auto"/>
            </w:tcBorders>
            <w:gridSpan w:val="2"/>
          </w:tcPr>
          <w:p>
            <w:pPr>
              <w:jc w:val="center"/>
              <w:ind w:right="180"/>
              <w:spacing w:after="0" w:line="242" w:lineRule="exact"/>
              <w:rPr>
                <w:sz w:val="20"/>
                <w:szCs w:val="20"/>
                <w:color w:val="auto"/>
              </w:rPr>
            </w:pPr>
            <w:r>
              <w:rPr>
                <w:rFonts w:ascii="Arial" w:cs="Arial" w:eastAsia="Arial" w:hAnsi="Arial"/>
                <w:sz w:val="22"/>
                <w:szCs w:val="22"/>
                <w:color w:val="auto"/>
                <w:w w:val="91"/>
              </w:rPr>
              <w:t>Contractor’s</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2"/>
              </w:rPr>
              <w:t>At all times</w:t>
            </w: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$2 million per location and $4 million aggregate</w:t>
            </w:r>
          </w:p>
        </w:tc>
        <w:tc>
          <w:tcPr>
            <w:tcW w:w="0" w:type="dxa"/>
            <w:vAlign w:val="bottom"/>
          </w:tcPr>
          <w:p>
            <w:pPr>
              <w:spacing w:after="0"/>
              <w:rPr>
                <w:sz w:val="1"/>
                <w:szCs w:val="1"/>
                <w:color w:val="auto"/>
              </w:rPr>
            </w:pPr>
          </w:p>
        </w:tc>
      </w:tr>
      <w:tr>
        <w:trPr>
          <w:trHeight w:val="180"/>
        </w:trPr>
        <w:tc>
          <w:tcPr>
            <w:tcW w:w="52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780" w:type="dxa"/>
            <w:vAlign w:val="bottom"/>
            <w:tcBorders>
              <w:right w:val="single" w:sz="8" w:color="auto"/>
            </w:tcBorders>
            <w:gridSpan w:val="2"/>
            <w:vMerge w:val="restart"/>
          </w:tcPr>
          <w:p>
            <w:pPr>
              <w:jc w:val="center"/>
              <w:ind w:right="180"/>
              <w:spacing w:after="0"/>
              <w:rPr>
                <w:sz w:val="20"/>
                <w:szCs w:val="20"/>
                <w:color w:val="auto"/>
              </w:rPr>
            </w:pPr>
            <w:r>
              <w:rPr>
                <w:rFonts w:ascii="Arial" w:cs="Arial" w:eastAsia="Arial" w:hAnsi="Arial"/>
                <w:sz w:val="22"/>
                <w:szCs w:val="22"/>
                <w:color w:val="auto"/>
                <w:w w:val="97"/>
              </w:rPr>
              <w:t>Pollution Liability</w:t>
            </w:r>
          </w:p>
        </w:tc>
        <w:tc>
          <w:tcPr>
            <w:tcW w:w="1700" w:type="dxa"/>
            <w:vAlign w:val="bottom"/>
            <w:tcBorders>
              <w:right w:val="single" w:sz="8" w:color="auto"/>
            </w:tcBorders>
            <w:vMerge w:val="continue"/>
          </w:tcPr>
          <w:p>
            <w:pPr>
              <w:spacing w:after="0"/>
              <w:rPr>
                <w:sz w:val="15"/>
                <w:szCs w:val="15"/>
                <w:color w:val="auto"/>
              </w:rPr>
            </w:pPr>
          </w:p>
        </w:tc>
        <w:tc>
          <w:tcPr>
            <w:tcW w:w="45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0" w:type="dxa"/>
            <w:vAlign w:val="bottom"/>
            <w:tcBorders>
              <w:lef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780" w:type="dxa"/>
            <w:vAlign w:val="bottom"/>
            <w:tcBorders>
              <w:right w:val="single" w:sz="8" w:color="auto"/>
            </w:tcBorders>
            <w:gridSpan w:val="2"/>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4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520" w:type="dxa"/>
            <w:vAlign w:val="bottom"/>
            <w:tcBorders>
              <w:left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4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0"/>
        </w:trPr>
        <w:tc>
          <w:tcPr>
            <w:tcW w:w="520" w:type="dxa"/>
            <w:vAlign w:val="bottom"/>
            <w:tcBorders>
              <w:left w:val="single" w:sz="8" w:color="auto"/>
            </w:tcBorders>
            <w:vMerge w:val="restart"/>
          </w:tcPr>
          <w:p>
            <w:pPr>
              <w:jc w:val="center"/>
              <w:ind w:left="112"/>
              <w:spacing w:after="0"/>
              <w:rPr>
                <w:sz w:val="20"/>
                <w:szCs w:val="20"/>
                <w:color w:val="auto"/>
              </w:rPr>
            </w:pPr>
            <w:r>
              <w:rPr>
                <w:rFonts w:ascii="Arial" w:cs="Arial" w:eastAsia="Arial" w:hAnsi="Arial"/>
                <w:sz w:val="22"/>
                <w:szCs w:val="22"/>
                <w:color w:val="auto"/>
                <w:w w:val="89"/>
              </w:rPr>
              <w:t>m.</w:t>
            </w:r>
          </w:p>
        </w:tc>
        <w:tc>
          <w:tcPr>
            <w:tcW w:w="40" w:type="dxa"/>
            <w:vAlign w:val="bottom"/>
          </w:tcPr>
          <w:p>
            <w:pPr>
              <w:spacing w:after="0"/>
              <w:rPr>
                <w:sz w:val="24"/>
                <w:szCs w:val="24"/>
                <w:color w:val="auto"/>
              </w:rPr>
            </w:pPr>
          </w:p>
        </w:tc>
        <w:tc>
          <w:tcPr>
            <w:tcW w:w="1780" w:type="dxa"/>
            <w:vAlign w:val="bottom"/>
            <w:tcBorders>
              <w:right w:val="single" w:sz="8" w:color="auto"/>
            </w:tcBorders>
            <w:gridSpan w:val="2"/>
            <w:vMerge w:val="restart"/>
          </w:tcPr>
          <w:p>
            <w:pPr>
              <w:jc w:val="center"/>
              <w:ind w:right="180"/>
              <w:spacing w:after="0"/>
              <w:rPr>
                <w:sz w:val="20"/>
                <w:szCs w:val="20"/>
                <w:color w:val="auto"/>
              </w:rPr>
            </w:pPr>
            <w:r>
              <w:rPr>
                <w:rFonts w:ascii="Arial" w:cs="Arial" w:eastAsia="Arial" w:hAnsi="Arial"/>
                <w:sz w:val="22"/>
                <w:szCs w:val="22"/>
                <w:color w:val="auto"/>
                <w:w w:val="89"/>
              </w:rPr>
              <w:t>Professional</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5"/>
              </w:rPr>
              <w:t>&lt;$200 million</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$10 million per project and in the aggregate</w:t>
            </w:r>
          </w:p>
        </w:tc>
        <w:tc>
          <w:tcPr>
            <w:tcW w:w="0" w:type="dxa"/>
            <w:vAlign w:val="bottom"/>
          </w:tcPr>
          <w:p>
            <w:pPr>
              <w:spacing w:after="0"/>
              <w:rPr>
                <w:sz w:val="1"/>
                <w:szCs w:val="1"/>
                <w:color w:val="auto"/>
              </w:rPr>
            </w:pPr>
          </w:p>
        </w:tc>
      </w:tr>
      <w:tr>
        <w:trPr>
          <w:trHeight w:val="44"/>
        </w:trPr>
        <w:tc>
          <w:tcPr>
            <w:tcW w:w="520" w:type="dxa"/>
            <w:vAlign w:val="bottom"/>
            <w:tcBorders>
              <w:left w:val="single" w:sz="8" w:color="auto"/>
            </w:tcBorders>
            <w:vMerge w:val="continue"/>
          </w:tcPr>
          <w:p>
            <w:pPr>
              <w:spacing w:after="0"/>
              <w:rPr>
                <w:sz w:val="3"/>
                <w:szCs w:val="3"/>
                <w:color w:val="auto"/>
              </w:rPr>
            </w:pPr>
          </w:p>
        </w:tc>
        <w:tc>
          <w:tcPr>
            <w:tcW w:w="40" w:type="dxa"/>
            <w:vAlign w:val="bottom"/>
            <w:vMerge w:val="restart"/>
          </w:tcPr>
          <w:p>
            <w:pPr>
              <w:spacing w:after="0"/>
              <w:rPr>
                <w:sz w:val="3"/>
                <w:szCs w:val="3"/>
                <w:color w:val="auto"/>
              </w:rPr>
            </w:pPr>
          </w:p>
        </w:tc>
        <w:tc>
          <w:tcPr>
            <w:tcW w:w="1780" w:type="dxa"/>
            <w:vAlign w:val="bottom"/>
            <w:tcBorders>
              <w:right w:val="single" w:sz="8" w:color="auto"/>
            </w:tcBorders>
            <w:gridSpan w:val="2"/>
            <w:vMerge w:val="continue"/>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780" w:type="dxa"/>
            <w:vAlign w:val="bottom"/>
            <w:tcBorders>
              <w:right w:val="single" w:sz="8" w:color="auto"/>
            </w:tcBorders>
            <w:gridSpan w:val="2"/>
            <w:vMerge w:val="continue"/>
          </w:tcPr>
          <w:p>
            <w:pPr>
              <w:spacing w:after="0"/>
              <w:rPr>
                <w:sz w:val="15"/>
                <w:szCs w:val="15"/>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4"/>
              </w:rPr>
              <w:t>&lt;$75 million</w:t>
            </w: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$5 million per project and in the aggregate</w:t>
            </w:r>
          </w:p>
        </w:tc>
        <w:tc>
          <w:tcPr>
            <w:tcW w:w="0" w:type="dxa"/>
            <w:vAlign w:val="bottom"/>
          </w:tcPr>
          <w:p>
            <w:pPr>
              <w:spacing w:after="0"/>
              <w:rPr>
                <w:sz w:val="1"/>
                <w:szCs w:val="1"/>
                <w:color w:val="auto"/>
              </w:rPr>
            </w:pPr>
          </w:p>
        </w:tc>
      </w:tr>
      <w:tr>
        <w:trPr>
          <w:trHeight w:val="126"/>
        </w:trPr>
        <w:tc>
          <w:tcPr>
            <w:tcW w:w="520" w:type="dxa"/>
            <w:vAlign w:val="bottom"/>
            <w:tcBorders>
              <w:lef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780" w:type="dxa"/>
            <w:vAlign w:val="bottom"/>
            <w:tcBorders>
              <w:right w:val="single" w:sz="8" w:color="auto"/>
            </w:tcBorders>
            <w:gridSpan w:val="2"/>
            <w:vMerge w:val="restart"/>
          </w:tcPr>
          <w:p>
            <w:pPr>
              <w:jc w:val="center"/>
              <w:ind w:right="180"/>
              <w:spacing w:after="0" w:line="243" w:lineRule="exact"/>
              <w:rPr>
                <w:sz w:val="20"/>
                <w:szCs w:val="20"/>
                <w:color w:val="auto"/>
              </w:rPr>
            </w:pPr>
            <w:r>
              <w:rPr>
                <w:rFonts w:ascii="Arial" w:cs="Arial" w:eastAsia="Arial" w:hAnsi="Arial"/>
                <w:sz w:val="22"/>
                <w:szCs w:val="22"/>
                <w:color w:val="auto"/>
                <w:w w:val="95"/>
              </w:rPr>
              <w:t>Liability (Errors</w:t>
            </w:r>
          </w:p>
        </w:tc>
        <w:tc>
          <w:tcPr>
            <w:tcW w:w="1700" w:type="dxa"/>
            <w:vAlign w:val="bottom"/>
            <w:tcBorders>
              <w:right w:val="single" w:sz="8" w:color="auto"/>
            </w:tcBorders>
            <w:vMerge w:val="continue"/>
          </w:tcPr>
          <w:p>
            <w:pPr>
              <w:spacing w:after="0"/>
              <w:rPr>
                <w:sz w:val="10"/>
                <w:szCs w:val="10"/>
                <w:color w:val="auto"/>
              </w:rPr>
            </w:pPr>
          </w:p>
        </w:tc>
        <w:tc>
          <w:tcPr>
            <w:tcW w:w="4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520" w:type="dxa"/>
            <w:vAlign w:val="bottom"/>
            <w:tcBorders>
              <w:left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1780" w:type="dxa"/>
            <w:vAlign w:val="bottom"/>
            <w:tcBorders>
              <w:right w:val="single" w:sz="8" w:color="auto"/>
            </w:tcBorders>
            <w:gridSpan w:val="2"/>
            <w:vMerge w:val="continue"/>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520" w:type="dxa"/>
            <w:vAlign w:val="bottom"/>
            <w:tcBorders>
              <w:left w:val="single" w:sz="8" w:color="auto"/>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1780" w:type="dxa"/>
            <w:vAlign w:val="bottom"/>
            <w:tcBorders>
              <w:right w:val="single" w:sz="8" w:color="auto"/>
            </w:tcBorders>
            <w:gridSpan w:val="2"/>
            <w:vMerge w:val="continue"/>
          </w:tcPr>
          <w:p>
            <w:pPr>
              <w:spacing w:after="0"/>
              <w:rPr>
                <w:sz w:val="4"/>
                <w:szCs w:val="4"/>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4"/>
              </w:rPr>
              <w:t>&lt;$25 million</w:t>
            </w:r>
          </w:p>
        </w:tc>
        <w:tc>
          <w:tcPr>
            <w:tcW w:w="4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$2 million per project and $4 million aggregate</w:t>
            </w:r>
          </w:p>
        </w:tc>
        <w:tc>
          <w:tcPr>
            <w:tcW w:w="0" w:type="dxa"/>
            <w:vAlign w:val="bottom"/>
          </w:tcPr>
          <w:p>
            <w:pPr>
              <w:spacing w:after="0"/>
              <w:rPr>
                <w:sz w:val="1"/>
                <w:szCs w:val="1"/>
                <w:color w:val="auto"/>
              </w:rPr>
            </w:pPr>
          </w:p>
        </w:tc>
      </w:tr>
      <w:tr>
        <w:trPr>
          <w:trHeight w:val="290"/>
        </w:trPr>
        <w:tc>
          <w:tcPr>
            <w:tcW w:w="52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22"/>
                <w:szCs w:val="22"/>
                <w:color w:val="auto"/>
                <w:w w:val="88"/>
              </w:rPr>
              <w:t>and Omissions)</w:t>
            </w:r>
          </w:p>
        </w:tc>
        <w:tc>
          <w:tcPr>
            <w:tcW w:w="1700" w:type="dxa"/>
            <w:vAlign w:val="bottom"/>
            <w:tcBorders>
              <w:bottom w:val="single" w:sz="8" w:color="auto"/>
              <w:right w:val="single" w:sz="8" w:color="auto"/>
            </w:tcBorders>
            <w:vMerge w:val="continue"/>
          </w:tcPr>
          <w:p>
            <w:pPr>
              <w:spacing w:after="0"/>
              <w:rPr>
                <w:sz w:val="24"/>
                <w:szCs w:val="24"/>
                <w:color w:val="auto"/>
              </w:rPr>
            </w:pPr>
          </w:p>
        </w:tc>
        <w:tc>
          <w:tcPr>
            <w:tcW w:w="454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2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&lt;$10 million</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$1 million per project and $2 million aggregate</w:t>
            </w:r>
          </w:p>
        </w:tc>
        <w:tc>
          <w:tcPr>
            <w:tcW w:w="0" w:type="dxa"/>
            <w:vAlign w:val="bottom"/>
          </w:tcPr>
          <w:p>
            <w:pPr>
              <w:spacing w:after="0"/>
              <w:rPr>
                <w:sz w:val="1"/>
                <w:szCs w:val="1"/>
                <w:color w:val="auto"/>
              </w:rPr>
            </w:pPr>
          </w:p>
        </w:tc>
      </w:tr>
      <w:tr>
        <w:trPr>
          <w:trHeight w:val="44"/>
        </w:trPr>
        <w:tc>
          <w:tcPr>
            <w:tcW w:w="520" w:type="dxa"/>
            <w:vAlign w:val="bottom"/>
            <w:tcBorders>
              <w:left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200" w:right="219" w:firstLine="9"/>
        <w:spacing w:after="0"/>
        <w:tabs>
          <w:tab w:leader="none" w:pos="848"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Notice of Cancelation</w:t>
      </w:r>
      <w:r>
        <w:rPr>
          <w:rFonts w:ascii="Arial" w:cs="Arial" w:eastAsia="Arial" w:hAnsi="Arial"/>
          <w:sz w:val="22"/>
          <w:szCs w:val="22"/>
          <w:color w:val="auto"/>
        </w:rPr>
        <w:t>. The foregoing policies shall contain a provision that coverages afforded under the policies shall not be canceled or not renewed until at least thirty (30) days’ prior written notice has been given to the Landlord.</w:t>
      </w:r>
    </w:p>
    <w:p>
      <w:pPr>
        <w:spacing w:after="0" w:line="186" w:lineRule="exact"/>
        <w:rPr>
          <w:rFonts w:ascii="Arial" w:cs="Arial" w:eastAsia="Arial" w:hAnsi="Arial"/>
          <w:sz w:val="22"/>
          <w:szCs w:val="22"/>
          <w:color w:val="auto"/>
        </w:rPr>
      </w:pPr>
    </w:p>
    <w:p>
      <w:pPr>
        <w:jc w:val="both"/>
        <w:ind w:left="200" w:right="219" w:firstLine="9"/>
        <w:spacing w:after="0"/>
        <w:tabs>
          <w:tab w:leader="none" w:pos="848"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Evidence of Insurance</w:t>
      </w:r>
      <w:r>
        <w:rPr>
          <w:rFonts w:ascii="Arial" w:cs="Arial" w:eastAsia="Arial" w:hAnsi="Arial"/>
          <w:sz w:val="22"/>
          <w:szCs w:val="22"/>
          <w:color w:val="auto"/>
        </w:rPr>
        <w:t>. Certificates of insurance, including required endorsements showing such coverages to be in force, shall be provided to Landlord prior to the commencement of any Tenant Work and prior to each renewal.</w:t>
      </w:r>
    </w:p>
    <w:p>
      <w:pPr>
        <w:spacing w:after="0" w:line="186" w:lineRule="exact"/>
        <w:rPr>
          <w:rFonts w:ascii="Arial" w:cs="Arial" w:eastAsia="Arial" w:hAnsi="Arial"/>
          <w:sz w:val="22"/>
          <w:szCs w:val="22"/>
          <w:color w:val="auto"/>
        </w:rPr>
      </w:pPr>
    </w:p>
    <w:p>
      <w:pPr>
        <w:ind w:left="860" w:hanging="651"/>
        <w:spacing w:after="0"/>
        <w:tabs>
          <w:tab w:leader="none" w:pos="86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Insurer Ratings</w:t>
      </w:r>
      <w:r>
        <w:rPr>
          <w:rFonts w:ascii="Arial" w:cs="Arial" w:eastAsia="Arial" w:hAnsi="Arial"/>
          <w:sz w:val="22"/>
          <w:szCs w:val="22"/>
          <w:color w:val="auto"/>
        </w:rPr>
        <w:t>. The minimum A.M. Best’s rating of each insurer shall be A-VII.</w:t>
      </w:r>
    </w:p>
    <w:p>
      <w:pPr>
        <w:spacing w:after="0" w:line="206" w:lineRule="exact"/>
        <w:rPr>
          <w:rFonts w:ascii="Arial" w:cs="Arial" w:eastAsia="Arial" w:hAnsi="Arial"/>
          <w:sz w:val="22"/>
          <w:szCs w:val="22"/>
          <w:color w:val="auto"/>
        </w:rPr>
      </w:pPr>
    </w:p>
    <w:p>
      <w:pPr>
        <w:ind w:left="200" w:right="219" w:firstLine="9"/>
        <w:spacing w:after="0" w:line="250" w:lineRule="auto"/>
        <w:tabs>
          <w:tab w:leader="none" w:pos="848"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Additional Insureds</w:t>
      </w:r>
      <w:r>
        <w:rPr>
          <w:rFonts w:ascii="Arial" w:cs="Arial" w:eastAsia="Arial" w:hAnsi="Arial"/>
          <w:sz w:val="22"/>
          <w:szCs w:val="22"/>
          <w:color w:val="auto"/>
        </w:rPr>
        <w:t>. The policies shall name Landlord Parties as additional insureds to the extent required by the Lease or this Exhibit.</w:t>
      </w:r>
    </w:p>
    <w:p>
      <w:pPr>
        <w:spacing w:after="0" w:line="174" w:lineRule="exact"/>
        <w:rPr>
          <w:rFonts w:ascii="Arial" w:cs="Arial" w:eastAsia="Arial" w:hAnsi="Arial"/>
          <w:sz w:val="22"/>
          <w:szCs w:val="22"/>
          <w:color w:val="auto"/>
        </w:rPr>
      </w:pPr>
    </w:p>
    <w:p>
      <w:pPr>
        <w:jc w:val="both"/>
        <w:ind w:left="200" w:right="219" w:firstLine="9"/>
        <w:spacing w:after="0"/>
        <w:tabs>
          <w:tab w:leader="none" w:pos="848"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Waiver of Subrogation</w:t>
      </w:r>
      <w:r>
        <w:rPr>
          <w:rFonts w:ascii="Arial" w:cs="Arial" w:eastAsia="Arial" w:hAnsi="Arial"/>
          <w:sz w:val="22"/>
          <w:szCs w:val="22"/>
          <w:color w:val="auto"/>
        </w:rPr>
        <w:t>. Tenant, contractors and subcontractors, and each of their respective insurers shall provide waivers of subrogation in favor of the Landlord Parties with respect to all insurance required by the Lease or this Exhibit.</w:t>
      </w:r>
    </w:p>
    <w:p>
      <w:pPr>
        <w:spacing w:after="0" w:line="186" w:lineRule="exact"/>
        <w:rPr>
          <w:rFonts w:ascii="Arial" w:cs="Arial" w:eastAsia="Arial" w:hAnsi="Arial"/>
          <w:sz w:val="22"/>
          <w:szCs w:val="22"/>
          <w:color w:val="auto"/>
        </w:rPr>
      </w:pPr>
    </w:p>
    <w:p>
      <w:pPr>
        <w:jc w:val="both"/>
        <w:ind w:left="200" w:right="219" w:firstLine="9"/>
        <w:spacing w:after="0" w:line="274" w:lineRule="auto"/>
        <w:tabs>
          <w:tab w:leader="none" w:pos="84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Tenant’s Contractors</w:t>
      </w:r>
      <w:r>
        <w:rPr>
          <w:rFonts w:ascii="Arial" w:cs="Arial" w:eastAsia="Arial" w:hAnsi="Arial"/>
          <w:sz w:val="19"/>
          <w:szCs w:val="19"/>
          <w:color w:val="auto"/>
        </w:rPr>
        <w:t>. Tenant shall require all other persons, firms and corporations engaged or employed by Tenant in connection with the performance of Tenant Work to carry and maintain coverages with limits not less than those required by this Exhibit. Tenant’s contractors’ and subcontractors’ insurance compliance, including any coverage exceptions, shall be Tenant’s responsibility. Tenant shall incorporate these insurance requirements by reference within any contract executed by Tenant and its contractors. Tenant shall obtain and verify the accuracy of certificates of insurance evidencing required coverage prior to permitting its contractors, subcontractors (of any tier), suppliers and agents from performing any Tenant Work or services at the Premises. Tenant shall furnish original certificates of insurance with additional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611505</wp:posOffset>
            </wp:positionV>
            <wp:extent cx="545211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54" w:right="1440" w:bottom="1440" w:gutter="0" w:footer="0" w:header="0"/>
        </w:sectPr>
      </w:pPr>
    </w:p>
    <w:bookmarkStart w:id="101" w:name="page102"/>
    <w:bookmarkEnd w:id="101"/>
    <w:p>
      <w:pPr>
        <w:ind w:left="200" w:right="219"/>
        <w:spacing w:after="0" w:line="250" w:lineRule="auto"/>
        <w:rPr>
          <w:sz w:val="20"/>
          <w:szCs w:val="20"/>
          <w:color w:val="auto"/>
        </w:rPr>
      </w:pPr>
      <w:r>
        <w:rPr>
          <w:rFonts w:ascii="Arial" w:cs="Arial" w:eastAsia="Arial" w:hAnsi="Arial"/>
          <w:sz w:val="22"/>
          <w:szCs w:val="22"/>
          <w:color w:val="auto"/>
        </w:rPr>
        <w:t>endorsements from Tenant’s contractors, subcontractors (of any tier), suppliers and agents as evidence thereof, as Landlord may reasonably request.</w:t>
      </w:r>
    </w:p>
    <w:p>
      <w:pPr>
        <w:spacing w:after="0" w:line="175" w:lineRule="exact"/>
        <w:rPr>
          <w:sz w:val="20"/>
          <w:szCs w:val="20"/>
          <w:color w:val="auto"/>
        </w:rPr>
      </w:pPr>
    </w:p>
    <w:p>
      <w:pPr>
        <w:jc w:val="both"/>
        <w:ind w:left="200" w:right="219" w:firstLine="9"/>
        <w:spacing w:after="0" w:line="279" w:lineRule="auto"/>
        <w:tabs>
          <w:tab w:leader="none" w:pos="848"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No Limit of Liability</w:t>
      </w:r>
      <w:r>
        <w:rPr>
          <w:rFonts w:ascii="Arial" w:cs="Arial" w:eastAsia="Arial" w:hAnsi="Arial"/>
          <w:sz w:val="19"/>
          <w:szCs w:val="19"/>
          <w:color w:val="auto"/>
        </w:rPr>
        <w:t>. It is expressly acknowledged and agreed that the insurance policies and limits required hereunder shall not limit the liability of Tenant or its contractors or subcontractors, and that Landlord makes no representation that these types or amounts of insurance are sufficient or adequate to protect Tenant or its contractors’ or subcontractors’ interests or liabilities, but are merely minimums. Any insurance carried by Landlord shall be secondary and non-contributory to that carried by Tenant and/or its contractors or subcontractors.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606425</wp:posOffset>
            </wp:positionV>
            <wp:extent cx="545211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102" w:name="page103"/>
    <w:bookmarkEnd w:id="102"/>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Jeffrey W. Albers, certify that:</w:t>
      </w:r>
    </w:p>
    <w:p>
      <w:pPr>
        <w:spacing w:after="0" w:line="212" w:lineRule="exact"/>
        <w:rPr>
          <w:sz w:val="20"/>
          <w:szCs w:val="20"/>
          <w:color w:val="auto"/>
        </w:rPr>
      </w:pPr>
    </w:p>
    <w:p>
      <w:pPr>
        <w:ind w:left="1500" w:hanging="643"/>
        <w:spacing w:after="0"/>
        <w:tabs>
          <w:tab w:leader="none" w:pos="1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211" w:lineRule="exact"/>
        <w:rPr>
          <w:rFonts w:ascii="Arial" w:cs="Arial" w:eastAsia="Arial" w:hAnsi="Arial"/>
          <w:sz w:val="18"/>
          <w:szCs w:val="18"/>
          <w:color w:val="auto"/>
        </w:rPr>
      </w:pPr>
    </w:p>
    <w:p>
      <w:pPr>
        <w:ind w:left="200" w:right="299" w:firstLine="657"/>
        <w:spacing w:after="0" w:line="248" w:lineRule="auto"/>
        <w:tabs>
          <w:tab w:leader="none" w:pos="14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200" w:right="459" w:firstLine="657"/>
        <w:spacing w:after="0" w:line="248" w:lineRule="auto"/>
        <w:tabs>
          <w:tab w:leader="none" w:pos="14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200" w:right="459" w:firstLine="657"/>
        <w:spacing w:after="0" w:line="294" w:lineRule="auto"/>
        <w:tabs>
          <w:tab w:leader="none" w:pos="149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60" w:right="279" w:firstLine="645"/>
        <w:spacing w:after="0" w:line="243" w:lineRule="auto"/>
        <w:tabs>
          <w:tab w:leader="none" w:pos="2156"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860" w:right="259" w:firstLine="645"/>
        <w:spacing w:after="0" w:line="243" w:lineRule="auto"/>
        <w:tabs>
          <w:tab w:leader="none" w:pos="2156"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860" w:right="399" w:firstLine="645"/>
        <w:spacing w:after="0" w:line="270" w:lineRule="auto"/>
        <w:tabs>
          <w:tab w:leader="none" w:pos="2156" w:val="left"/>
        </w:tabs>
        <w:numPr>
          <w:ilvl w:val="1"/>
          <w:numId w:val="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ind w:left="860" w:right="379" w:firstLine="645"/>
        <w:spacing w:after="0" w:line="243" w:lineRule="auto"/>
        <w:tabs>
          <w:tab w:leader="none" w:pos="2156"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200" w:right="259" w:firstLine="657"/>
        <w:spacing w:after="0" w:line="248" w:lineRule="auto"/>
        <w:tabs>
          <w:tab w:leader="none" w:pos="14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860" w:right="439" w:firstLine="645"/>
        <w:spacing w:after="0" w:line="248" w:lineRule="auto"/>
        <w:tabs>
          <w:tab w:leader="none" w:pos="2156"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60" w:right="599" w:firstLine="645"/>
        <w:spacing w:after="0" w:line="291" w:lineRule="auto"/>
        <w:tabs>
          <w:tab w:leader="none" w:pos="2156" w:val="left"/>
        </w:tabs>
        <w:numPr>
          <w:ilvl w:val="1"/>
          <w:numId w:val="5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3" w:lineRule="exact"/>
        <w:rPr>
          <w:sz w:val="20"/>
          <w:szCs w:val="20"/>
          <w:color w:val="auto"/>
        </w:rPr>
      </w:pPr>
    </w:p>
    <w:p>
      <w:pPr>
        <w:ind w:left="200"/>
        <w:spacing w:after="0"/>
        <w:tabs>
          <w:tab w:leader="none" w:pos="4480" w:val="left"/>
        </w:tabs>
        <w:rPr>
          <w:sz w:val="20"/>
          <w:szCs w:val="20"/>
          <w:color w:val="auto"/>
        </w:rPr>
      </w:pPr>
      <w:r>
        <w:rPr>
          <w:rFonts w:ascii="Arial" w:cs="Arial" w:eastAsia="Arial" w:hAnsi="Arial"/>
          <w:sz w:val="18"/>
          <w:szCs w:val="18"/>
          <w:color w:val="auto"/>
        </w:rPr>
        <w:t>Date: April 29, 2021</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6350</wp:posOffset>
            </wp:positionV>
            <wp:extent cx="25546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Jeffrey W. Albers</w:t>
      </w:r>
    </w:p>
    <w:p>
      <w:pPr>
        <w:ind w:left="478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3" w:name="page104"/>
    <w:bookmarkEnd w:id="103"/>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Michael Landsittel, certify that:</w:t>
      </w:r>
    </w:p>
    <w:p>
      <w:pPr>
        <w:spacing w:after="0" w:line="212" w:lineRule="exact"/>
        <w:rPr>
          <w:sz w:val="20"/>
          <w:szCs w:val="20"/>
          <w:color w:val="auto"/>
        </w:rPr>
      </w:pPr>
    </w:p>
    <w:p>
      <w:pPr>
        <w:ind w:left="1500" w:hanging="643"/>
        <w:spacing w:after="0"/>
        <w:tabs>
          <w:tab w:leader="none" w:pos="1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211" w:lineRule="exact"/>
        <w:rPr>
          <w:rFonts w:ascii="Arial" w:cs="Arial" w:eastAsia="Arial" w:hAnsi="Arial"/>
          <w:sz w:val="18"/>
          <w:szCs w:val="18"/>
          <w:color w:val="auto"/>
        </w:rPr>
      </w:pPr>
    </w:p>
    <w:p>
      <w:pPr>
        <w:ind w:left="200" w:right="299" w:firstLine="657"/>
        <w:spacing w:after="0" w:line="248" w:lineRule="auto"/>
        <w:tabs>
          <w:tab w:leader="none" w:pos="14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200" w:right="459" w:firstLine="657"/>
        <w:spacing w:after="0" w:line="248" w:lineRule="auto"/>
        <w:tabs>
          <w:tab w:leader="none" w:pos="14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200" w:right="459" w:firstLine="657"/>
        <w:spacing w:after="0" w:line="294" w:lineRule="auto"/>
        <w:tabs>
          <w:tab w:leader="none" w:pos="149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60" w:right="279" w:firstLine="645"/>
        <w:spacing w:after="0" w:line="243" w:lineRule="auto"/>
        <w:tabs>
          <w:tab w:leader="none" w:pos="2156"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860" w:right="259" w:firstLine="645"/>
        <w:spacing w:after="0" w:line="243" w:lineRule="auto"/>
        <w:tabs>
          <w:tab w:leader="none" w:pos="2156"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860" w:right="399" w:firstLine="645"/>
        <w:spacing w:after="0" w:line="270" w:lineRule="auto"/>
        <w:tabs>
          <w:tab w:leader="none" w:pos="2156"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ind w:left="860" w:right="379" w:firstLine="645"/>
        <w:spacing w:after="0" w:line="243" w:lineRule="auto"/>
        <w:tabs>
          <w:tab w:leader="none" w:pos="2156"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200" w:right="259" w:firstLine="657"/>
        <w:spacing w:after="0" w:line="248" w:lineRule="auto"/>
        <w:tabs>
          <w:tab w:leader="none" w:pos="14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860" w:right="439" w:firstLine="645"/>
        <w:spacing w:after="0" w:line="248" w:lineRule="auto"/>
        <w:tabs>
          <w:tab w:leader="none" w:pos="2156"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60" w:right="599" w:firstLine="645"/>
        <w:spacing w:after="0" w:line="291" w:lineRule="auto"/>
        <w:tabs>
          <w:tab w:leader="none" w:pos="2156" w:val="left"/>
        </w:tabs>
        <w:numPr>
          <w:ilvl w:val="1"/>
          <w:numId w:val="5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3" w:lineRule="exact"/>
        <w:rPr>
          <w:sz w:val="20"/>
          <w:szCs w:val="20"/>
          <w:color w:val="auto"/>
        </w:rPr>
      </w:pPr>
    </w:p>
    <w:p>
      <w:pPr>
        <w:ind w:left="220"/>
        <w:spacing w:after="0"/>
        <w:tabs>
          <w:tab w:leader="none" w:pos="4480" w:val="left"/>
        </w:tabs>
        <w:rPr>
          <w:sz w:val="20"/>
          <w:szCs w:val="20"/>
          <w:color w:val="auto"/>
        </w:rPr>
      </w:pPr>
      <w:r>
        <w:rPr>
          <w:rFonts w:ascii="Arial" w:cs="Arial" w:eastAsia="Arial" w:hAnsi="Arial"/>
          <w:sz w:val="18"/>
          <w:szCs w:val="18"/>
          <w:color w:val="auto"/>
        </w:rPr>
        <w:t>Date: April 29, 2021</w:t>
      </w:r>
      <w:r>
        <w:rPr>
          <w:sz w:val="20"/>
          <w:szCs w:val="20"/>
          <w:color w:val="auto"/>
        </w:rPr>
        <w:tab/>
      </w:r>
      <w:r>
        <w:rPr>
          <w:rFonts w:ascii="Arial" w:cs="Arial" w:eastAsia="Arial" w:hAnsi="Arial"/>
          <w:sz w:val="16"/>
          <w:szCs w:val="16"/>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6350</wp:posOffset>
            </wp:positionV>
            <wp:extent cx="25628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Michael Landsittel</w:t>
      </w:r>
    </w:p>
    <w:p>
      <w:pPr>
        <w:ind w:left="47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4" w:name="page105"/>
    <w:bookmarkEnd w:id="104"/>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left="200" w:right="219"/>
        <w:spacing w:after="0" w:line="25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1" w:lineRule="exact"/>
        <w:rPr>
          <w:sz w:val="20"/>
          <w:szCs w:val="20"/>
          <w:color w:val="auto"/>
        </w:rPr>
      </w:pPr>
    </w:p>
    <w:p>
      <w:pPr>
        <w:ind w:left="200" w:right="279" w:firstLine="648"/>
        <w:spacing w:after="0" w:line="243" w:lineRule="auto"/>
        <w:rPr>
          <w:sz w:val="20"/>
          <w:szCs w:val="20"/>
          <w:color w:val="auto"/>
        </w:rPr>
      </w:pPr>
      <w:r>
        <w:rPr>
          <w:rFonts w:ascii="Arial" w:cs="Arial" w:eastAsia="Arial" w:hAnsi="Arial"/>
          <w:sz w:val="18"/>
          <w:szCs w:val="18"/>
          <w:color w:val="auto"/>
        </w:rPr>
        <w:t>In connection with the Quarterly Report on Form 10-Q of Blueprint Medicines Corporation (the “Company”) for the period ended March 31, 2021 as filed with the Securities and Exchange Commission on the date hereof (the “Report”), each of the undersigned officers of the Company hereby certifies, pursuant to 18 U.S.C. Section 1350, that to his knowledge:</w:t>
      </w:r>
    </w:p>
    <w:p>
      <w:pPr>
        <w:spacing w:after="0" w:line="188" w:lineRule="exact"/>
        <w:rPr>
          <w:sz w:val="20"/>
          <w:szCs w:val="20"/>
          <w:color w:val="auto"/>
        </w:rPr>
      </w:pPr>
    </w:p>
    <w:p>
      <w:pPr>
        <w:ind w:left="1500" w:right="259" w:hanging="562"/>
        <w:spacing w:after="0" w:line="261" w:lineRule="auto"/>
        <w:tabs>
          <w:tab w:leader="none" w:pos="1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500" w:right="899" w:hanging="562"/>
        <w:spacing w:after="0" w:line="261" w:lineRule="auto"/>
        <w:tabs>
          <w:tab w:leader="none" w:pos="1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220"/>
        <w:spacing w:after="0"/>
        <w:tabs>
          <w:tab w:leader="none" w:pos="4560" w:val="left"/>
        </w:tabs>
        <w:rPr>
          <w:sz w:val="20"/>
          <w:szCs w:val="20"/>
          <w:color w:val="auto"/>
        </w:rPr>
      </w:pPr>
      <w:r>
        <w:rPr>
          <w:rFonts w:ascii="Arial" w:cs="Arial" w:eastAsia="Arial" w:hAnsi="Arial"/>
          <w:sz w:val="18"/>
          <w:szCs w:val="18"/>
          <w:color w:val="auto"/>
        </w:rPr>
        <w:t>Date: April 29, 2021</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6350</wp:posOffset>
            </wp:positionV>
            <wp:extent cx="25114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Jeffrey W. Albers</w:t>
      </w:r>
    </w:p>
    <w:p>
      <w:pPr>
        <w:ind w:left="484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i w:val="1"/>
          <w:iCs w:val="1"/>
          <w:color w:val="auto"/>
        </w:rPr>
        <w:t>(Principal Executive Officer)</w:t>
      </w:r>
    </w:p>
    <w:p>
      <w:pPr>
        <w:spacing w:after="0" w:line="196" w:lineRule="exact"/>
        <w:rPr>
          <w:sz w:val="20"/>
          <w:szCs w:val="20"/>
          <w:color w:val="auto"/>
        </w:rPr>
      </w:pPr>
    </w:p>
    <w:p>
      <w:pPr>
        <w:ind w:left="220"/>
        <w:spacing w:after="0"/>
        <w:tabs>
          <w:tab w:leader="none" w:pos="4540" w:val="left"/>
        </w:tabs>
        <w:rPr>
          <w:sz w:val="20"/>
          <w:szCs w:val="20"/>
          <w:color w:val="auto"/>
        </w:rPr>
      </w:pPr>
      <w:r>
        <w:rPr>
          <w:rFonts w:ascii="Arial" w:cs="Arial" w:eastAsia="Arial" w:hAnsi="Arial"/>
          <w:sz w:val="18"/>
          <w:szCs w:val="18"/>
          <w:color w:val="auto"/>
        </w:rPr>
        <w:t>Date: April 29, 2021</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6350</wp:posOffset>
            </wp:positionV>
            <wp:extent cx="25203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Michael Landsittel</w:t>
      </w:r>
    </w:p>
    <w:p>
      <w:pPr>
        <w:ind w:left="48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lowerRoman"/>
      <w:start w:val="1"/>
    </w:lvl>
  </w:abstractNum>
  <w:abstractNum w:abstractNumId="5">
    <w:nsid w:val="4516DDE9"/>
    <w:multiLevelType w:val="hybridMultilevel"/>
    <w:lvl w:ilvl="0">
      <w:lvlJc w:val="left"/>
      <w:lvlText w:val="(%1)"/>
      <w:numFmt w:val="decimal"/>
      <w:start w:val="3"/>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lvl w:ilvl="1">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amp;"/>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1)"/>
      <w:numFmt w:val="lowerRoman"/>
      <w:start w:val="3"/>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lvl w:ilvl="1">
      <w:lvlJc w:val="left"/>
      <w:lvlText w:val="%2"/>
      <w:numFmt w:val="decimal"/>
      <w:start w:val="104"/>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upperLetter"/>
      <w:start w:val="1"/>
    </w:lvl>
  </w:abstractNum>
  <w:abstractNum w:abstractNumId="45">
    <w:nsid w:val="70C6A529"/>
    <w:multiLevelType w:val="hybridMultilevel"/>
    <w:lvl w:ilvl="0">
      <w:lvlJc w:val="left"/>
      <w:lvlText w:val="%1."/>
      <w:numFmt w:val="decimal"/>
      <w:start w:val="1"/>
    </w:lvl>
    <w:lvl w:ilvl="1">
      <w:lvlJc w:val="left"/>
      <w:lvlText w:val="(%2)"/>
      <w:numFmt w:val="lowerLetter"/>
      <w:start w:val="1"/>
    </w:lvl>
  </w:abstractNum>
  <w:abstractNum w:abstractNumId="46">
    <w:nsid w:val="520EEDD1"/>
    <w:multiLevelType w:val="hybridMultilevel"/>
    <w:lvl w:ilvl="0">
      <w:lvlJc w:val="left"/>
      <w:lvlText w:val="%1"/>
      <w:numFmt w:val="decimal"/>
      <w:start w:val="1"/>
    </w:lvl>
    <w:lvl w:ilvl="1">
      <w:lvlJc w:val="left"/>
      <w:lvlText w:val="(%2)"/>
      <w:numFmt w:val="lowerLetter"/>
      <w:start w:val="2"/>
    </w:lvl>
  </w:abstractNum>
  <w:abstractNum w:abstractNumId="47">
    <w:nsid w:val="374A3FE6"/>
    <w:multiLevelType w:val="hybridMultilevel"/>
    <w:lvl w:ilvl="0">
      <w:lvlJc w:val="left"/>
      <w:lvlText w:val="%1."/>
      <w:numFmt w:val="decimal"/>
      <w:start w:val="4"/>
    </w:lvl>
    <w:lvl w:ilvl="1">
      <w:lvlJc w:val="left"/>
      <w:lvlText w:val="%2"/>
      <w:numFmt w:val="lowerLetter"/>
      <w:start w:val="1"/>
    </w:lvl>
  </w:abstractNum>
  <w:abstractNum w:abstractNumId="48">
    <w:nsid w:val="4F4EF005"/>
    <w:multiLevelType w:val="hybridMultilevel"/>
    <w:lvl w:ilvl="0">
      <w:lvlJc w:val="left"/>
      <w:lvlText w:val="%1."/>
      <w:numFmt w:val="decimal"/>
      <w:start w:val="8"/>
    </w:lvl>
  </w:abstractNum>
  <w:abstractNum w:abstractNumId="49">
    <w:nsid w:val="23F9C13C"/>
    <w:multiLevelType w:val="hybridMultilevel"/>
    <w:lvl w:ilvl="0">
      <w:lvlJc w:val="left"/>
      <w:lvlText w:val="(%1)"/>
      <w:numFmt w:val="lowerLetter"/>
      <w:start w:val="1"/>
    </w:lvl>
  </w:abstractNum>
  <w:abstractNum w:abstractNumId="50">
    <w:nsid w:val="649BB77C"/>
    <w:multiLevelType w:val="hybridMultilevel"/>
    <w:lvl w:ilvl="0">
      <w:lvlJc w:val="left"/>
      <w:lvlText w:val="(%1)"/>
      <w:numFmt w:val="lowerLetter"/>
      <w:start w:val="5"/>
    </w:lvl>
  </w:abstractNum>
  <w:abstractNum w:abstractNumId="51">
    <w:nsid w:val="275AC794"/>
    <w:multiLevelType w:val="hybridMultilevel"/>
    <w:lvl w:ilvl="0">
      <w:lvlJc w:val="left"/>
      <w:lvlText w:val="(%1)"/>
      <w:numFmt w:val="lowerLetter"/>
      <w:start w:val="2"/>
    </w:lvl>
  </w:abstractNum>
  <w:abstractNum w:abstractNumId="52">
    <w:nsid w:val="39386575"/>
    <w:multiLevelType w:val="hybridMultilevel"/>
    <w:lvl w:ilvl="0">
      <w:lvlJc w:val="left"/>
      <w:lvlText w:val="%1."/>
      <w:numFmt w:val="decimal"/>
      <w:start w:val="1"/>
    </w:lvl>
    <w:lvl w:ilvl="1">
      <w:lvlJc w:val="left"/>
      <w:lvlText w:val="%2."/>
      <w:numFmt w:val="lowerLetter"/>
      <w:start w:val="1"/>
    </w:lvl>
  </w:abstractNum>
  <w:abstractNum w:abstractNumId="53">
    <w:nsid w:val="1CF10FD8"/>
    <w:multiLevelType w:val="hybridMultilevel"/>
    <w:lvl w:ilvl="0">
      <w:lvlJc w:val="left"/>
      <w:lvlText w:val="%1"/>
      <w:numFmt w:val="decimal"/>
      <w:start w:val="1"/>
    </w:lvl>
    <w:lvl w:ilvl="1">
      <w:lvlJc w:val="left"/>
      <w:lvlText w:val="%2."/>
      <w:numFmt w:val="lowerLetter"/>
      <w:start w:val="5"/>
    </w:lvl>
  </w:abstractNum>
  <w:abstractNum w:abstractNumId="54">
    <w:nsid w:val="180115BE"/>
    <w:multiLevelType w:val="hybridMultilevel"/>
    <w:lvl w:ilvl="0">
      <w:lvlJc w:val="left"/>
      <w:lvlText w:val="%1."/>
      <w:numFmt w:val="decimal"/>
      <w:start w:val="2"/>
    </w:lvl>
    <w:lvl w:ilvl="1">
      <w:lvlJc w:val="left"/>
      <w:lvlText w:val="%2"/>
      <w:numFmt w:val="lowerLetter"/>
      <w:start w:val="1"/>
    </w:lvl>
  </w:abstractNum>
  <w:abstractNum w:abstractNumId="55">
    <w:nsid w:val="235BA861"/>
    <w:multiLevelType w:val="hybridMultilevel"/>
    <w:lvl w:ilvl="0">
      <w:lvlJc w:val="left"/>
      <w:lvlText w:val="%1."/>
      <w:numFmt w:val="decimal"/>
      <w:start w:val="3"/>
    </w:lvl>
  </w:abstractNum>
  <w:abstractNum w:abstractNumId="56">
    <w:nsid w:val="47398C89"/>
    <w:multiLevelType w:val="hybridMultilevel"/>
    <w:lvl w:ilvl="0">
      <w:lvlJc w:val="left"/>
      <w:lvlText w:val="%1."/>
      <w:numFmt w:val="decimal"/>
      <w:start w:val="9"/>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2021-04-29T16:21:22Z</dcterms:created>
  <dcterms:modified xsi:type="dcterms:W3CDTF">2021-04-29T16:21:22Z</dcterms:modified>
</cp:coreProperties>
</file>