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UNITED STATES</w:t>
      </w:r>
    </w:p>
    <w:p>
      <w:pPr>
        <w:ind w:left="6"/>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ind w:left="6"/>
        <w:spacing w:after="0"/>
        <w:rPr>
          <w:sz w:val="20"/>
          <w:szCs w:val="20"/>
          <w:color w:val="auto"/>
        </w:rPr>
      </w:pPr>
      <w:r>
        <w:rPr>
          <w:rFonts w:ascii="Courier New" w:cs="Courier New" w:eastAsia="Courier New" w:hAnsi="Courier New"/>
          <w:sz w:val="19"/>
          <w:szCs w:val="19"/>
          <w:color w:val="auto"/>
        </w:rPr>
        <w:t>Washington, D.C. 20549</w:t>
      </w:r>
    </w:p>
    <w:p>
      <w:pPr>
        <w:ind w:left="6"/>
        <w:spacing w:after="0" w:line="237" w:lineRule="auto"/>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1)</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Blueprint Medicines Corp</w:t>
      </w:r>
    </w:p>
    <w:p>
      <w:pPr>
        <w:ind w:left="6"/>
        <w:spacing w:after="0" w:line="238" w:lineRule="auto"/>
        <w:rPr>
          <w:sz w:val="20"/>
          <w:szCs w:val="20"/>
          <w:color w:val="auto"/>
        </w:rPr>
      </w:pPr>
      <w:r>
        <w:rPr>
          <w:rFonts w:ascii="Courier New" w:cs="Courier New" w:eastAsia="Courier New" w:hAnsi="Courier New"/>
          <w:sz w:val="19"/>
          <w:szCs w:val="19"/>
          <w:color w:val="auto"/>
        </w:rPr>
        <w:t>(Name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(Title of Class of Securities)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09627Y109</w:t>
      </w:r>
    </w:p>
    <w:p>
      <w:pPr>
        <w:ind w:left="6"/>
        <w:spacing w:after="0" w:line="238" w:lineRule="auto"/>
        <w:rPr>
          <w:sz w:val="20"/>
          <w:szCs w:val="20"/>
          <w:color w:val="auto"/>
        </w:rPr>
      </w:pPr>
      <w:r>
        <w:rPr>
          <w:rFonts w:ascii="Courier New" w:cs="Courier New" w:eastAsia="Courier New" w:hAnsi="Courier New"/>
          <w:sz w:val="19"/>
          <w:szCs w:val="19"/>
          <w:color w:val="auto"/>
        </w:rPr>
        <w:t>(CUSIP NUMBER)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(Date of Event which Requires Filing of Statement)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8"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566" w:right="8460" w:hanging="566"/>
        <w:spacing w:after="0" w:line="254" w:lineRule="auto"/>
        <w:tabs>
          <w:tab w:leader="none" w:pos="56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 - 1(b) Rule 13d - 1(c) Rule 13d - 1(d)</w:t>
      </w:r>
    </w:p>
    <w:p>
      <w:pPr>
        <w:spacing w:after="0" w:line="201" w:lineRule="exact"/>
        <w:rPr>
          <w:sz w:val="24"/>
          <w:szCs w:val="24"/>
          <w:color w:val="auto"/>
        </w:rPr>
      </w:pPr>
    </w:p>
    <w:p>
      <w:pPr>
        <w:ind w:left="326" w:hanging="326"/>
        <w:spacing w:after="0"/>
        <w:tabs>
          <w:tab w:leader="none" w:pos="32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Reporting Person</w:t>
      </w:r>
    </w:p>
    <w:p>
      <w:pPr>
        <w:ind w:left="32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T. ROWE PRICE ASSOCIATES, INC.</w:t>
      </w:r>
    </w:p>
    <w:p>
      <w:pPr>
        <w:ind w:left="32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52-0556948</w:t>
      </w:r>
    </w:p>
    <w:p>
      <w:pPr>
        <w:spacing w:after="0" w:line="213" w:lineRule="exact"/>
        <w:rPr>
          <w:rFonts w:ascii="Courier New" w:cs="Courier New" w:eastAsia="Courier New" w:hAnsi="Courier New"/>
          <w:sz w:val="19"/>
          <w:szCs w:val="19"/>
          <w:color w:val="auto"/>
        </w:rPr>
      </w:pPr>
    </w:p>
    <w:p>
      <w:pPr>
        <w:ind w:left="326" w:hanging="326"/>
        <w:spacing w:after="0"/>
        <w:tabs>
          <w:tab w:leader="none" w:pos="32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32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NOT APPLICABLE</w:t>
      </w:r>
    </w:p>
    <w:p>
      <w:pPr>
        <w:spacing w:after="0" w:line="213" w:lineRule="exact"/>
        <w:rPr>
          <w:rFonts w:ascii="Courier New" w:cs="Courier New" w:eastAsia="Courier New" w:hAnsi="Courier New"/>
          <w:sz w:val="19"/>
          <w:szCs w:val="19"/>
          <w:color w:val="auto"/>
        </w:rPr>
      </w:pPr>
    </w:p>
    <w:p>
      <w:pPr>
        <w:ind w:left="326" w:hanging="326"/>
        <w:spacing w:after="0"/>
        <w:tabs>
          <w:tab w:leader="none" w:pos="32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9" w:lineRule="exact"/>
        <w:rPr>
          <w:rFonts w:ascii="Courier New" w:cs="Courier New" w:eastAsia="Courier New" w:hAnsi="Courier New"/>
          <w:sz w:val="19"/>
          <w:szCs w:val="19"/>
          <w:color w:val="auto"/>
        </w:rPr>
      </w:pPr>
    </w:p>
    <w:p>
      <w:pPr>
        <w:ind w:left="326" w:right="6340" w:hanging="326"/>
        <w:spacing w:after="0" w:line="235" w:lineRule="auto"/>
        <w:tabs>
          <w:tab w:leader="none" w:pos="32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 Maryland</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Number of Shares Beneficially Owned by Each Reporting Person With</w:t>
      </w:r>
    </w:p>
    <w:p>
      <w:pPr>
        <w:spacing w:after="0" w:line="213" w:lineRule="exact"/>
        <w:rPr>
          <w:sz w:val="24"/>
          <w:szCs w:val="24"/>
          <w:color w:val="auto"/>
        </w:rPr>
      </w:pPr>
    </w:p>
    <w:tbl>
      <w:tblPr>
        <w:tblLayout w:type="fixed"/>
        <w:tblInd w:w="6" w:type="dxa"/>
        <w:tblCellMar>
          <w:top w:w="0" w:type="dxa"/>
          <w:left w:w="0" w:type="dxa"/>
          <w:bottom w:w="0" w:type="dxa"/>
          <w:right w:w="0" w:type="dxa"/>
        </w:tblCellMar>
      </w:tblPr>
      <w:tr>
        <w:trPr>
          <w:trHeight w:val="215"/>
        </w:trPr>
        <w:tc>
          <w:tcPr>
            <w:tcW w:w="280" w:type="dxa"/>
            <w:vAlign w:val="bottom"/>
          </w:tcPr>
          <w:p>
            <w:pPr>
              <w:jc w:val="right"/>
              <w:spacing w:after="0"/>
              <w:rPr>
                <w:sz w:val="20"/>
                <w:szCs w:val="20"/>
                <w:color w:val="auto"/>
              </w:rPr>
            </w:pPr>
            <w:r>
              <w:rPr>
                <w:rFonts w:ascii="Courier New" w:cs="Courier New" w:eastAsia="Courier New" w:hAnsi="Courier New"/>
                <w:sz w:val="19"/>
                <w:szCs w:val="19"/>
                <w:color w:val="auto"/>
                <w:w w:val="87"/>
              </w:rPr>
              <w:t>5.</w:t>
            </w:r>
          </w:p>
        </w:tc>
        <w:tc>
          <w:tcPr>
            <w:tcW w:w="2880" w:type="dxa"/>
            <w:vAlign w:val="bottom"/>
          </w:tcPr>
          <w:p>
            <w:pPr>
              <w:ind w:left="40"/>
              <w:spacing w:after="0"/>
              <w:rPr>
                <w:sz w:val="20"/>
                <w:szCs w:val="20"/>
                <w:color w:val="auto"/>
              </w:rPr>
            </w:pPr>
            <w:r>
              <w:rPr>
                <w:rFonts w:ascii="Courier New" w:cs="Courier New" w:eastAsia="Courier New" w:hAnsi="Courier New"/>
                <w:sz w:val="19"/>
                <w:szCs w:val="19"/>
                <w:color w:val="auto"/>
              </w:rPr>
              <w:t>Sole Voting Power*</w:t>
            </w:r>
          </w:p>
        </w:tc>
        <w:tc>
          <w:tcPr>
            <w:tcW w:w="1180" w:type="dxa"/>
            <w:vAlign w:val="bottom"/>
          </w:tcPr>
          <w:p>
            <w:pPr>
              <w:ind w:left="180"/>
              <w:spacing w:after="0"/>
              <w:rPr>
                <w:sz w:val="20"/>
                <w:szCs w:val="20"/>
                <w:color w:val="auto"/>
              </w:rPr>
            </w:pPr>
            <w:r>
              <w:rPr>
                <w:rFonts w:ascii="Courier New" w:cs="Courier New" w:eastAsia="Courier New" w:hAnsi="Courier New"/>
                <w:sz w:val="19"/>
                <w:szCs w:val="19"/>
                <w:color w:val="auto"/>
              </w:rPr>
              <w:t>508,499</w:t>
            </w:r>
          </w:p>
        </w:tc>
      </w:tr>
      <w:tr>
        <w:trPr>
          <w:trHeight w:val="428"/>
        </w:trPr>
        <w:tc>
          <w:tcPr>
            <w:tcW w:w="280" w:type="dxa"/>
            <w:vAlign w:val="bottom"/>
          </w:tcPr>
          <w:p>
            <w:pPr>
              <w:jc w:val="right"/>
              <w:spacing w:after="0"/>
              <w:rPr>
                <w:sz w:val="20"/>
                <w:szCs w:val="20"/>
                <w:color w:val="auto"/>
              </w:rPr>
            </w:pPr>
            <w:r>
              <w:rPr>
                <w:rFonts w:ascii="Courier New" w:cs="Courier New" w:eastAsia="Courier New" w:hAnsi="Courier New"/>
                <w:sz w:val="19"/>
                <w:szCs w:val="19"/>
                <w:color w:val="auto"/>
                <w:w w:val="87"/>
              </w:rPr>
              <w:t>6.</w:t>
            </w:r>
          </w:p>
        </w:tc>
        <w:tc>
          <w:tcPr>
            <w:tcW w:w="2880" w:type="dxa"/>
            <w:vAlign w:val="bottom"/>
          </w:tcPr>
          <w:p>
            <w:pPr>
              <w:ind w:left="40"/>
              <w:spacing w:after="0"/>
              <w:rPr>
                <w:sz w:val="20"/>
                <w:szCs w:val="20"/>
                <w:color w:val="auto"/>
              </w:rPr>
            </w:pPr>
            <w:r>
              <w:rPr>
                <w:rFonts w:ascii="Courier New" w:cs="Courier New" w:eastAsia="Courier New" w:hAnsi="Courier New"/>
                <w:sz w:val="19"/>
                <w:szCs w:val="19"/>
                <w:color w:val="auto"/>
              </w:rPr>
              <w:t>Shared Voting Power*</w:t>
            </w:r>
          </w:p>
        </w:tc>
        <w:tc>
          <w:tcPr>
            <w:tcW w:w="1180" w:type="dxa"/>
            <w:vAlign w:val="bottom"/>
          </w:tcPr>
          <w:p>
            <w:pPr>
              <w:ind w:left="180"/>
              <w:spacing w:after="0"/>
              <w:rPr>
                <w:sz w:val="20"/>
                <w:szCs w:val="20"/>
                <w:color w:val="auto"/>
              </w:rPr>
            </w:pPr>
            <w:r>
              <w:rPr>
                <w:rFonts w:ascii="Courier New" w:cs="Courier New" w:eastAsia="Courier New" w:hAnsi="Courier New"/>
                <w:sz w:val="19"/>
                <w:szCs w:val="19"/>
                <w:color w:val="auto"/>
              </w:rPr>
              <w:t>0</w:t>
            </w:r>
          </w:p>
        </w:tc>
      </w:tr>
      <w:tr>
        <w:trPr>
          <w:trHeight w:val="428"/>
        </w:trPr>
        <w:tc>
          <w:tcPr>
            <w:tcW w:w="280" w:type="dxa"/>
            <w:vAlign w:val="bottom"/>
          </w:tcPr>
          <w:p>
            <w:pPr>
              <w:jc w:val="right"/>
              <w:spacing w:after="0"/>
              <w:rPr>
                <w:sz w:val="20"/>
                <w:szCs w:val="20"/>
                <w:color w:val="auto"/>
              </w:rPr>
            </w:pPr>
            <w:r>
              <w:rPr>
                <w:rFonts w:ascii="Courier New" w:cs="Courier New" w:eastAsia="Courier New" w:hAnsi="Courier New"/>
                <w:sz w:val="19"/>
                <w:szCs w:val="19"/>
                <w:color w:val="auto"/>
                <w:w w:val="87"/>
              </w:rPr>
              <w:t>7.</w:t>
            </w:r>
          </w:p>
        </w:tc>
        <w:tc>
          <w:tcPr>
            <w:tcW w:w="2880" w:type="dxa"/>
            <w:vAlign w:val="bottom"/>
          </w:tcPr>
          <w:p>
            <w:pPr>
              <w:ind w:left="40"/>
              <w:spacing w:after="0"/>
              <w:rPr>
                <w:sz w:val="20"/>
                <w:szCs w:val="20"/>
                <w:color w:val="auto"/>
              </w:rPr>
            </w:pPr>
            <w:r>
              <w:rPr>
                <w:rFonts w:ascii="Courier New" w:cs="Courier New" w:eastAsia="Courier New" w:hAnsi="Courier New"/>
                <w:sz w:val="19"/>
                <w:szCs w:val="19"/>
                <w:color w:val="auto"/>
              </w:rPr>
              <w:t>Sole Dispositive Power*</w:t>
            </w:r>
          </w:p>
        </w:tc>
        <w:tc>
          <w:tcPr>
            <w:tcW w:w="1180" w:type="dxa"/>
            <w:vAlign w:val="bottom"/>
          </w:tcPr>
          <w:p>
            <w:pPr>
              <w:ind w:left="180"/>
              <w:spacing w:after="0"/>
              <w:rPr>
                <w:sz w:val="20"/>
                <w:szCs w:val="20"/>
                <w:color w:val="auto"/>
              </w:rPr>
            </w:pPr>
            <w:r>
              <w:rPr>
                <w:rFonts w:ascii="Courier New" w:cs="Courier New" w:eastAsia="Courier New" w:hAnsi="Courier New"/>
                <w:sz w:val="19"/>
                <w:szCs w:val="19"/>
                <w:color w:val="auto"/>
                <w:w w:val="95"/>
              </w:rPr>
              <w:t>3,022,107</w:t>
            </w:r>
          </w:p>
        </w:tc>
      </w:tr>
      <w:tr>
        <w:trPr>
          <w:trHeight w:val="428"/>
        </w:trPr>
        <w:tc>
          <w:tcPr>
            <w:tcW w:w="280" w:type="dxa"/>
            <w:vAlign w:val="bottom"/>
          </w:tcPr>
          <w:p>
            <w:pPr>
              <w:jc w:val="right"/>
              <w:spacing w:after="0"/>
              <w:rPr>
                <w:sz w:val="20"/>
                <w:szCs w:val="20"/>
                <w:color w:val="auto"/>
              </w:rPr>
            </w:pPr>
            <w:r>
              <w:rPr>
                <w:rFonts w:ascii="Courier New" w:cs="Courier New" w:eastAsia="Courier New" w:hAnsi="Courier New"/>
                <w:sz w:val="19"/>
                <w:szCs w:val="19"/>
                <w:color w:val="auto"/>
                <w:w w:val="87"/>
              </w:rPr>
              <w:t>8.</w:t>
            </w:r>
          </w:p>
        </w:tc>
        <w:tc>
          <w:tcPr>
            <w:tcW w:w="2880" w:type="dxa"/>
            <w:vAlign w:val="bottom"/>
          </w:tcPr>
          <w:p>
            <w:pPr>
              <w:ind w:left="40"/>
              <w:spacing w:after="0"/>
              <w:rPr>
                <w:sz w:val="20"/>
                <w:szCs w:val="20"/>
                <w:color w:val="auto"/>
              </w:rPr>
            </w:pPr>
            <w:r>
              <w:rPr>
                <w:rFonts w:ascii="Courier New" w:cs="Courier New" w:eastAsia="Courier New" w:hAnsi="Courier New"/>
                <w:sz w:val="19"/>
                <w:szCs w:val="19"/>
                <w:color w:val="auto"/>
              </w:rPr>
              <w:t>Shared Dispositive Power</w:t>
            </w:r>
          </w:p>
        </w:tc>
        <w:tc>
          <w:tcPr>
            <w:tcW w:w="1180" w:type="dxa"/>
            <w:vAlign w:val="bottom"/>
          </w:tcPr>
          <w:p>
            <w:pPr>
              <w:ind w:left="180"/>
              <w:spacing w:after="0"/>
              <w:rPr>
                <w:sz w:val="20"/>
                <w:szCs w:val="20"/>
                <w:color w:val="auto"/>
              </w:rPr>
            </w:pPr>
            <w:r>
              <w:rPr>
                <w:rFonts w:ascii="Courier New" w:cs="Courier New" w:eastAsia="Courier New" w:hAnsi="Courier New"/>
                <w:sz w:val="19"/>
                <w:szCs w:val="19"/>
                <w:color w:val="auto"/>
              </w:rPr>
              <w:t>0</w:t>
            </w:r>
          </w:p>
        </w:tc>
      </w:tr>
    </w:tbl>
    <w:p>
      <w:pPr>
        <w:spacing w:after="0" w:line="219" w:lineRule="exact"/>
        <w:rPr>
          <w:sz w:val="24"/>
          <w:szCs w:val="24"/>
          <w:color w:val="auto"/>
        </w:rPr>
      </w:pPr>
    </w:p>
    <w:p>
      <w:pPr>
        <w:ind w:left="326" w:right="3680" w:hanging="326"/>
        <w:spacing w:after="0" w:line="235" w:lineRule="auto"/>
        <w:tabs>
          <w:tab w:leader="none" w:pos="32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3,022,107</w:t>
      </w:r>
    </w:p>
    <w:p>
      <w:pPr>
        <w:spacing w:after="0" w:line="220"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4" w:lineRule="exact"/>
        <w:rPr>
          <w:rFonts w:ascii="Courier New" w:cs="Courier New" w:eastAsia="Courier New" w:hAnsi="Courier New"/>
          <w:sz w:val="18"/>
          <w:szCs w:val="18"/>
          <w:color w:val="auto"/>
        </w:rPr>
      </w:pPr>
    </w:p>
    <w:p>
      <w:pPr>
        <w:ind w:left="88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NOT APPLICABLE</w:t>
      </w:r>
    </w:p>
    <w:p>
      <w:pPr>
        <w:spacing w:after="0" w:line="213" w:lineRule="exact"/>
        <w:rPr>
          <w:rFonts w:ascii="Courier New" w:cs="Courier New" w:eastAsia="Courier New" w:hAnsi="Courier New"/>
          <w:sz w:val="18"/>
          <w:szCs w:val="18"/>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ind w:left="886"/>
        <w:spacing w:after="0" w:line="238" w:lineRule="auto"/>
        <w:rPr>
          <w:sz w:val="20"/>
          <w:szCs w:val="20"/>
          <w:color w:val="auto"/>
        </w:rPr>
      </w:pPr>
      <w:r>
        <w:rPr>
          <w:rFonts w:ascii="Courier New" w:cs="Courier New" w:eastAsia="Courier New" w:hAnsi="Courier New"/>
          <w:sz w:val="19"/>
          <w:szCs w:val="19"/>
          <w:color w:val="auto"/>
        </w:rPr>
        <w:t>6.8%</w:t>
      </w:r>
    </w:p>
    <w:p>
      <w:pPr>
        <w:spacing w:after="0" w:line="213" w:lineRule="exact"/>
        <w:rPr>
          <w:sz w:val="24"/>
          <w:szCs w:val="24"/>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ind w:left="88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IA</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*Any shares reported in Items 5 and 6 are also reported in Item 7.</w:t>
      </w:r>
    </w:p>
    <w:p>
      <w:pPr>
        <w:spacing w:after="0" w:line="200" w:lineRule="exact"/>
        <w:rPr>
          <w:sz w:val="24"/>
          <w:szCs w:val="24"/>
          <w:color w:val="auto"/>
        </w:rPr>
      </w:pPr>
    </w:p>
    <w:p>
      <w:pPr>
        <w:spacing w:after="0" w:line="22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ind w:left="6"/>
        <w:spacing w:after="0" w:line="238" w:lineRule="auto"/>
        <w:rPr>
          <w:sz w:val="20"/>
          <w:szCs w:val="20"/>
          <w:color w:val="auto"/>
        </w:rPr>
      </w:pPr>
      <w:r>
        <w:rPr>
          <w:rFonts w:ascii="Courier New" w:cs="Courier New" w:eastAsia="Courier New" w:hAnsi="Courier New"/>
          <w:sz w:val="19"/>
          <w:szCs w:val="19"/>
          <w:color w:val="auto"/>
        </w:rPr>
        <w:t>Blueprint Medicines Corp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ind w:left="6"/>
        <w:spacing w:after="0" w:line="238" w:lineRule="auto"/>
        <w:rPr>
          <w:sz w:val="20"/>
          <w:szCs w:val="20"/>
          <w:color w:val="auto"/>
        </w:rPr>
      </w:pPr>
      <w:r>
        <w:rPr>
          <w:rFonts w:ascii="Courier New" w:cs="Courier New" w:eastAsia="Courier New" w:hAnsi="Courier New"/>
          <w:sz w:val="19"/>
          <w:szCs w:val="19"/>
          <w:color w:val="auto"/>
        </w:rPr>
        <w:t>45 SIDNEY STREET, CAMBRIDGE, MASSACHUSETTS 02139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Person(s) Filing:</w:t>
      </w:r>
    </w:p>
    <w:p>
      <w:pPr>
        <w:ind w:left="6"/>
        <w:spacing w:after="0" w:line="238" w:lineRule="auto"/>
        <w:rPr>
          <w:sz w:val="20"/>
          <w:szCs w:val="20"/>
          <w:color w:val="auto"/>
        </w:rPr>
      </w:pPr>
      <w:r>
        <w:rPr>
          <w:rFonts w:ascii="Courier New" w:cs="Courier New" w:eastAsia="Courier New" w:hAnsi="Courier New"/>
          <w:sz w:val="19"/>
          <w:szCs w:val="19"/>
          <w:color w:val="auto"/>
        </w:rPr>
        <w:t>(1) T. ROWE PRICE ASSOCIATES, INC. ("Price Associates")</w:t>
      </w:r>
    </w:p>
    <w:p>
      <w:pPr>
        <w:sectPr>
          <w:pgSz w:w="12240" w:h="15840" w:orient="portrait"/>
          <w:cols w:equalWidth="0" w:num="1">
            <w:col w:w="10686"/>
          </w:cols>
          <w:pgMar w:left="114" w:top="109" w:right="1440" w:bottom="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9"/>
          <w:szCs w:val="19"/>
          <w:color w:val="auto"/>
        </w:rPr>
        <w:t>Item 2(b) Address of Principal Business Office:</w:t>
      </w:r>
    </w:p>
    <w:p>
      <w:pPr>
        <w:ind w:left="6"/>
        <w:spacing w:after="0" w:line="238" w:lineRule="auto"/>
        <w:rPr>
          <w:sz w:val="20"/>
          <w:szCs w:val="20"/>
          <w:color w:val="auto"/>
        </w:rPr>
      </w:pPr>
      <w:r>
        <w:rPr>
          <w:rFonts w:ascii="Courier New" w:cs="Courier New" w:eastAsia="Courier New" w:hAnsi="Courier New"/>
          <w:sz w:val="19"/>
          <w:szCs w:val="19"/>
          <w:color w:val="auto"/>
        </w:rPr>
        <w:t>100 E. Pratt Street, Baltimore, MD 21202</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2(c) Citizenship or Place of Organization:</w:t>
      </w:r>
    </w:p>
    <w:p>
      <w:pPr>
        <w:ind w:left="6"/>
        <w:spacing w:after="0" w:line="238" w:lineRule="auto"/>
        <w:rPr>
          <w:sz w:val="20"/>
          <w:szCs w:val="20"/>
          <w:color w:val="auto"/>
        </w:rPr>
      </w:pPr>
      <w:r>
        <w:rPr>
          <w:rFonts w:ascii="Courier New" w:cs="Courier New" w:eastAsia="Courier New" w:hAnsi="Courier New"/>
          <w:sz w:val="19"/>
          <w:szCs w:val="19"/>
          <w:color w:val="auto"/>
        </w:rPr>
        <w:t>(1) Maryland</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 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2(e) Cusip Number: 09627Y109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3: The person filing this Schedule 13G is an:</w:t>
      </w:r>
    </w:p>
    <w:p>
      <w:pPr>
        <w:spacing w:after="0" w:line="5" w:lineRule="exact"/>
        <w:rPr>
          <w:sz w:val="20"/>
          <w:szCs w:val="20"/>
          <w:color w:val="auto"/>
        </w:rPr>
      </w:pPr>
    </w:p>
    <w:p>
      <w:pPr>
        <w:ind w:left="446" w:right="3020" w:hanging="446"/>
        <w:spacing w:after="0" w:line="235" w:lineRule="auto"/>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Adviser registered under Section 203 of the Investment Advisers Act of 1940</w:t>
      </w:r>
    </w:p>
    <w:p>
      <w:pPr>
        <w:spacing w:after="0" w:line="220" w:lineRule="exact"/>
        <w:rPr>
          <w:sz w:val="20"/>
          <w:szCs w:val="20"/>
          <w:color w:val="auto"/>
        </w:rPr>
      </w:pPr>
    </w:p>
    <w:p>
      <w:pPr>
        <w:ind w:left="886" w:right="2900" w:hanging="889"/>
        <w:spacing w:after="0" w:line="235" w:lineRule="auto"/>
        <w:rPr>
          <w:sz w:val="20"/>
          <w:szCs w:val="20"/>
          <w:color w:val="auto"/>
        </w:rPr>
      </w:pPr>
      <w:r>
        <w:rPr>
          <w:rFonts w:ascii="Courier New" w:cs="Courier New" w:eastAsia="Courier New" w:hAnsi="Courier New"/>
          <w:sz w:val="19"/>
          <w:szCs w:val="19"/>
          <w:color w:val="auto"/>
        </w:rPr>
        <w:t>Item 4: Reference is made to Items 5-11 on the preceding pages of this Schedule 13G.</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ind w:left="886"/>
        <w:spacing w:after="0" w:line="238" w:lineRule="auto"/>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886" w:right="2120" w:hanging="886"/>
        <w:spacing w:after="0" w:line="253" w:lineRule="auto"/>
        <w:tabs>
          <w:tab w:leader="none" w:pos="8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886" w:right="2120"/>
        <w:spacing w:after="0" w:line="237"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22" w:lineRule="exact"/>
        <w:rPr>
          <w:rFonts w:ascii="Courier New" w:cs="Courier New" w:eastAsia="Courier New" w:hAnsi="Courier New"/>
          <w:sz w:val="18"/>
          <w:szCs w:val="18"/>
          <w:color w:val="auto"/>
        </w:rPr>
      </w:pPr>
    </w:p>
    <w:p>
      <w:pPr>
        <w:ind w:left="886" w:right="2000"/>
        <w:spacing w:after="0" w:line="237"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20" w:lineRule="exact"/>
        <w:rPr>
          <w:rFonts w:ascii="Courier New" w:cs="Courier New" w:eastAsia="Courier New" w:hAnsi="Courier New"/>
          <w:sz w:val="18"/>
          <w:szCs w:val="18"/>
          <w:color w:val="auto"/>
        </w:rPr>
      </w:pPr>
    </w:p>
    <w:p>
      <w:pPr>
        <w:ind w:left="886" w:right="2000" w:hanging="886"/>
        <w:spacing w:after="0" w:line="237" w:lineRule="auto"/>
        <w:tabs>
          <w:tab w:leader="none" w:pos="88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22" w:lineRule="exact"/>
        <w:rPr>
          <w:sz w:val="20"/>
          <w:szCs w:val="20"/>
          <w:color w:val="auto"/>
        </w:rPr>
      </w:pPr>
    </w:p>
    <w:p>
      <w:pPr>
        <w:ind w:left="886" w:right="2000" w:hanging="889"/>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ind w:left="886"/>
        <w:spacing w:after="0"/>
        <w:rPr>
          <w:sz w:val="20"/>
          <w:szCs w:val="20"/>
          <w:color w:val="auto"/>
        </w:rPr>
      </w:pPr>
      <w:r>
        <w:rPr>
          <w:rFonts w:ascii="Courier New" w:cs="Courier New" w:eastAsia="Courier New" w:hAnsi="Courier New"/>
          <w:sz w:val="19"/>
          <w:szCs w:val="19"/>
          <w:color w:val="auto"/>
        </w:rPr>
        <w:t>Not Applicable</w:t>
      </w:r>
    </w:p>
    <w:p>
      <w:pPr>
        <w:spacing w:after="0" w:line="219" w:lineRule="exact"/>
        <w:rPr>
          <w:sz w:val="20"/>
          <w:szCs w:val="20"/>
          <w:color w:val="auto"/>
        </w:rPr>
      </w:pPr>
    </w:p>
    <w:p>
      <w:pPr>
        <w:ind w:left="886" w:right="3460" w:hanging="889"/>
        <w:spacing w:after="0" w:line="235" w:lineRule="auto"/>
        <w:rPr>
          <w:sz w:val="20"/>
          <w:szCs w:val="20"/>
          <w:color w:val="auto"/>
        </w:rPr>
      </w:pPr>
      <w:r>
        <w:rPr>
          <w:rFonts w:ascii="Courier New" w:cs="Courier New" w:eastAsia="Courier New" w:hAnsi="Courier New"/>
          <w:sz w:val="19"/>
          <w:szCs w:val="19"/>
          <w:color w:val="auto"/>
        </w:rPr>
        <w:t>Item 8: Identification and Classification of Members of the Group 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ind w:left="886"/>
        <w:spacing w:after="0" w:line="238" w:lineRule="auto"/>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w:t>
      </w:r>
    </w:p>
    <w:p>
      <w:pPr>
        <w:spacing w:after="0" w:line="5" w:lineRule="exact"/>
        <w:rPr>
          <w:sz w:val="20"/>
          <w:szCs w:val="20"/>
          <w:color w:val="auto"/>
        </w:rPr>
      </w:pPr>
    </w:p>
    <w:p>
      <w:pPr>
        <w:ind w:left="1006" w:right="212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1" w:lineRule="exact"/>
        <w:rPr>
          <w:sz w:val="20"/>
          <w:szCs w:val="20"/>
          <w:color w:val="auto"/>
        </w:rPr>
      </w:pPr>
    </w:p>
    <w:p>
      <w:pPr>
        <w:jc w:val="both"/>
        <w:ind w:left="1006" w:right="2460"/>
        <w:spacing w:after="0" w:line="236" w:lineRule="auto"/>
        <w:rPr>
          <w:sz w:val="20"/>
          <w:szCs w:val="20"/>
          <w:color w:val="auto"/>
        </w:rPr>
      </w:pPr>
      <w:r>
        <w:rPr>
          <w:rFonts w:ascii="Courier New" w:cs="Courier New" w:eastAsia="Courier New" w:hAnsi="Courier New"/>
          <w:sz w:val="19"/>
          <w:szCs w:val="19"/>
          <w:color w:val="auto"/>
        </w:rPr>
        <w:t>of Schedule 13G shall not be construed as an admission that Price Associates is the beneficial owner of the securities referred to, which beneficial ownership is expressly denied.</w:t>
      </w:r>
    </w:p>
    <w:p>
      <w:pPr>
        <w:spacing w:after="0" w:line="214" w:lineRule="exact"/>
        <w:rPr>
          <w:sz w:val="20"/>
          <w:szCs w:val="20"/>
          <w:color w:val="auto"/>
        </w:rPr>
      </w:pPr>
    </w:p>
    <w:p>
      <w:pPr>
        <w:ind w:left="1006"/>
        <w:spacing w:after="0"/>
        <w:rPr>
          <w:sz w:val="20"/>
          <w:szCs w:val="20"/>
          <w:color w:val="auto"/>
        </w:rPr>
      </w:pPr>
      <w:r>
        <w:rPr>
          <w:rFonts w:ascii="Courier New" w:cs="Courier New" w:eastAsia="Courier New" w:hAnsi="Courier New"/>
          <w:sz w:val="19"/>
          <w:szCs w:val="19"/>
          <w:color w:val="auto"/>
        </w:rPr>
        <w:t>Signature.</w:t>
      </w:r>
    </w:p>
    <w:p>
      <w:pPr>
        <w:sectPr>
          <w:pgSz w:w="12240" w:h="15840" w:orient="portrait"/>
          <w:cols w:equalWidth="0" w:num="1">
            <w:col w:w="10686"/>
          </w:cols>
          <w:pgMar w:left="114" w:top="209" w:right="1440" w:bottom="0" w:gutter="0" w:footer="0" w:header="0"/>
        </w:sectPr>
      </w:pPr>
    </w:p>
    <w:bookmarkStart w:id="2" w:name="page3"/>
    <w:bookmarkEnd w:id="2"/>
    <w:p>
      <w:pPr>
        <w:jc w:val="both"/>
        <w:ind w:left="1000" w:right="212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 ROWE PRICE ASSOCIATES, INC.</w:t>
      </w:r>
    </w:p>
    <w:p>
      <w:pPr>
        <w:spacing w:after="0" w:line="238" w:lineRule="auto"/>
        <w:rPr>
          <w:sz w:val="20"/>
          <w:szCs w:val="20"/>
          <w:color w:val="auto"/>
        </w:rPr>
      </w:pPr>
      <w:r>
        <w:rPr>
          <w:rFonts w:ascii="Courier New" w:cs="Courier New" w:eastAsia="Courier New" w:hAnsi="Courier New"/>
          <w:sz w:val="19"/>
          <w:szCs w:val="19"/>
          <w:color w:val="auto"/>
        </w:rPr>
        <w:t>Date: February 14, 2019</w:t>
      </w:r>
    </w:p>
    <w:p>
      <w:pPr>
        <w:spacing w:after="0"/>
        <w:rPr>
          <w:sz w:val="20"/>
          <w:szCs w:val="20"/>
          <w:color w:val="auto"/>
        </w:rPr>
      </w:pPr>
      <w:r>
        <w:rPr>
          <w:rFonts w:ascii="Courier New" w:cs="Courier New" w:eastAsia="Courier New" w:hAnsi="Courier New"/>
          <w:sz w:val="19"/>
          <w:szCs w:val="19"/>
          <w:color w:val="auto"/>
        </w:rPr>
        <w:t>Signature: /s/ David Oestreicher</w:t>
      </w:r>
    </w:p>
    <w:p>
      <w:pPr>
        <w:spacing w:after="0" w:line="237" w:lineRule="auto"/>
        <w:rPr>
          <w:sz w:val="20"/>
          <w:szCs w:val="20"/>
          <w:color w:val="auto"/>
        </w:rPr>
      </w:pPr>
      <w:r>
        <w:rPr>
          <w:rFonts w:ascii="Courier New" w:cs="Courier New" w:eastAsia="Courier New" w:hAnsi="Courier New"/>
          <w:sz w:val="19"/>
          <w:szCs w:val="19"/>
          <w:color w:val="auto"/>
        </w:rPr>
        <w:t>Name &amp; Title: David Oestreicher, Vice President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12/31/2018</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2019-12-19T21:19:01Z</dcterms:created>
  <dcterms:modified xsi:type="dcterms:W3CDTF">2019-12-19T21:19:01Z</dcterms:modified>
</cp:coreProperties>
</file>