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19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7" w:lineRule="exact"/>
        <w:rPr>
          <w:rFonts w:ascii="MS PGothic" w:cs="MS PGothic" w:eastAsia="MS PGothic" w:hAnsi="MS PGothic"/>
          <w:sz w:val="14"/>
          <w:szCs w:val="14"/>
          <w:color w:val="auto"/>
        </w:rPr>
      </w:pPr>
    </w:p>
    <w:p>
      <w:pPr>
        <w:ind w:left="3060"/>
        <w:spacing w:after="0"/>
        <w:rPr>
          <w:rFonts w:ascii="MS PGothic" w:cs="MS PGothic" w:eastAsia="MS PGothic" w:hAnsi="MS PGothic"/>
          <w:sz w:val="14"/>
          <w:szCs w:val="14"/>
          <w:color w:val="auto"/>
        </w:rPr>
      </w:pPr>
      <w:r>
        <w:rPr>
          <w:rFonts w:ascii="Arial" w:cs="Arial" w:eastAsia="Arial" w:hAnsi="Arial"/>
          <w:sz w:val="18"/>
          <w:szCs w:val="18"/>
          <w:b w:val="1"/>
          <w:bCs w:val="1"/>
          <w:color w:val="auto"/>
        </w:rPr>
        <w:t>For the quarterly period ended September 30, 2018</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jc w:val="center"/>
        <w:ind w:left="980" w:right="420"/>
        <w:spacing w:after="0" w:line="31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001-37359</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2"/>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88"/>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88"/>
              </w:rPr>
              <w:t>45 Sidney Street</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Arial" w:cs="Arial" w:eastAsia="Arial" w:hAnsi="Arial"/>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jc w:val="right"/>
              <w:ind w:right="728"/>
              <w:spacing w:after="0"/>
              <w:rPr>
                <w:sz w:val="20"/>
                <w:szCs w:val="20"/>
                <w:color w:val="auto"/>
              </w:rPr>
            </w:pPr>
            <w:r>
              <w:rPr>
                <w:rFonts w:ascii="Arial" w:cs="Arial" w:eastAsia="Arial" w:hAnsi="Arial"/>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40" w:firstLine="415"/>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7" w:lineRule="exact"/>
        <w:rPr>
          <w:sz w:val="24"/>
          <w:szCs w:val="24"/>
          <w:color w:val="auto"/>
        </w:rPr>
      </w:pPr>
    </w:p>
    <w:p>
      <w:pPr>
        <w:ind w:firstLine="415"/>
        <w:spacing w:after="0" w:line="30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60"/>
          </w:cols>
          <w:pgMar w:left="920" w:top="220" w:right="919" w:bottom="1440" w:gutter="0" w:footer="0" w:header="0"/>
        </w:sectPr>
      </w:pPr>
    </w:p>
    <w:p>
      <w:pPr>
        <w:spacing w:after="0" w:line="27" w:lineRule="exact"/>
        <w:rPr>
          <w:sz w:val="24"/>
          <w:szCs w:val="24"/>
          <w:color w:val="auto"/>
        </w:rPr>
      </w:pPr>
    </w:p>
    <w:p>
      <w:pPr>
        <w:ind w:left="1780"/>
        <w:spacing w:after="0"/>
        <w:rPr>
          <w:sz w:val="20"/>
          <w:szCs w:val="20"/>
          <w:color w:val="auto"/>
        </w:rPr>
      </w:pPr>
      <w:r>
        <w:rPr>
          <w:rFonts w:ascii="Arial" w:cs="Arial" w:eastAsia="Arial" w:hAnsi="Arial"/>
          <w:sz w:val="13"/>
          <w:szCs w:val="13"/>
          <w:color w:val="auto"/>
        </w:rPr>
        <w:t>Large accelerated filer</w:t>
      </w:r>
    </w:p>
    <w:p>
      <w:pPr>
        <w:spacing w:after="0" w:line="40" w:lineRule="exact"/>
        <w:rPr>
          <w:sz w:val="24"/>
          <w:szCs w:val="24"/>
          <w:color w:val="auto"/>
        </w:rPr>
      </w:pPr>
    </w:p>
    <w:p>
      <w:pPr>
        <w:ind w:left="18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ind w:left="40"/>
        <w:spacing w:after="0" w:line="12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20"/>
        <w:spacing w:after="0" w:line="14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4">
            <w:col w:w="3080" w:space="20"/>
            <w:col w:w="2800" w:space="720"/>
            <w:col w:w="1580" w:space="80"/>
            <w:col w:w="1780"/>
          </w:cols>
          <w:pgMar w:left="920" w:top="220" w:right="919" w:bottom="1440" w:gutter="0" w:footer="0" w:header="0"/>
          <w:type w:val="continuous"/>
        </w:sectPr>
      </w:pPr>
    </w:p>
    <w:p>
      <w:pPr>
        <w:ind w:right="180" w:firstLine="415"/>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20" w:right="20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the registrant’s common stock, $0.001 par value, outstanding on October 26, 2018: 43,950,375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814070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tcBorders>
              <w:bottom w:val="single" w:sz="8" w:color="0000EE"/>
            </w:tcBorders>
            <w:gridSpan w:val="16"/>
          </w:tcPr>
          <w:p>
            <w:pPr>
              <w:spacing w:after="0" w:line="18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2018 and December 31, 2017</w:t>
              </w:r>
            </w:hyperlink>
          </w:p>
        </w:tc>
        <w:tc>
          <w:tcPr>
            <w:tcW w:w="1200" w:type="dxa"/>
            <w:vAlign w:val="bottom"/>
            <w:gridSpan w:val="3"/>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Operations and Comprehensive Loss for the three and nine</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0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September 30, 2018 and 2017</w:t>
              </w:r>
            </w:hyperlink>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nine months ended September 30, 2018 and</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2017</w:t>
              </w:r>
            </w:hyperlink>
          </w:p>
        </w:tc>
        <w:tc>
          <w:tcPr>
            <w:tcW w:w="18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8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80" w:type="dxa"/>
            <w:vAlign w:val="bottom"/>
            <w:gridSpan w:val="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82"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438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7860" w:type="dxa"/>
            <w:vAlign w:val="bottom"/>
            <w:gridSpan w:val="20"/>
          </w:tcPr>
          <w:p>
            <w:pPr>
              <w:ind w:left="2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1.</w:t>
              </w:r>
            </w:hyperlink>
          </w:p>
        </w:tc>
        <w:tc>
          <w:tcPr>
            <w:tcW w:w="7860" w:type="dxa"/>
            <w:vAlign w:val="bottom"/>
            <w:gridSpan w:val="20"/>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6520" w:type="dxa"/>
            <w:vAlign w:val="bottom"/>
            <w:gridSpan w:val="1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4"/>
          </w:tcPr>
          <w:p>
            <w:pPr>
              <w:ind w:left="20"/>
              <w:spacing w:after="0" w:line="182"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Exhibits</w:t>
              </w:r>
            </w:hyperlink>
          </w:p>
        </w:tc>
        <w:tc>
          <w:tcPr>
            <w:tcW w:w="420" w:type="dxa"/>
            <w:vAlign w:val="bottom"/>
            <w:tcBorders>
              <w:top w:val="single" w:sz="8" w:color="0000EE"/>
            </w:tcBorders>
          </w:tcPr>
          <w:p>
            <w:pPr>
              <w:spacing w:after="0"/>
              <w:rPr>
                <w:sz w:val="17"/>
                <w:szCs w:val="17"/>
                <w:color w:val="auto"/>
              </w:rPr>
            </w:pPr>
          </w:p>
        </w:tc>
        <w:tc>
          <w:tcPr>
            <w:tcW w:w="6820" w:type="dxa"/>
            <w:vAlign w:val="bottom"/>
            <w:gridSpan w:val="15"/>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82"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Signatures</w:t>
              </w:r>
            </w:hyperlink>
          </w:p>
        </w:tc>
        <w:tc>
          <w:tcPr>
            <w:tcW w:w="7640" w:type="dxa"/>
            <w:vAlign w:val="bottom"/>
            <w:gridSpan w:val="1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2"/>
          </w:tcPr>
          <w:p>
            <w:pPr>
              <w:jc w:val="center"/>
              <w:ind w:left="357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239" w:hanging="325"/>
        <w:spacing w:after="0" w:line="22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BLU-554, BLU-667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59"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jc w:val="both"/>
        <w:ind w:left="1300" w:right="79" w:hanging="325"/>
        <w:spacing w:after="0" w:line="22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78,641</w:t>
            </w:r>
          </w:p>
        </w:tc>
        <w:tc>
          <w:tcPr>
            <w:tcW w:w="1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400,304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480,995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273,052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6,021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12,149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line="129" w:lineRule="exact"/>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565,657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685,505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29,720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24,363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line="135"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5,154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4,555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96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606,110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Liabilities and stockholders’ equity</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3,744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45,181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30,541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5,373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line="129" w:lineRule="exact"/>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56,279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42,890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4,129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42,081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13,332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14,617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Other long term liabilities</w:t>
            </w: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9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116,814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91,767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line="129" w:lineRule="exact"/>
              <w:rPr>
                <w:sz w:val="20"/>
                <w:szCs w:val="20"/>
                <w:color w:val="auto"/>
              </w:rPr>
            </w:pPr>
            <w:r>
              <w:rPr>
                <w:rFonts w:ascii="Arial" w:cs="Arial" w:eastAsia="Arial" w:hAnsi="Arial"/>
                <w:sz w:val="14"/>
                <w:szCs w:val="14"/>
                <w:color w:val="auto"/>
              </w:rPr>
              <w:t>Commitments (Note 11)</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960" w:type="dxa"/>
            <w:vAlign w:val="bottom"/>
          </w:tcPr>
          <w:p>
            <w:pPr>
              <w:ind w:left="220"/>
              <w:spacing w:after="0" w:line="108" w:lineRule="exact"/>
              <w:rPr>
                <w:sz w:val="20"/>
                <w:szCs w:val="20"/>
                <w:color w:val="auto"/>
              </w:rPr>
            </w:pPr>
            <w:r>
              <w:rPr>
                <w:rFonts w:ascii="Arial" w:cs="Arial" w:eastAsia="Arial" w:hAnsi="Arial"/>
                <w:sz w:val="12"/>
                <w:szCs w:val="12"/>
                <w:color w:val="auto"/>
              </w:rPr>
              <w:t>Common stock, $0.001 par value; 120,000,000 shares authorized; 43,945,316 and 43,577,526 shares issued and</w:t>
            </w: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20"/>
              <w:spacing w:after="0"/>
              <w:rPr>
                <w:sz w:val="20"/>
                <w:szCs w:val="20"/>
                <w:color w:val="auto"/>
              </w:rPr>
            </w:pPr>
            <w:r>
              <w:rPr>
                <w:rFonts w:ascii="Arial" w:cs="Arial" w:eastAsia="Arial" w:hAnsi="Arial"/>
                <w:sz w:val="14"/>
                <w:szCs w:val="14"/>
                <w:color w:val="auto"/>
              </w:rPr>
              <w:t>outstanding at September 30, 2018 and December 31, 2017, respectively;</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1,006,812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979,785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5"/>
        </w:trPr>
        <w:tc>
          <w:tcPr>
            <w:tcW w:w="6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(517,223)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(355,589)</w:t>
            </w:r>
          </w:p>
        </w:tc>
        <w:tc>
          <w:tcPr>
            <w:tcW w:w="0" w:type="dxa"/>
            <w:vAlign w:val="bottom"/>
          </w:tcPr>
          <w:p>
            <w:pPr>
              <w:spacing w:after="0"/>
              <w:rPr>
                <w:sz w:val="1"/>
                <w:szCs w:val="1"/>
                <w:color w:val="auto"/>
              </w:rPr>
            </w:pPr>
          </w:p>
        </w:tc>
      </w:tr>
      <w:tr>
        <w:trPr>
          <w:trHeight w:val="129"/>
        </w:trPr>
        <w:tc>
          <w:tcPr>
            <w:tcW w:w="696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489,296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623,970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9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606,110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715,737</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5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6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8,068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43,488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19,798</w:t>
            </w:r>
          </w:p>
        </w:tc>
        <w:tc>
          <w:tcPr>
            <w:tcW w:w="0" w:type="dxa"/>
            <w:vAlign w:val="bottom"/>
          </w:tcPr>
          <w:p>
            <w:pPr>
              <w:spacing w:after="0"/>
              <w:rPr>
                <w:sz w:val="1"/>
                <w:szCs w:val="1"/>
                <w:color w:val="auto"/>
              </w:rPr>
            </w:pP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64,562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39,300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173,089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101,058</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12,041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7,378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34,285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19,894</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76,603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46,678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207,374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120,952</w:t>
            </w:r>
          </w:p>
        </w:tc>
        <w:tc>
          <w:tcPr>
            <w:tcW w:w="0" w:type="dxa"/>
            <w:vAlign w:val="bottom"/>
          </w:tcPr>
          <w:p>
            <w:pPr>
              <w:spacing w:after="0"/>
              <w:rPr>
                <w:sz w:val="1"/>
                <w:szCs w:val="1"/>
                <w:color w:val="auto"/>
              </w:rPr>
            </w:pP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2,799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2,785</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169"/>
        </w:trPr>
        <w:tc>
          <w:tcPr>
            <w:tcW w:w="4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(72,723)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(37,703)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(156,320)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(99,092)</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Unrealized gain (loss) on investments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(72,679)</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(37,614)</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(156,388)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(99,239)</w:t>
            </w:r>
          </w:p>
        </w:tc>
        <w:tc>
          <w:tcPr>
            <w:tcW w:w="0" w:type="dxa"/>
            <w:vAlign w:val="bottom"/>
          </w:tcPr>
          <w:p>
            <w:pPr>
              <w:spacing w:after="0"/>
              <w:rPr>
                <w:sz w:val="1"/>
                <w:szCs w:val="1"/>
                <w:color w:val="auto"/>
              </w:rPr>
            </w:pPr>
          </w:p>
        </w:tc>
      </w:tr>
      <w:tr>
        <w:trPr>
          <w:trHeight w:val="170"/>
        </w:trPr>
        <w:tc>
          <w:tcPr>
            <w:tcW w:w="460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share — basic and diluted</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5"/>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43,915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43,825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37,053</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per share — basic and diluted</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2"/>
        </w:trPr>
        <w:tc>
          <w:tcPr>
            <w:tcW w:w="6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right"/>
              <w:ind w:right="251"/>
              <w:spacing w:after="0" w:line="102" w:lineRule="exact"/>
              <w:rPr>
                <w:sz w:val="20"/>
                <w:szCs w:val="20"/>
                <w:color w:val="auto"/>
              </w:rPr>
            </w:pPr>
            <w:r>
              <w:rPr>
                <w:rFonts w:ascii="Arial" w:cs="Arial" w:eastAsia="Arial" w:hAnsi="Arial"/>
                <w:sz w:val="11"/>
                <w:szCs w:val="11"/>
                <w:b w:val="1"/>
                <w:bCs w:val="1"/>
                <w:color w:val="auto"/>
              </w:rPr>
              <w:t>2017</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69"/>
        </w:trPr>
        <w:tc>
          <w:tcPr>
            <w:tcW w:w="6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(156,320)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(99,092)</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3,076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21,702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8,818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(2,934)</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6,421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(4,265)</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18,926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6,512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6,321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(107,427)</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(85,115)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(12,252)</w:t>
            </w:r>
          </w:p>
        </w:tc>
        <w:tc>
          <w:tcPr>
            <w:tcW w:w="16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(648,902)</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8"/>
              </w:rPr>
              <w:t>(315,288)</w:t>
            </w: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Maturities of investments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443,825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198,000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by investing activities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(217,329)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(122,220)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Principal payments on capital lease obligations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(120)</w:t>
            </w:r>
          </w:p>
        </w:tc>
        <w:tc>
          <w:tcPr>
            <w:tcW w:w="16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Payment of offering costs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7"/>
                <w:szCs w:val="17"/>
                <w:color w:val="auto"/>
              </w:rPr>
              <w:t>Proceeds from public offering of common stock, net of commissions and underwriting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216,200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discounts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common stock, net of repurchases</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5,341</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2,818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line="18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3,690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216,095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(321,066)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8,760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405,072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53,336</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84,006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62,096</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46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46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46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Property and equipment purchases unpaid at period end</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50"/>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128</w:t>
            </w:r>
          </w:p>
        </w:tc>
        <w:tc>
          <w:tcPr>
            <w:tcW w:w="2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3,196</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78,641</w:t>
            </w: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57,329</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line="135" w:lineRule="exact"/>
              <w:rPr>
                <w:sz w:val="20"/>
                <w:szCs w:val="20"/>
                <w:color w:val="auto"/>
              </w:rPr>
            </w:pPr>
            <w:r>
              <w:rPr>
                <w:rFonts w:ascii="Arial" w:cs="Arial" w:eastAsia="Arial" w:hAnsi="Arial"/>
                <w:sz w:val="14"/>
                <w:szCs w:val="14"/>
                <w:color w:val="auto"/>
              </w:rPr>
              <w:t>Restricted cash included in prepaid expenses and other 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color w:val="auto"/>
              </w:rPr>
              <w:t>211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5,154</w:t>
            </w:r>
          </w:p>
        </w:tc>
        <w:tc>
          <w:tcPr>
            <w:tcW w:w="3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4,767</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580" w:type="dxa"/>
            <w:vAlign w:val="bottom"/>
          </w:tcPr>
          <w:p>
            <w:pPr>
              <w:spacing w:after="0" w:line="88" w:lineRule="exact"/>
              <w:rPr>
                <w:sz w:val="20"/>
                <w:szCs w:val="20"/>
                <w:color w:val="auto"/>
              </w:rPr>
            </w:pPr>
            <w:r>
              <w:rPr>
                <w:rFonts w:ascii="Arial" w:cs="Arial" w:eastAsia="Arial" w:hAnsi="Arial"/>
                <w:sz w:val="10"/>
                <w:szCs w:val="10"/>
                <w:color w:val="auto"/>
              </w:rPr>
              <w:t>Total cash, cash equivalents, and restricted cash shown in condensed consolidated statements</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84,006</w:t>
            </w: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62,096</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line="149" w:lineRule="exact"/>
              <w:rPr>
                <w:sz w:val="20"/>
                <w:szCs w:val="20"/>
                <w:color w:val="auto"/>
              </w:rPr>
            </w:pPr>
            <w:r>
              <w:rPr>
                <w:rFonts w:ascii="Arial" w:cs="Arial" w:eastAsia="Arial" w:hAnsi="Arial"/>
                <w:sz w:val="14"/>
                <w:szCs w:val="14"/>
                <w:color w:val="auto"/>
              </w:rPr>
              <w:t>of cash flows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biopharmaceutical company focused on developing potentially transformational medicines to improve the lives of patients with genomically defined cancers and rare diseases. The Company’s approach is to leverage its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The Company is devoting substantially all of its efforts to research and development, conducting pre-clinical and clinical development, commencing pre-commercial activities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paid by the Company.</w:t>
      </w:r>
    </w:p>
    <w:p>
      <w:pPr>
        <w:spacing w:after="0" w:line="162" w:lineRule="exact"/>
        <w:rPr>
          <w:sz w:val="20"/>
          <w:szCs w:val="20"/>
          <w:color w:val="auto"/>
        </w:rPr>
      </w:pPr>
    </w:p>
    <w:p>
      <w:pPr>
        <w:ind w:right="320" w:firstLine="648"/>
        <w:spacing w:after="0" w:line="229" w:lineRule="auto"/>
        <w:rPr>
          <w:sz w:val="20"/>
          <w:szCs w:val="20"/>
          <w:color w:val="auto"/>
        </w:rPr>
      </w:pPr>
      <w:r>
        <w:rPr>
          <w:rFonts w:ascii="Arial" w:cs="Arial" w:eastAsia="Arial" w:hAnsi="Arial"/>
          <w:sz w:val="17"/>
          <w:szCs w:val="17"/>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paid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15, 2017, the Company closed its underwritten public offering of 4,259,259 shares of its common stock at a price to the public of $81.00 per share, including 555,555 shares of common stock sold by the Company pursuant to the exercise in full by the underwriters of their option to purchase additional shares in connection with the offering. The Company received net proceeds of approximately $325.7 million, after deducting underwriting discounts and commissions and offering expenses paid by the Company.</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As of September 30, 2018, the Company had cash, cash equivalents and investments of $559.6 million. Based on the Company’s current plans, the Company believes its existing cash, cash equivalents and investments, excluding any potential option fees and milestone payments under its existing collaborations with F. Hoffmann-La Roche Ltd and Hoffmann-</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La Roche Inc. (collectively, Roche) and CStone Pharmaceuticals (CStone), will be sufficient to enable it to fund its operating expenses and capital expenditure requirements into the second half of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2017 and notes thereto included in the Company’s Annual Report on Form 10-K for the year ended December 31, 2017, filed with the SEC on February 21, 2018.</w:t>
      </w:r>
    </w:p>
    <w:p>
      <w:pPr>
        <w:spacing w:after="0" w:line="16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 xml:space="preserve">The unaudited interim condensed consolidated financial statements have been prepared on the same basis as the audited financial statements, except as noted below with respect to the adoption of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In the opinion of the Company’s management, the accompanying unaudited interim condensed consolidated financial statements contain all adjustments which are necessary to present fairly the Company’s financial position as of September 30, 2018, the results of its operations for the three and nine months ended September 30, 2018 and 2017 and cash flows for the nine months ended September 30, 2018 and 2017. Such adjustments are of a normal and recurring nature. The results for the three and nine months ended September 30, 2018 are not necessarily indicative of the results for the year ending December 31, 2018, or for any future period.</w:t>
      </w:r>
    </w:p>
    <w:p>
      <w:pPr>
        <w:spacing w:after="0" w:line="167" w:lineRule="exact"/>
        <w:rPr>
          <w:sz w:val="20"/>
          <w:szCs w:val="20"/>
          <w:color w:val="auto"/>
        </w:rPr>
      </w:pPr>
    </w:p>
    <w:p>
      <w:pPr>
        <w:ind w:right="560" w:firstLine="648"/>
        <w:spacing w:after="0" w:line="224" w:lineRule="auto"/>
        <w:rPr>
          <w:sz w:val="20"/>
          <w:szCs w:val="20"/>
          <w:color w:val="auto"/>
        </w:rPr>
      </w:pPr>
      <w:r>
        <w:rPr>
          <w:rFonts w:ascii="Arial" w:cs="Arial" w:eastAsia="Arial" w:hAnsi="Arial"/>
          <w:sz w:val="18"/>
          <w:szCs w:val="18"/>
          <w:color w:val="auto"/>
        </w:rPr>
        <w:t>Due to the underwritten public offerings completed on April 4, 2017, and December 15, 2017, there was a significant increase in shares outstanding in the year ended December 31, 2017, which impacts the period-over-period comparability of the Company’s net loss per share calculations.</w:t>
      </w:r>
    </w:p>
    <w:p>
      <w:pPr>
        <w:spacing w:after="0" w:line="163"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The condensed consolidated financial statements include the Company’s accounts and the accounts of its wholly-owned subsidiaries, Blueprint Medicines Security Corporation and Blueprint Medicines (Switzerland) GmbH. All intercompany transactions have been eliminated in consolidation.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revenue recognition; accrued expenses; and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 xml:space="preserve">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The Company only applied the modified retrospective transition method to contracts that were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not completed as of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3"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exclusively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70"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If the license to the Company’s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and development and licensing agreement. Such a change could have a material impact on the amount of revenue the Company records in future periods.</w:t>
      </w:r>
    </w:p>
    <w:p>
      <w:pPr>
        <w:spacing w:after="0" w:line="162"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1"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research or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6"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based on a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59" w:lineRule="exact"/>
        <w:rPr>
          <w:sz w:val="20"/>
          <w:szCs w:val="20"/>
          <w:color w:val="auto"/>
        </w:rPr>
      </w:pPr>
    </w:p>
    <w:p>
      <w:pPr>
        <w:ind w:right="1340" w:firstLine="648"/>
        <w:spacing w:after="0" w:line="454" w:lineRule="auto"/>
        <w:rPr>
          <w:sz w:val="20"/>
          <w:szCs w:val="20"/>
          <w:color w:val="auto"/>
        </w:rPr>
      </w:pPr>
      <w:r>
        <w:rPr>
          <w:rFonts w:ascii="Arial" w:cs="Arial" w:eastAsia="Arial" w:hAnsi="Arial"/>
          <w:sz w:val="18"/>
          <w:szCs w:val="18"/>
          <w:color w:val="auto"/>
        </w:rPr>
        <w:t xml:space="preserve">For a complete discussion of accounting for collaboration revenues, see Note 7, “Collaborations.” </w:t>
      </w:r>
      <w:r>
        <w:rPr>
          <w:rFonts w:ascii="Arial" w:cs="Arial" w:eastAsia="Arial" w:hAnsi="Arial"/>
          <w:sz w:val="18"/>
          <w:szCs w:val="18"/>
          <w:i w:val="1"/>
          <w:iCs w:val="1"/>
          <w:color w:val="auto"/>
        </w:rPr>
        <w:t>Collaborative Arrangements</w:t>
      </w:r>
    </w:p>
    <w:p>
      <w:pPr>
        <w:ind w:right="60" w:firstLine="648"/>
        <w:spacing w:after="0" w:line="234"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808). This assessment is performed throughout the life of the arrangement based on changes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Amounts that are owed to collaboration partners are recognized as an offset to collaboration revenues as such amounts are incurred by the collaboration partner. Where amounts owed to a collaboration partner exceed the Company’s collaboration revenues in each quarterly period, such amounts are classified as research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development expense. For those elements of the arrangement that are accounted for pursuant to ASC 606, the Company applies the five-step model described above under ASC 606.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complete discussion of accounting for collaboration revenues, see Note 7, “Collaborations.”</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Other than as described above with respect to revenue recognition, there have been no significant changes to the Company’s critical accounting policies discussed in its Annual Report on Form 10-K for the year ended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100" w:firstLine="270"/>
        <w:spacing w:after="0" w:line="21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May 2014, the FASB issued Accounting Standards Update (ASU) No. 2014-09, which amends the guidance for accounting for revenue from contracts with customers. ASU No. 2014-09 superseded the revenue recognition requirements in ASC 605 and created ASC 606 described above. Effective January 1, 2018, the Company adopted ASC 606 using the modified retrospective transition method.</w:t>
      </w:r>
    </w:p>
    <w:p>
      <w:pPr>
        <w:spacing w:after="0" w:line="163"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As a result of adopting ASC 606, the Company has recorded a cumulative-effect increase to opening accumulated deficit of $5.3 million as of January 1, 2018 and a corresponding increase to deferred revenue primarily as a result of the treatment of the up-front consideration received from Roche in March 2016 that was recorded under ASC 605 prior to the adoption of ASC 606. A summary of the amount by which each financial statement line item was affected by the impact of the cumulative adjustment is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920" w:type="dxa"/>
            <w:vAlign w:val="bottom"/>
            <w:tcBorders>
              <w:top w:val="single" w:sz="8" w:color="auto"/>
            </w:tcBorders>
            <w:gridSpan w:val="5"/>
          </w:tcPr>
          <w:p>
            <w:pPr>
              <w:jc w:val="right"/>
              <w:ind w:right="2"/>
              <w:spacing w:after="0" w:line="129" w:lineRule="exact"/>
              <w:rPr>
                <w:sz w:val="20"/>
                <w:szCs w:val="20"/>
                <w:color w:val="auto"/>
              </w:rPr>
            </w:pPr>
            <w:r>
              <w:rPr>
                <w:rFonts w:ascii="Arial" w:cs="Arial" w:eastAsia="Arial" w:hAnsi="Arial"/>
                <w:sz w:val="14"/>
                <w:szCs w:val="14"/>
                <w:b w:val="1"/>
                <w:bCs w:val="1"/>
                <w:color w:val="auto"/>
                <w:w w:val="93"/>
              </w:rPr>
              <w:t>Impact of ASC 606 Adoption on Condensed Consolidated Balance Sheet as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9"/>
              </w:rPr>
              <w:t>January 1, 2018</w:t>
            </w: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As reported</w:t>
            </w: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 without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Adjustments</w:t>
            </w:r>
          </w:p>
        </w:tc>
        <w:tc>
          <w:tcPr>
            <w:tcW w:w="7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under ASC 606</w:t>
            </w:r>
          </w:p>
        </w:tc>
        <w:tc>
          <w:tcPr>
            <w:tcW w:w="8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606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revenue, current portion</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4,478</w:t>
            </w:r>
          </w:p>
        </w:tc>
        <w:tc>
          <w:tcPr>
            <w:tcW w:w="8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(895)</w:t>
            </w: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5,373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rPr>
              <w:t>Deferred revenue, net of current portion</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36,210</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6,210</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(360,904)</w:t>
            </w:r>
          </w:p>
        </w:tc>
        <w:tc>
          <w:tcPr>
            <w:tcW w:w="8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(5,315)</w:t>
            </w: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(355,589)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A summary of the amount by which each financial statement line item was affected in the current reporting period by ASC 606 as compared with the guidance that was in effect prior to the adoption of ASC 606 is set forth in the tables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60" w:type="dxa"/>
            <w:vAlign w:val="bottom"/>
            <w:tcBorders>
              <w:top w:val="single" w:sz="8" w:color="auto"/>
            </w:tcBorders>
            <w:gridSpan w:val="6"/>
          </w:tcPr>
          <w:p>
            <w:pPr>
              <w:jc w:val="right"/>
              <w:spacing w:after="0" w:line="162" w:lineRule="exact"/>
              <w:rPr>
                <w:sz w:val="20"/>
                <w:szCs w:val="20"/>
                <w:color w:val="auto"/>
              </w:rPr>
            </w:pPr>
            <w:r>
              <w:rPr>
                <w:rFonts w:ascii="Arial" w:cs="Arial" w:eastAsia="Arial" w:hAnsi="Arial"/>
                <w:sz w:val="18"/>
                <w:szCs w:val="18"/>
                <w:b w:val="1"/>
                <w:bCs w:val="1"/>
                <w:color w:val="auto"/>
                <w:w w:val="91"/>
              </w:rPr>
              <w:t>Impact of ASC 606 Adoption on Condensed Consolidated Balance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150"/>
              <w:spacing w:after="0" w:line="202" w:lineRule="exact"/>
              <w:rPr>
                <w:sz w:val="20"/>
                <w:szCs w:val="20"/>
                <w:color w:val="auto"/>
              </w:rPr>
            </w:pPr>
            <w:r>
              <w:rPr>
                <w:rFonts w:ascii="Arial" w:cs="Arial" w:eastAsia="Arial" w:hAnsi="Arial"/>
                <w:sz w:val="18"/>
                <w:szCs w:val="18"/>
                <w:b w:val="1"/>
                <w:bCs w:val="1"/>
                <w:color w:val="auto"/>
                <w:w w:val="94"/>
              </w:rPr>
              <w:t>Sheet as of September 30, 2018</w:t>
            </w: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As reported</w:t>
            </w: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1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50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3"/>
              </w:rPr>
              <w:t>under ASC 606</w:t>
            </w:r>
          </w:p>
        </w:tc>
        <w:tc>
          <w:tcPr>
            <w:tcW w:w="74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Deferred revenue, current portion</w:t>
            </w:r>
          </w:p>
        </w:tc>
        <w:tc>
          <w:tcPr>
            <w:tcW w:w="4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5,119</w:t>
            </w:r>
          </w:p>
        </w:tc>
        <w:tc>
          <w:tcPr>
            <w:tcW w:w="74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(175)</w:t>
            </w: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5,294</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8"/>
                <w:szCs w:val="18"/>
                <w:color w:val="auto"/>
                <w:w w:val="99"/>
              </w:rPr>
              <w:t>Deferred revenue, net of current portion</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42,081</w:t>
            </w:r>
          </w:p>
        </w:tc>
        <w:tc>
          <w:tcPr>
            <w:tcW w:w="7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15,831</w:t>
            </w:r>
          </w:p>
        </w:tc>
        <w:tc>
          <w:tcPr>
            <w:tcW w:w="200" w:type="dxa"/>
            <w:vAlign w:val="bottom"/>
          </w:tcPr>
          <w:p>
            <w:pPr>
              <w:spacing w:after="0"/>
              <w:rPr>
                <w:sz w:val="16"/>
                <w:szCs w:val="16"/>
                <w:color w:val="auto"/>
              </w:rPr>
            </w:pPr>
          </w:p>
        </w:tc>
        <w:tc>
          <w:tcPr>
            <w:tcW w:w="50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26,250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(517,223)</w:t>
            </w:r>
          </w:p>
        </w:tc>
        <w:tc>
          <w:tcPr>
            <w:tcW w:w="7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(15,656)</w:t>
            </w:r>
          </w:p>
        </w:tc>
        <w:tc>
          <w:tcPr>
            <w:tcW w:w="50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(501,567)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563C1"/>
            </w:tcBorders>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89"/>
              </w:rPr>
              <w:t>Impact of ASC 606 Adoption on Condensed Consolidated Statement</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60" w:type="dxa"/>
            <w:vAlign w:val="bottom"/>
            <w:gridSpan w:val="9"/>
          </w:tcPr>
          <w:p>
            <w:pPr>
              <w:jc w:val="center"/>
              <w:ind w:right="180"/>
              <w:spacing w:after="0" w:line="176" w:lineRule="exact"/>
              <w:rPr>
                <w:sz w:val="20"/>
                <w:szCs w:val="20"/>
                <w:color w:val="auto"/>
              </w:rPr>
            </w:pPr>
            <w:r>
              <w:rPr>
                <w:rFonts w:ascii="Arial" w:cs="Arial" w:eastAsia="Arial" w:hAnsi="Arial"/>
                <w:sz w:val="18"/>
                <w:szCs w:val="18"/>
                <w:b w:val="1"/>
                <w:bCs w:val="1"/>
                <w:color w:val="auto"/>
                <w:w w:val="89"/>
              </w:rPr>
              <w:t>of Operations and Comprehensive Loss for the Three Months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ind w:left="50"/>
              <w:spacing w:after="0" w:line="202" w:lineRule="exact"/>
              <w:rPr>
                <w:sz w:val="20"/>
                <w:szCs w:val="20"/>
                <w:color w:val="auto"/>
              </w:rPr>
            </w:pPr>
            <w:r>
              <w:rPr>
                <w:rFonts w:ascii="Arial" w:cs="Arial" w:eastAsia="Arial" w:hAnsi="Arial"/>
                <w:sz w:val="18"/>
                <w:szCs w:val="18"/>
                <w:b w:val="1"/>
                <w:bCs w:val="1"/>
                <w:color w:val="auto"/>
                <w:w w:val="89"/>
              </w:rPr>
              <w:t>Ended September 30, 2018</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2"/>
              </w:rPr>
              <w:t>under ASC 606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0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56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1,095</w:t>
            </w: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1,144</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line="189" w:lineRule="exact"/>
              <w:rPr>
                <w:sz w:val="20"/>
                <w:szCs w:val="20"/>
                <w:color w:val="auto"/>
              </w:rPr>
            </w:pPr>
            <w:r>
              <w:rPr>
                <w:rFonts w:ascii="Arial" w:cs="Arial" w:eastAsia="Arial" w:hAnsi="Arial"/>
                <w:sz w:val="18"/>
                <w:szCs w:val="18"/>
                <w:color w:val="auto"/>
              </w:rPr>
              <w:t>Net loss</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(72,723)</w:t>
            </w: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6"/>
                <w:szCs w:val="16"/>
                <w:color w:val="auto"/>
              </w:rPr>
            </w:pPr>
          </w:p>
        </w:tc>
        <w:tc>
          <w:tcPr>
            <w:tcW w:w="3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(72,674)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 per share - basic and diluted</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(1.66)</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60" w:type="dxa"/>
            <w:vAlign w:val="bottom"/>
            <w:tcBorders>
              <w:bottom w:val="single" w:sz="8" w:color="auto"/>
            </w:tcBorders>
            <w:gridSpan w:val="8"/>
          </w:tcPr>
          <w:p>
            <w:pPr>
              <w:spacing w:after="0"/>
              <w:rPr>
                <w:sz w:val="16"/>
                <w:szCs w:val="16"/>
                <w:color w:val="auto"/>
              </w:rPr>
            </w:pP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60" w:type="dxa"/>
            <w:vAlign w:val="bottom"/>
            <w:gridSpan w:val="8"/>
          </w:tcPr>
          <w:p>
            <w:pPr>
              <w:jc w:val="center"/>
              <w:spacing w:after="0" w:line="142" w:lineRule="exact"/>
              <w:rPr>
                <w:sz w:val="20"/>
                <w:szCs w:val="20"/>
                <w:color w:val="auto"/>
              </w:rPr>
            </w:pPr>
            <w:r>
              <w:rPr>
                <w:rFonts w:ascii="Arial" w:cs="Arial" w:eastAsia="Arial" w:hAnsi="Arial"/>
                <w:sz w:val="16"/>
                <w:szCs w:val="16"/>
                <w:b w:val="1"/>
                <w:bCs w:val="1"/>
                <w:color w:val="auto"/>
              </w:rPr>
              <w:t>Impact of ASC 606 Adoption on Condensed Consolidated Statement</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60" w:type="dxa"/>
            <w:vAlign w:val="bottom"/>
            <w:gridSpan w:val="9"/>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of Operations and Comprehensive Loss for the Nine Months Ended</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89"/>
              </w:rPr>
              <w:t>September 30, 2018</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2"/>
              </w:rPr>
              <w:t>under ASC 606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0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56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43,488</w:t>
            </w: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(10,341)</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53,829</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spacing w:after="0" w:line="189" w:lineRule="exact"/>
              <w:rPr>
                <w:sz w:val="20"/>
                <w:szCs w:val="20"/>
                <w:color w:val="auto"/>
              </w:rPr>
            </w:pPr>
            <w:r>
              <w:rPr>
                <w:rFonts w:ascii="Arial" w:cs="Arial" w:eastAsia="Arial" w:hAnsi="Arial"/>
                <w:sz w:val="18"/>
                <w:szCs w:val="18"/>
                <w:color w:val="auto"/>
              </w:rPr>
              <w:t>Net loss</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(156,320)</w:t>
            </w:r>
          </w:p>
        </w:tc>
        <w:tc>
          <w:tcPr>
            <w:tcW w:w="1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340"/>
              <w:spacing w:after="0" w:line="189" w:lineRule="exact"/>
              <w:rPr>
                <w:sz w:val="20"/>
                <w:szCs w:val="20"/>
                <w:color w:val="auto"/>
              </w:rPr>
            </w:pPr>
            <w:r>
              <w:rPr>
                <w:rFonts w:ascii="Arial" w:cs="Arial" w:eastAsia="Arial" w:hAnsi="Arial"/>
                <w:sz w:val="18"/>
                <w:szCs w:val="18"/>
                <w:color w:val="auto"/>
              </w:rPr>
              <w:t>(10,341)</w:t>
            </w:r>
          </w:p>
        </w:tc>
        <w:tc>
          <w:tcPr>
            <w:tcW w:w="3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(145,979)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 per share - basic and diluted</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60" w:type="dxa"/>
            <w:vAlign w:val="bottom"/>
            <w:tcBorders>
              <w:bottom w:val="single" w:sz="8" w:color="auto"/>
            </w:tcBorders>
            <w:gridSpan w:val="8"/>
          </w:tcPr>
          <w:p>
            <w:pPr>
              <w:spacing w:after="0"/>
              <w:rPr>
                <w:sz w:val="24"/>
                <w:szCs w:val="24"/>
                <w:color w:val="auto"/>
              </w:rPr>
            </w:pP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60" w:type="dxa"/>
            <w:vAlign w:val="bottom"/>
            <w:gridSpan w:val="8"/>
          </w:tcPr>
          <w:p>
            <w:pPr>
              <w:jc w:val="center"/>
              <w:spacing w:after="0" w:line="142" w:lineRule="exact"/>
              <w:rPr>
                <w:sz w:val="20"/>
                <w:szCs w:val="20"/>
                <w:color w:val="auto"/>
              </w:rPr>
            </w:pPr>
            <w:r>
              <w:rPr>
                <w:rFonts w:ascii="Arial" w:cs="Arial" w:eastAsia="Arial" w:hAnsi="Arial"/>
                <w:sz w:val="16"/>
                <w:szCs w:val="16"/>
                <w:b w:val="1"/>
                <w:bCs w:val="1"/>
                <w:color w:val="auto"/>
              </w:rPr>
              <w:t>Impact of ASC 606 Adoption on Condensed Consolidated Statement</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60" w:type="dxa"/>
            <w:vAlign w:val="bottom"/>
            <w:gridSpan w:val="9"/>
          </w:tcPr>
          <w:p>
            <w:pPr>
              <w:jc w:val="center"/>
              <w:ind w:right="200"/>
              <w:spacing w:after="0" w:line="202" w:lineRule="exact"/>
              <w:rPr>
                <w:sz w:val="20"/>
                <w:szCs w:val="20"/>
                <w:color w:val="auto"/>
              </w:rPr>
            </w:pPr>
            <w:r>
              <w:rPr>
                <w:rFonts w:ascii="Arial" w:cs="Arial" w:eastAsia="Arial" w:hAnsi="Arial"/>
                <w:sz w:val="18"/>
                <w:szCs w:val="18"/>
                <w:b w:val="1"/>
                <w:bCs w:val="1"/>
                <w:color w:val="auto"/>
                <w:w w:val="90"/>
              </w:rPr>
              <w:t>of Cash Flows for the Nine Months Ended September 30, 2018</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6"/>
              </w:rPr>
              <w:t>Balances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without</w:t>
            </w:r>
          </w:p>
        </w:tc>
        <w:tc>
          <w:tcPr>
            <w:tcW w:w="0" w:type="dxa"/>
            <w:vAlign w:val="bottom"/>
          </w:tcPr>
          <w:p>
            <w:pPr>
              <w:spacing w:after="0"/>
              <w:rPr>
                <w:sz w:val="1"/>
                <w:szCs w:val="1"/>
                <w:color w:val="auto"/>
              </w:rPr>
            </w:pPr>
          </w:p>
        </w:tc>
      </w:tr>
      <w:tr>
        <w:trPr>
          <w:trHeight w:val="176"/>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Adjustments</w:t>
            </w:r>
          </w:p>
        </w:tc>
        <w:tc>
          <w:tcPr>
            <w:tcW w:w="36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2"/>
              </w:rPr>
              <w:t>under ASC 606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3"/>
              </w:rPr>
              <w:t>ASC 606</w:t>
            </w:r>
          </w:p>
        </w:tc>
        <w:tc>
          <w:tcPr>
            <w:tcW w:w="0" w:type="dxa"/>
            <w:vAlign w:val="bottom"/>
          </w:tcPr>
          <w:p>
            <w:pPr>
              <w:spacing w:after="0"/>
              <w:rPr>
                <w:sz w:val="1"/>
                <w:szCs w:val="1"/>
                <w:color w:val="auto"/>
              </w:rPr>
            </w:pPr>
          </w:p>
        </w:tc>
      </w:tr>
      <w:tr>
        <w:trPr>
          <w:trHeight w:val="169"/>
        </w:trPr>
        <w:tc>
          <w:tcPr>
            <w:tcW w:w="30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(156,320)</w:t>
            </w: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(10,341)</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(145,979)</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Changes in deferred revenue</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6,512</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34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most significant change to the Company’s accounting for revenue as a result of the adoption of ASC 606 relates to its revenue recognition pattern under step (v) above for the Company’s collaboration and license agreement with Roche (as amended, the Roche agreement). Under ASC 605, the Company was recognizing the revenue allocated to each unit of accounting on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expected to complete its obligations. Under ASC 606, the Company is recognizing the revenue allocated to each performance obligation measuring progress using an input method over the period the Company expects to complete each performance obligation. ASC 606 also requires disclosure of the nature, amount, timing, and uncertainty of revenue and cash flows arising from contracts with customers. For further discussion of the adoption of this standard, see Note 7, “Collaborations.”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February 2016, the FASB issued </w:t>
      </w:r>
      <w:r>
        <w:rPr>
          <w:rFonts w:ascii="Arial" w:cs="Arial" w:eastAsia="Arial" w:hAnsi="Arial"/>
          <w:sz w:val="18"/>
          <w:szCs w:val="18"/>
          <w:i w:val="1"/>
          <w:iCs w:val="1"/>
          <w:color w:val="auto"/>
        </w:rPr>
        <w:t>ASU No. 2016-02, Leases (Topic 842).</w:t>
      </w:r>
      <w:r>
        <w:rPr>
          <w:rFonts w:ascii="Arial" w:cs="Arial" w:eastAsia="Arial" w:hAnsi="Arial"/>
          <w:sz w:val="18"/>
          <w:szCs w:val="18"/>
          <w:color w:val="auto"/>
        </w:rPr>
        <w:t xml:space="preserve"> This new standard establishes a right-of-use (ROU) model that requires all lessees to recognize ROU assets and liabilities on their balance sheet that arise from leases with terms longer than 12 months as well as provide disclosures with respect to certain qualitative and quantitative information related to their leasing arrangements. This new standard will become effective for the Company on January 1, 2019.</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The FASB subsequently issued the following amendments to </w:t>
      </w:r>
      <w:r>
        <w:rPr>
          <w:rFonts w:ascii="Arial" w:cs="Arial" w:eastAsia="Arial" w:hAnsi="Arial"/>
          <w:sz w:val="18"/>
          <w:szCs w:val="18"/>
          <w:i w:val="1"/>
          <w:iCs w:val="1"/>
          <w:color w:val="auto"/>
        </w:rPr>
        <w:t>ASU 2016-02, Leases (Topic 842)</w:t>
      </w:r>
      <w:r>
        <w:rPr>
          <w:rFonts w:ascii="Arial" w:cs="Arial" w:eastAsia="Arial" w:hAnsi="Arial"/>
          <w:sz w:val="18"/>
          <w:szCs w:val="18"/>
          <w:color w:val="auto"/>
        </w:rPr>
        <w:t>, which have the same effective date and transition date of January 1, 2019: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1080" w:right="160" w:hanging="321"/>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ASU No. 2018-10, Codification Improvements to Topic 842, Leases, </w:t>
      </w:r>
      <w:r>
        <w:rPr>
          <w:rFonts w:ascii="Arial" w:cs="Arial" w:eastAsia="Arial" w:hAnsi="Arial"/>
          <w:sz w:val="18"/>
          <w:szCs w:val="18"/>
          <w:color w:val="auto"/>
        </w:rPr>
        <w:t>which amends certain narrow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issued in ASU 2016-02; and</w:t>
      </w:r>
    </w:p>
    <w:p>
      <w:pPr>
        <w:spacing w:after="0" w:line="170" w:lineRule="exact"/>
        <w:rPr>
          <w:rFonts w:ascii="Arial" w:cs="Arial" w:eastAsia="Arial" w:hAnsi="Arial"/>
          <w:sz w:val="18"/>
          <w:szCs w:val="18"/>
          <w:color w:val="auto"/>
        </w:rPr>
      </w:pPr>
    </w:p>
    <w:p>
      <w:pPr>
        <w:ind w:left="1080" w:right="20" w:hanging="321"/>
        <w:spacing w:after="0" w:line="279"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ASU No. 2018-11, Leases (Topic 842): Targeted Improvements</w:t>
      </w:r>
      <w:r>
        <w:rPr>
          <w:rFonts w:ascii="Arial" w:cs="Arial" w:eastAsia="Arial" w:hAnsi="Arial"/>
          <w:sz w:val="17"/>
          <w:szCs w:val="17"/>
          <w:color w:val="auto"/>
        </w:rPr>
        <w:t>, which allows for a transition approach to</w:t>
      </w:r>
      <w:r>
        <w:rPr>
          <w:rFonts w:ascii="Arial" w:cs="Arial" w:eastAsia="Arial" w:hAnsi="Arial"/>
          <w:sz w:val="17"/>
          <w:szCs w:val="17"/>
          <w:i w:val="1"/>
          <w:iCs w:val="1"/>
          <w:color w:val="auto"/>
        </w:rPr>
        <w:t xml:space="preserve"> </w:t>
      </w:r>
      <w:r>
        <w:rPr>
          <w:rFonts w:ascii="Arial" w:cs="Arial" w:eastAsia="Arial" w:hAnsi="Arial"/>
          <w:sz w:val="17"/>
          <w:szCs w:val="17"/>
          <w:color w:val="auto"/>
        </w:rPr>
        <w:t>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71"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is in the process of reviewing its existing lease contracts and continues to evaluate the impact that these new leasing standards may have on its consolidated results of operations, financial position and disclosures. The Company expects that the adoption of the new leasing standards will result in the recognition of material ROU assets and liabilities in its condensed consolidated balance sheets. The Company does not expect the adoption of the new leasing standards will have a material impact to its condensed consolidated statements of income.</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will adopt the new leasing standards using a modified retrospective transition approach to be applied to leases existing as of, or entered into after, January 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21"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September 30, 2018 and</w:t>
      </w:r>
    </w:p>
    <w:p>
      <w:pPr>
        <w:spacing w:after="0"/>
        <w:rPr>
          <w:sz w:val="20"/>
          <w:szCs w:val="20"/>
          <w:color w:val="auto"/>
        </w:rPr>
      </w:pPr>
      <w:r>
        <w:rPr>
          <w:rFonts w:ascii="Arial" w:cs="Arial" w:eastAsia="Arial" w:hAnsi="Arial"/>
          <w:sz w:val="18"/>
          <w:szCs w:val="18"/>
          <w:color w:val="auto"/>
        </w:rPr>
        <w:t>December 31, 2017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2018</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78,641</w:t>
            </w:r>
          </w:p>
        </w:tc>
        <w:tc>
          <w:tcPr>
            <w:tcW w:w="40" w:type="dxa"/>
            <w:vAlign w:val="bottom"/>
          </w:tcPr>
          <w:p>
            <w:pPr>
              <w:spacing w:after="0"/>
              <w:rPr>
                <w:sz w:val="16"/>
                <w:szCs w:val="16"/>
                <w:color w:val="auto"/>
              </w:rPr>
            </w:pPr>
          </w:p>
        </w:tc>
        <w:tc>
          <w:tcPr>
            <w:tcW w:w="28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3"/>
          </w:tcPr>
          <w:p>
            <w:pPr>
              <w:ind w:left="32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78,641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481,332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480,995</w:t>
            </w: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559,973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ind w:left="360"/>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559,636</w:t>
            </w:r>
          </w:p>
        </w:tc>
        <w:tc>
          <w:tcPr>
            <w:tcW w:w="0" w:type="dxa"/>
            <w:vAlign w:val="bottom"/>
          </w:tcPr>
          <w:p>
            <w:pPr>
              <w:spacing w:after="0"/>
              <w:rPr>
                <w:sz w:val="1"/>
                <w:szCs w:val="1"/>
                <w:color w:val="auto"/>
              </w:rPr>
            </w:pPr>
          </w:p>
        </w:tc>
      </w:tr>
      <w:tr>
        <w:trPr>
          <w:trHeight w:val="382"/>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4"/>
                <w:szCs w:val="24"/>
                <w:color w:val="auto"/>
              </w:rPr>
            </w:pPr>
          </w:p>
        </w:tc>
        <w:tc>
          <w:tcPr>
            <w:tcW w:w="1020" w:type="dxa"/>
            <w:vAlign w:val="bottom"/>
            <w:gridSpan w:val="5"/>
          </w:tcPr>
          <w:p>
            <w:pPr>
              <w:ind w:left="8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3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260" w:type="dxa"/>
            <w:vAlign w:val="bottom"/>
            <w:gridSpan w:val="3"/>
          </w:tcPr>
          <w:p>
            <w:pPr>
              <w:jc w:val="right"/>
              <w:ind w:right="5"/>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400,304</w:t>
            </w:r>
          </w:p>
        </w:tc>
        <w:tc>
          <w:tcPr>
            <w:tcW w:w="40" w:type="dxa"/>
            <w:vAlign w:val="bottom"/>
          </w:tcPr>
          <w:p>
            <w:pPr>
              <w:spacing w:after="0"/>
              <w:rPr>
                <w:sz w:val="16"/>
                <w:szCs w:val="16"/>
                <w:color w:val="auto"/>
              </w:rPr>
            </w:pPr>
          </w:p>
        </w:tc>
        <w:tc>
          <w:tcPr>
            <w:tcW w:w="2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gridSpan w:val="3"/>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400,304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273,321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673,625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ind w:left="28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The cost of securities sold is determined based on the specific identification method for purposes of recording realized gains and losses. During the three and nine months ended September 30, 2018 and 2017, there were no realized gains or losses on sales of investments, and no investments were adjusted for other than temporary declines in fair value.</w:t>
      </w:r>
    </w:p>
    <w:p>
      <w:pPr>
        <w:spacing w:after="0" w:line="147"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At September 30, 2018, the Company held 60 securities that were in an unrealized loss position. The aggregate fair value of securities held by the Company in an unrealized loss position for less than twelve months as of September 30, 2018 was $471.0 million. As of September 30, 2018, there were 2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Company determined it did not hold any investments with an other-than-temporary impairment as of September 30, 2018.</w:t>
      </w:r>
    </w:p>
    <w:p>
      <w:pPr>
        <w:spacing w:after="0" w:line="167"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No available-for-sale securities held as of September 30, 2018 or December 31, 2017 had remaining maturities greater than one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0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94" w:lineRule="exact"/>
        <w:rPr>
          <w:sz w:val="20"/>
          <w:szCs w:val="20"/>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300" w:right="100" w:hanging="325"/>
        <w:spacing w:after="0" w:line="259"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80"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September 30, 2018 are classified below based on the fair value hierarchy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78,641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78,641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220" w:type="dxa"/>
            <w:vAlign w:val="bottom"/>
            <w:gridSpan w:val="2"/>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480,995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480,995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220" w:type="dxa"/>
            <w:vAlign w:val="bottom"/>
            <w:gridSpan w:val="2"/>
          </w:tcPr>
          <w:p>
            <w:pPr>
              <w:spacing w:after="0" w:line="170"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559,636</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559,636</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2017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400,304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400,304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273,052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273,052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673,356</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673,356</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At September 30, 2018 and December 31, 2017, $5.4 million and $4.8 million, respectively, of the Company’s cash is restricted by a bank related to security deposits for the lease agreements for the Company’s current and former corporate headquarters.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on these security deposits, see Note 11, </w:t>
      </w:r>
      <w:r>
        <w:rPr>
          <w:rFonts w:ascii="Arial" w:cs="Arial" w:eastAsia="Arial" w:hAnsi="Arial"/>
          <w:sz w:val="18"/>
          <w:szCs w:val="18"/>
          <w:i w:val="1"/>
          <w:iCs w:val="1"/>
          <w:color w:val="auto"/>
        </w:rPr>
        <w:t>Commitments.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68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169"/>
        </w:trPr>
        <w:tc>
          <w:tcPr>
            <w:tcW w:w="4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External research and development</w:t>
            </w: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31,239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17,493</w:t>
            </w:r>
          </w:p>
        </w:tc>
        <w:tc>
          <w:tcPr>
            <w:tcW w:w="80" w:type="dxa"/>
            <w:vAlign w:val="bottom"/>
            <w:shd w:val="clear" w:color="auto" w:fill="CCEEFF"/>
          </w:tcPr>
          <w:p>
            <w:pPr>
              <w:spacing w:after="0"/>
              <w:rPr>
                <w:sz w:val="14"/>
                <w:szCs w:val="14"/>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Employee compensation</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6,590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5,766</w:t>
            </w:r>
          </w:p>
        </w:tc>
        <w:tc>
          <w:tcPr>
            <w:tcW w:w="80" w:type="dxa"/>
            <w:vAlign w:val="bottom"/>
          </w:tcPr>
          <w:p>
            <w:pPr>
              <w:spacing w:after="0"/>
              <w:rPr>
                <w:sz w:val="16"/>
                <w:szCs w:val="16"/>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professional fees</w:t>
            </w:r>
          </w:p>
        </w:tc>
        <w:tc>
          <w:tcPr>
            <w:tcW w:w="2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w:t>
            </w:r>
          </w:p>
        </w:tc>
        <w:tc>
          <w:tcPr>
            <w:tcW w:w="80" w:type="dxa"/>
            <w:vAlign w:val="bottom"/>
            <w:shd w:val="clear" w:color="auto" w:fill="CCEEFF"/>
          </w:tcPr>
          <w:p>
            <w:pPr>
              <w:spacing w:after="0"/>
              <w:rPr>
                <w:sz w:val="15"/>
                <w:szCs w:val="15"/>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Property and equipment costs</w:t>
            </w: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1,192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4,176</w:t>
            </w:r>
          </w:p>
        </w:tc>
        <w:tc>
          <w:tcPr>
            <w:tcW w:w="80" w:type="dxa"/>
            <w:vAlign w:val="bottom"/>
          </w:tcPr>
          <w:p>
            <w:pPr>
              <w:spacing w:after="0"/>
              <w:rPr>
                <w:sz w:val="15"/>
                <w:szCs w:val="15"/>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Pre-commercial accrual</w:t>
            </w:r>
          </w:p>
        </w:tc>
        <w:tc>
          <w:tcPr>
            <w:tcW w:w="2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5"/>
                <w:szCs w:val="15"/>
                <w:color w:val="auto"/>
              </w:rPr>
            </w:pPr>
          </w:p>
        </w:tc>
      </w:tr>
      <w:tr>
        <w:trPr>
          <w:trHeight w:val="176"/>
        </w:trPr>
        <w:tc>
          <w:tcPr>
            <w:tcW w:w="46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1,508</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tcPr>
          <w:p>
            <w:pPr>
              <w:spacing w:after="0"/>
              <w:rPr>
                <w:sz w:val="15"/>
                <w:szCs w:val="15"/>
                <w:color w:val="auto"/>
              </w:rPr>
            </w:pPr>
          </w:p>
        </w:tc>
      </w:tr>
      <w:tr>
        <w:trPr>
          <w:trHeight w:val="176"/>
        </w:trPr>
        <w:tc>
          <w:tcPr>
            <w:tcW w:w="468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45,181</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30,541</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On June 1, 2018, the Company entered into a Collaboration and License Agreement (the CStone agreement) with CStone pursuant to which the Company granted CStone exclusive rights to develop and commercialize the Company’s drug candidates avapritinib, BLU-554 and BLU-667,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59"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Subject to the terms of the CStone agreement, the Company received an upfront cash payment of $40.0 million and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BLU-554 as a combination therapy in the CStone territory that will be shared by the Company and CStone.</w:t>
      </w:r>
    </w:p>
    <w:p>
      <w:pPr>
        <w:spacing w:after="0" w:line="168"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BLU-554 in combination with CS1001, a clinical stage anti-programmed death ligand-1 immunotherapy being developed by CStone, as a first-line therapy for the treatment of patients with hepatocellular carcinoma.</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such licensed product in the CStone territory, subject to a cap and other specified exceptions.</w:t>
      </w:r>
    </w:p>
    <w:p>
      <w:pPr>
        <w:spacing w:after="0" w:line="185"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 Accordingly, the Company recorded a reduction of expenses of $0.3 million for the three and nine months ended September 30, 2018.</w:t>
      </w:r>
    </w:p>
    <w:p>
      <w:pPr>
        <w:spacing w:after="0" w:line="16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6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62"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63"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Because the performance obligations have been satisfied, any addition to the transaction price would be immediately recognized as revenue.</w:t>
      </w:r>
    </w:p>
    <w:p>
      <w:pPr>
        <w:spacing w:after="0" w:line="167" w:lineRule="exact"/>
        <w:rPr>
          <w:sz w:val="20"/>
          <w:szCs w:val="20"/>
          <w:color w:val="auto"/>
        </w:rPr>
      </w:pPr>
    </w:p>
    <w:p>
      <w:pPr>
        <w:jc w:val="both"/>
        <w:ind w:right="260" w:firstLine="648"/>
        <w:spacing w:after="0" w:line="219" w:lineRule="auto"/>
        <w:rPr>
          <w:sz w:val="20"/>
          <w:szCs w:val="20"/>
          <w:color w:val="auto"/>
        </w:rPr>
      </w:pPr>
      <w:r>
        <w:rPr>
          <w:rFonts w:ascii="Arial" w:cs="Arial" w:eastAsia="Arial" w:hAnsi="Arial"/>
          <w:sz w:val="18"/>
          <w:szCs w:val="18"/>
          <w:color w:val="auto"/>
        </w:rPr>
        <w:t>The Company satisfied the performance obligations upon delivery of the licenses, initial know-how transfers and product trademark and recognized the upfront payment of $40.0 million as revenue during the second quarter of 2018. No revenue was recognized during the three months ended September 30, 2018 and there was no deferred revenue associated with the CStone agreement as of September 30, 2018.</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Hoffmann-La Roche Ltd and Hoffmann-La Roche Inc.</w:t>
      </w:r>
    </w:p>
    <w:p>
      <w:pPr>
        <w:spacing w:after="0" w:line="18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In March 2016, the Company and Roche entered into the Roche agreement, which provides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59"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Roche, is a customer prior to the exercise, if any, of an option by Roche. The Company identified the following material promises under the arrangement: (1) a non-transferable, sub-licensable and non-exclusive license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7"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63"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Revenue associated with the performance obligation is being recognized as revenue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research and development services related to this performance obligation are expected to be performed over a period of approximately eight years.</w:t>
      </w:r>
    </w:p>
    <w:p>
      <w:pPr>
        <w:spacing w:after="0" w:line="16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During the second quarter of 2018, the Company achieved and received a milestone payment of $10.0 million related to the Roche agreement, and it became probable that a significant reversal of cumulative revenue would not occur for the $10.0 million research milestone achieved. At such time, the associated consideration was added to the estimated transaction price and allocated to the existing performance obligation. The Company recognized a cumulative catch-up of $1.2 million to revenue for this developmental milestone during the second quarter of 2018, representing the amount that would have been recognized had the milestone payment been included in the transaction price from the outset of the arrangement. The remaining balance is being recognized in the same manner as the remaining, unrecognized transaction price over the remaining research and development period until the performance obligation is satisfied.</w:t>
      </w:r>
    </w:p>
    <w:p>
      <w:pPr>
        <w:spacing w:after="0" w:line="167"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The Company recognized revenue that was previously deferred of $1.1 million and $3.5 million during three and nine months ended September 30, 2018, respectively, related to both the upfront and milestone payments. The amounts received that have not yet been recognized as revenue are recorded in deferred revenue on the Company’s condensed consolidated balance sheet.</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Through September 30, 2018, the Company had recognized, in the aggregate, $7.8 million as collaboration revenue in the Company’s consolidated statements of operations and comprehensive loss under the Roche agreement. Deferred revenue related to the Roche agreement amounted to $42.1 million as of September 30, 2018, of which $5.1 million is included in current liabilities.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On July 26, 2017, the Company received written notice from Alexion of its election to terminate the Alexion agreement for convenience, and the termination became effective on October 24, 2017. Since the Alexion agreement terminated prior to January 1, 2018, the Company recognized revenue from the Alexion collaboration in accordance with ASC 605.</w:t>
      </w:r>
    </w:p>
    <w:p>
      <w:pPr>
        <w:spacing w:after="0" w:line="162" w:lineRule="exact"/>
        <w:rPr>
          <w:sz w:val="20"/>
          <w:szCs w:val="20"/>
          <w:color w:val="auto"/>
        </w:rPr>
      </w:pPr>
    </w:p>
    <w:p>
      <w:pPr>
        <w:ind w:right="180" w:firstLine="648"/>
        <w:spacing w:after="0" w:line="222" w:lineRule="auto"/>
        <w:rPr>
          <w:sz w:val="20"/>
          <w:szCs w:val="20"/>
          <w:color w:val="auto"/>
        </w:rPr>
      </w:pPr>
      <w:r>
        <w:rPr>
          <w:rFonts w:ascii="Arial" w:cs="Arial" w:eastAsia="Arial" w:hAnsi="Arial"/>
          <w:sz w:val="17"/>
          <w:szCs w:val="17"/>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 through costs and a negotiated yearly rate per full time equivalent for its employees’ time and their associated overhead expenses. Prior to the termination, the Company had received an aggregate amount of $18.8 million in upfront and milestone payments, which consistent of a $15.0 million non-refundable upfront payment in March 2015 upon execution of the Alexion agreement and an aggregate amount of $3.8 million in pre-clinical milestone payments. As a result of the termination of the Alexion agreement, the Company was not entitled to receive payment from Alexion for any research and development expenses incurred after the effective date of termination.</w:t>
      </w:r>
    </w:p>
    <w:p>
      <w:pPr>
        <w:spacing w:after="0" w:line="164"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former Alexion collaboration: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Company determined that the license did not have value to Alexion on a stand-alone basis due to the specialized nature of the research services to be provided by the Company that are not available in the marketplace. Therefore, the deliverables were not separable and, accordingly, the license, undelivered research and development activities and JSC and JPT participation were a single unit of accounting. The Company recognized revenue for the $15.0 million upfront payment and a $1.8 million non-substantive milestone payment utilizing the proportional performance model over the period of performance, which ended October 24, 2017.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the remaining $2.0 million substantive milestone payments upon achievement.</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As a result of the termination, the Company did not recognize revenue under the Alexion agreement during the three and nine months ended September 30, 2018. During the three and nine months ended September 30, 2017 the Company recognized revenue under the Alexion agreement of $6.7 million and $15.6 million, respectively, which represents $3.4 million and $9.3 million, respectively, of reimbursable research and development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189"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May 2013, the Company entered into a loan and security agreement with Silicon Valley Bank, which provided for up to $5.0 million in funding, to be made available in three tranches. Loan advances accrue interest at a fixed rate of 2% above the prime rate. In November 2014, the Company amended the loan to allow the Company to borrow an additional $5.0 million. The Company accounted for the amendment as a modification to the existing 2013 loan. The Company immediately drew the additional $5.0 million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1, 2018. The Company is required to pay a fee of 4%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12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60"/>
        <w:spacing w:after="0" w:line="203" w:lineRule="exact"/>
        <w:rPr>
          <w:sz w:val="20"/>
          <w:szCs w:val="20"/>
          <w:color w:val="auto"/>
        </w:rPr>
      </w:pPr>
      <w:r>
        <w:rPr>
          <w:rFonts w:ascii="Arial" w:cs="Arial" w:eastAsia="Arial" w:hAnsi="Arial"/>
          <w:sz w:val="18"/>
          <w:szCs w:val="18"/>
          <w:color w:val="auto"/>
        </w:rPr>
        <w:t>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based on scheduled principal payments.</w:t>
      </w:r>
    </w:p>
    <w:p>
      <w:pPr>
        <w:spacing w:after="0" w:line="121"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term loan are clearly and closely associated with a debt host and do not require bifurcation as a derivative liability, or the fair value of the feature is immaterial to the Company’s financial statements.</w:t>
      </w:r>
    </w:p>
    <w:p>
      <w:pPr>
        <w:spacing w:after="0" w:line="161"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the term loan, are $0.3 million, in the aggregate, for the remainder of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Plan was increased by 1,743,101 shares. In addition, the total number of shares reserved for issuance is subject to adjustment in the event of a stock split, stock dividend or other change in our capitalization. At September 30, 2018, there were 1,983,374 shares available for future grant under the 2015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69"/>
        </w:trPr>
        <w:tc>
          <w:tcPr>
            <w:tcW w:w="6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3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22.45</w:t>
            </w:r>
          </w:p>
        </w:tc>
        <w:tc>
          <w:tcPr>
            <w:tcW w:w="3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line="189"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1,610,370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78.91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(362,218)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13.65</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tcPr>
          <w:p>
            <w:pPr>
              <w:ind w:left="220"/>
              <w:spacing w:after="0" w:line="176" w:lineRule="exact"/>
              <w:rPr>
                <w:sz w:val="20"/>
                <w:szCs w:val="20"/>
                <w:color w:val="auto"/>
              </w:rPr>
            </w:pPr>
            <w:r>
              <w:rPr>
                <w:rFonts w:ascii="Arial" w:cs="Arial" w:eastAsia="Arial" w:hAnsi="Arial"/>
                <w:sz w:val="18"/>
                <w:szCs w:val="18"/>
                <w:color w:val="auto"/>
              </w:rPr>
              <w:t>Canceled</w:t>
            </w:r>
          </w:p>
        </w:tc>
        <w:tc>
          <w:tcPr>
            <w:tcW w:w="128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(93,810)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52.55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September 30, 2018</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4,458,508</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42.93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40" w:type="dxa"/>
            <w:vAlign w:val="bottom"/>
          </w:tcPr>
          <w:p>
            <w:pPr>
              <w:spacing w:after="0" w:line="163" w:lineRule="exact"/>
              <w:rPr>
                <w:sz w:val="20"/>
                <w:szCs w:val="20"/>
                <w:color w:val="auto"/>
              </w:rPr>
            </w:pPr>
            <w:r>
              <w:rPr>
                <w:rFonts w:ascii="Arial" w:cs="Arial" w:eastAsia="Arial" w:hAnsi="Arial"/>
                <w:sz w:val="18"/>
                <w:szCs w:val="18"/>
                <w:color w:val="auto"/>
              </w:rPr>
              <w:t>Exercisable at September 30,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1,942,891</w:t>
            </w:r>
          </w:p>
        </w:tc>
        <w:tc>
          <w:tcPr>
            <w:tcW w:w="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20.93</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At September 30, 2018, the total unrecognized compensation expense related to unvested stock option awards was $91.6 million, which is expected to be recognized over a weighted-average period of approximately 2.8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restricted stock units activity for the nine months ended September 30,2018: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11"/>
                <w:szCs w:val="11"/>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9"/>
        </w:trPr>
        <w:tc>
          <w:tcPr>
            <w:tcW w:w="68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shares at December 31, 2017</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12,195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66.09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8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shares at September 30, 2018</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12,195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160" w:firstLine="648"/>
        <w:spacing w:after="0" w:line="258" w:lineRule="auto"/>
        <w:rPr>
          <w:sz w:val="20"/>
          <w:szCs w:val="20"/>
          <w:color w:val="auto"/>
        </w:rPr>
      </w:pPr>
      <w:r>
        <w:rPr>
          <w:rFonts w:ascii="Arial" w:cs="Arial" w:eastAsia="Arial" w:hAnsi="Arial"/>
          <w:sz w:val="17"/>
          <w:szCs w:val="17"/>
          <w:color w:val="auto"/>
        </w:rPr>
        <w:t>At September 30, 2018, the total unrecognized compensation expense related to unvested restricted stock units was $0.8 million, which we expect to recognize over a weighted-average period of approximately 3.8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ESPP was increased by 435,775 shares. The Company issued 5,572 shares and 7,703 shares under the ESPP during the nine months ended September 30,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260" w:firstLine="648"/>
        <w:spacing w:after="0" w:line="216" w:lineRule="auto"/>
        <w:rPr>
          <w:sz w:val="20"/>
          <w:szCs w:val="20"/>
          <w:color w:val="auto"/>
        </w:rPr>
      </w:pPr>
      <w:r>
        <w:rPr>
          <w:rFonts w:ascii="Arial" w:cs="Arial" w:eastAsia="Arial" w:hAnsi="Arial"/>
          <w:sz w:val="18"/>
          <w:szCs w:val="18"/>
          <w:color w:val="auto"/>
        </w:rPr>
        <w:t>The Company recognized stock-based compensation expense totaling $8.4 million and $21.7 million for the three and nine months ended September 30, 2018, respectively. The Company recognized stock-based compensation expense totaling $3.6 million and $8.8 million for the three and nine months ended September 30, 2017, respectively. Stock-based compensation expense by award type included within the condensed consolidated statements of operations and comprehensive loss was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r>
      <w:tr>
        <w:trPr>
          <w:trHeight w:val="174"/>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57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69"/>
        </w:trPr>
        <w:tc>
          <w:tcPr>
            <w:tcW w:w="5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8,278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3,538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21,468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8,667</w:t>
            </w:r>
          </w:p>
        </w:tc>
        <w:tc>
          <w:tcPr>
            <w:tcW w:w="60" w:type="dxa"/>
            <w:vAlign w:val="bottom"/>
            <w:shd w:val="clear" w:color="auto" w:fill="CCEEFF"/>
          </w:tcPr>
          <w:p>
            <w:pPr>
              <w:spacing w:after="0"/>
              <w:rPr>
                <w:sz w:val="14"/>
                <w:szCs w:val="14"/>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r>
      <w:tr>
        <w:trPr>
          <w:trHeight w:val="189"/>
        </w:trPr>
        <w:tc>
          <w:tcPr>
            <w:tcW w:w="5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Employee stock purchase plan</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6"/>
                <w:szCs w:val="16"/>
                <w:color w:val="auto"/>
              </w:rPr>
            </w:pPr>
          </w:p>
        </w:tc>
      </w:tr>
      <w:tr>
        <w:trPr>
          <w:trHeight w:val="176"/>
        </w:trPr>
        <w:tc>
          <w:tcPr>
            <w:tcW w:w="5760" w:type="dxa"/>
            <w:vAlign w:val="bottom"/>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8,391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3,599</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21,702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8,818</w:t>
            </w:r>
          </w:p>
        </w:tc>
        <w:tc>
          <w:tcPr>
            <w:tcW w:w="60" w:type="dxa"/>
            <w:vAlign w:val="bottom"/>
          </w:tcPr>
          <w:p>
            <w:pPr>
              <w:spacing w:after="0"/>
              <w:rPr>
                <w:sz w:val="15"/>
                <w:szCs w:val="15"/>
                <w:color w:val="auto"/>
              </w:rPr>
            </w:pPr>
          </w:p>
        </w:tc>
      </w:tr>
    </w:tbl>
    <w:p>
      <w:pPr>
        <w:spacing w:after="0" w:line="188" w:lineRule="exact"/>
        <w:rPr>
          <w:sz w:val="20"/>
          <w:szCs w:val="20"/>
          <w:color w:val="auto"/>
        </w:rPr>
      </w:pPr>
    </w:p>
    <w:p>
      <w:pPr>
        <w:jc w:val="both"/>
        <w:ind w:right="6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classification within the condensed consolidated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368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69"/>
        </w:trPr>
        <w:tc>
          <w:tcPr>
            <w:tcW w:w="3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4,770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1,811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12,054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w w:val="97"/>
              </w:rPr>
              <w:t>4,433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36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2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1,788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9,648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8"/>
                <w:szCs w:val="18"/>
                <w:color w:val="auto"/>
                <w:w w:val="97"/>
              </w:rPr>
              <w:t>4,385</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89"/>
        </w:trPr>
        <w:tc>
          <w:tcPr>
            <w:tcW w:w="36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8,391</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3,599</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21,702</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w w:val="97"/>
              </w:rPr>
              <w:t>8,818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r>
      <w:tr>
        <w:trPr>
          <w:trHeight w:val="635"/>
        </w:trPr>
        <w:tc>
          <w:tcPr>
            <w:tcW w:w="3680" w:type="dxa"/>
            <w:vAlign w:val="bottom"/>
          </w:tcPr>
          <w:p>
            <w:pPr>
              <w:spacing w:after="0"/>
              <w:rPr>
                <w:sz w:val="24"/>
                <w:szCs w:val="24"/>
                <w:color w:val="auto"/>
              </w:rPr>
            </w:pPr>
          </w:p>
        </w:tc>
        <w:tc>
          <w:tcPr>
            <w:tcW w:w="2040" w:type="dxa"/>
            <w:vAlign w:val="bottom"/>
          </w:tcPr>
          <w:p>
            <w:pPr>
              <w:jc w:val="right"/>
              <w:ind w:right="10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36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bl>
    <w:p>
      <w:pPr>
        <w:sectPr>
          <w:pgSz w:w="11900" w:h="16838" w:orient="portrait"/>
          <w:cols w:equalWidth="0" w:num="1">
            <w:col w:w="9100"/>
          </w:cols>
          <w:pgMar w:left="1420" w:top="111"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therefore, basic and diluted net loss per share were the same for all periods presented as a result of the Company’s net loss.</w:t>
      </w:r>
    </w:p>
    <w:p>
      <w:pPr>
        <w:spacing w:after="0" w:line="165" w:lineRule="exact"/>
        <w:rPr>
          <w:sz w:val="20"/>
          <w:szCs w:val="20"/>
          <w:color w:val="auto"/>
        </w:rPr>
      </w:pPr>
    </w:p>
    <w:p>
      <w:pPr>
        <w:ind w:right="280" w:firstLine="648"/>
        <w:spacing w:after="0" w:line="203" w:lineRule="exact"/>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194"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-3175</wp:posOffset>
            </wp:positionV>
            <wp:extent cx="1252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169"/>
        </w:trPr>
        <w:tc>
          <w:tcPr>
            <w:tcW w:w="7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4,458,508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3,350,223</w:t>
            </w:r>
          </w:p>
        </w:tc>
        <w:tc>
          <w:tcPr>
            <w:tcW w:w="80" w:type="dxa"/>
            <w:vAlign w:val="bottom"/>
            <w:shd w:val="clear" w:color="auto" w:fill="CCEEFF"/>
          </w:tcPr>
          <w:p>
            <w:pPr>
              <w:spacing w:after="0"/>
              <w:rPr>
                <w:sz w:val="14"/>
                <w:szCs w:val="14"/>
                <w:color w:val="auto"/>
              </w:rPr>
            </w:pPr>
          </w:p>
        </w:tc>
      </w:tr>
      <w:tr>
        <w:trPr>
          <w:trHeight w:val="176"/>
        </w:trPr>
        <w:tc>
          <w:tcPr>
            <w:tcW w:w="700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12,195</w:t>
            </w:r>
          </w:p>
        </w:tc>
        <w:tc>
          <w:tcPr>
            <w:tcW w:w="180" w:type="dxa"/>
            <w:vAlign w:val="bottom"/>
          </w:tcPr>
          <w:p>
            <w:pPr>
              <w:spacing w:after="0"/>
              <w:rPr>
                <w:sz w:val="15"/>
                <w:szCs w:val="15"/>
                <w:color w:val="auto"/>
              </w:rPr>
            </w:pPr>
          </w:p>
        </w:tc>
        <w:tc>
          <w:tcPr>
            <w:tcW w:w="9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r>
      <w:tr>
        <w:trPr>
          <w:trHeight w:val="176"/>
        </w:trPr>
        <w:tc>
          <w:tcPr>
            <w:tcW w:w="7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ESPP shares</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5,860</w:t>
            </w:r>
          </w:p>
        </w:tc>
        <w:tc>
          <w:tcPr>
            <w:tcW w:w="1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9,417</w:t>
            </w:r>
          </w:p>
        </w:tc>
        <w:tc>
          <w:tcPr>
            <w:tcW w:w="80" w:type="dxa"/>
            <w:vAlign w:val="bottom"/>
            <w:shd w:val="clear" w:color="auto" w:fill="CCEEFF"/>
          </w:tcPr>
          <w:p>
            <w:pPr>
              <w:spacing w:after="0"/>
              <w:rPr>
                <w:sz w:val="15"/>
                <w:szCs w:val="15"/>
                <w:color w:val="auto"/>
              </w:rPr>
            </w:pPr>
          </w:p>
        </w:tc>
      </w:tr>
      <w:tr>
        <w:trPr>
          <w:trHeight w:val="176"/>
        </w:trPr>
        <w:tc>
          <w:tcPr>
            <w:tcW w:w="7000" w:type="dxa"/>
            <w:vAlign w:val="bottom"/>
          </w:tcPr>
          <w:p>
            <w:pPr>
              <w:spacing w:after="0" w:line="170" w:lineRule="exact"/>
              <w:rPr>
                <w:sz w:val="20"/>
                <w:szCs w:val="20"/>
                <w:color w:val="auto"/>
              </w:rPr>
            </w:pPr>
            <w:r>
              <w:rPr>
                <w:rFonts w:ascii="Arial" w:cs="Arial" w:eastAsia="Arial" w:hAnsi="Arial"/>
                <w:sz w:val="18"/>
                <w:szCs w:val="18"/>
                <w:color w:val="auto"/>
              </w:rPr>
              <w:t>Total common stock equivalents</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4,476,563</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3,359,640</w:t>
            </w:r>
          </w:p>
        </w:tc>
        <w:tc>
          <w:tcPr>
            <w:tcW w:w="80" w:type="dxa"/>
            <w:vAlign w:val="bottom"/>
          </w:tcPr>
          <w:p>
            <w:pPr>
              <w:spacing w:after="0"/>
              <w:rPr>
                <w:sz w:val="15"/>
                <w:szCs w:val="15"/>
                <w:color w:val="auto"/>
              </w:rPr>
            </w:pPr>
          </w:p>
        </w:tc>
      </w:tr>
    </w:tbl>
    <w:p>
      <w:pPr>
        <w:spacing w:after="0" w:line="377" w:lineRule="exact"/>
        <w:rPr>
          <w:sz w:val="20"/>
          <w:szCs w:val="20"/>
          <w:color w:val="auto"/>
        </w:rPr>
      </w:pPr>
    </w:p>
    <w:p>
      <w:pPr>
        <w:ind w:right="280" w:firstLine="648"/>
        <w:spacing w:after="0" w:line="232" w:lineRule="auto"/>
        <w:rPr>
          <w:sz w:val="20"/>
          <w:szCs w:val="20"/>
          <w:color w:val="auto"/>
        </w:rPr>
      </w:pPr>
      <w:r>
        <w:rPr>
          <w:rFonts w:ascii="Arial" w:cs="Arial" w:eastAsia="Arial" w:hAnsi="Arial"/>
          <w:sz w:val="17"/>
          <w:szCs w:val="17"/>
          <w:color w:val="auto"/>
        </w:rPr>
        <w:t>The weighted average number of common shares used in net loss per share on a basic and diluted basis were 43,915,376 and 39,130,101 for the three months ended September 30, 2018 and 2017, respectively. The weighted average number of common shares used in net loss per share on a basic and diluted basis were 43,824,773 and 37,053,202 for the nine months ended September 30, 2018 and 2017,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Sidney Street</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consolidated balance sheet at September 30, 2018, accordingly. The lease provided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 The lease agreement required the Company to pay a security deposit of $1.3 million, of which $0.2 million was released in February 2018. The remaining $1.1 million is recorded in restricted cash on the Company’s balance sheet as of September 30, 2018, and an additional $0.2 million is due to be released in October 2018 in accordance with the terms of the lease agreement.</w:t>
      </w:r>
    </w:p>
    <w:p>
      <w:pPr>
        <w:spacing w:after="0" w:line="165"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 Sidney Street</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 as well as a right of first offer with respect to leasing additional space adjacent to the existing leased premises. During the initial term of the lease agreement, the Company has agreed to pay an initial annual base rent of approximately $7.7 million, which increases annually until it reaches approximately $10.6 million in the last year of the initial term. The Company is recording rent expense on a straight-line basis through the end of the lease term. The Company has recorded deferred rent on the consolidated balance sheet at September 30, 2018 accordingly. The landlord has also agreed to provide the Company with a tenant improvement allowance of approximately $14.2 million for improvements to be made to the premises. The Company accounts for leasehold improvement incentives as a reduction to rent expense ratably over the lease term. The lease agreement required the Company to pay a security deposit of $3.5 million, which is recorded in restricted cash on the Company’s balance sheet.</w:t>
      </w:r>
    </w:p>
    <w:p>
      <w:pPr>
        <w:spacing w:after="0" w:line="166"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will commence on March 1, 2019 and will expire on November 30, 2029, unless terminated sooner. Pursuant to the lease amendment, the date on which the Company will become responsible for paying rent with respect to the expansion space will be the earlier of (i) the date upon which the Company first occupies the expansion premises for business purposes or (ii) July 1, 2019. The Company currently anticipates the rent commencement date for the expansion premises will be approximately July 1, 2019. 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balance sheet.</w:t>
      </w:r>
    </w:p>
    <w:p>
      <w:pPr>
        <w:spacing w:after="0" w:line="166" w:lineRule="exact"/>
        <w:rPr>
          <w:sz w:val="20"/>
          <w:szCs w:val="20"/>
          <w:color w:val="auto"/>
        </w:rPr>
      </w:pPr>
    </w:p>
    <w:p>
      <w:pPr>
        <w:ind w:right="480" w:firstLine="648"/>
        <w:spacing w:after="0" w:line="224" w:lineRule="auto"/>
        <w:rPr>
          <w:sz w:val="20"/>
          <w:szCs w:val="20"/>
          <w:color w:val="auto"/>
        </w:rPr>
      </w:pPr>
      <w:r>
        <w:rPr>
          <w:rFonts w:ascii="Arial" w:cs="Arial" w:eastAsia="Arial" w:hAnsi="Arial"/>
          <w:sz w:val="18"/>
          <w:szCs w:val="18"/>
          <w:color w:val="auto"/>
        </w:rPr>
        <w:t>For the three months ended September 30, 2018 and 2017, rent expense was $1.7 million and $2.4 million, respectively. For the nine months ended September 30, 2018 and 2017, rent expense was $5.6 million and $3.9 million,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2017, filed with the Securities and Exchange Commission, or the SEC, on February 21, 2018.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w:t>
      </w:r>
    </w:p>
    <w:p>
      <w:pPr>
        <w:spacing w:after="0" w:line="168"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Our most advanced drug candidates are avapritinib, BLU-554 and BLU-667. Our lead drug candidate, avapritinib, is an orally available, potent and highly selective inhibitor that targets KIT and PDGFRα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are currently evaluating avapritinib for the treatment of GIST in an ongoing Phase 1 clinical trial in advanced GIST, which we refer to as our NAVIGATOR trial, and an ongoing global, randomized Phase 3 clinical trial for avapritinib compared to regorafenib in third-line GIST, which we refer to as our VOYAGER trial. We plan to present updated data from our ongoing NAVIGATOR trial at the Connective Tissue Oncology Society Annual Meeting on November 15, 2018. We plan to submit a new drug application for avapritinib for the treatment of PDGFRα Exon 18 mutant GIST and fourth-line GIST in the first half of 2019. In addition, we are currently evaluating avapritinib for the treatment of SM in an ongoing Phase 1 clinical trial in advanced SM, which we refer to as our EXPLORER trial, and we have initiated screening for our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advanced SM, which we refer to as our PATHFINDER trial. We anticipate initiating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indolent SM and smoldering SM by the end of 2018, which we refer to as our PIONEER trial.</w:t>
      </w:r>
    </w:p>
    <w:p>
      <w:pPr>
        <w:spacing w:after="0" w:line="167"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 -554 in an ongoing Phase 1 clinical trial in patients with advanced HCC. In September 2018, we and CStone Pharmaceuticals, or CStone, submitted an investigational new drug, or IND, application for BLU-554 to Chinese health authorities, and subject to approval of the IND application, we and CStone plan to expand our ongoing Phase 1 clinical trial of BLU-554 to include clinical sites in Mainland China in the first half of 2019. In addition, we and CStone plan to initiate a proof-of-concept clinical trial in the CStone territory evaluating BLU -554 in combination with CS1001, a clinical stage anti-programmed death ligand-1 immunotherapy being developed by CStone, as a first-line therapy for the treatment of patients with HCC.</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BLU-667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and our research suggests that RET may drive disease in subsets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patients with colon cancer, breast cancer and other cancers. We are currently evaluating BLU-667 in an ongoing Phase 1 clinical trial in patients with RET-altered NSCLC, MTC and other advanced solid tumors, which we refer to as our ARROW trial. We plan to present updated data from the ongoing ARROW trial in the first half of 2019. Based on written feedback from the FDA, we plan to submit an NDA for BLU-667 in the first half of 2020 based on additional data from the ongoing ARROW trial and currently expect the NDA submission will be for separate potential indications: (1) patients with RET-fusion positive NSCLC and papillary thyroid cancer who have progressed following prior systemic therapy and (2) patients with RET-mutant MTC who have progressed following treatment with a tyrosine kinase inhibitor, or TKI.</w:t>
      </w:r>
    </w:p>
    <w:p>
      <w:pPr>
        <w:spacing w:after="0" w:line="163"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In addition, in the fourth quarter of 2017, we nominated a development candidate, BLU-782, for our discovery program targeting the kinase ALK2 for the treatment of fibrodysplasia ossificans progressiva, or FOP, a rare genetic disease caused by mutations in the ALK2 gene, ACVR1. We plan to file an IND application for BLU-782 by the end of 2018, and subject to approval of the IND application, we plan to initiate a Phase 1 clinical trial in healthy volunteers in the first quarter of 2019. Upon completion of the Phase 1 clinical trial, we plan to advance BLU-782 into a registration-enabling Phase 2 clinical trial in patients with FOP.</w:t>
      </w:r>
    </w:p>
    <w:p>
      <w:pPr>
        <w:spacing w:after="0" w:line="16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three wholly-owned discovery programs for undisclosed kinase targets, and we anticipate nominating at least one additional discovery program in 2018.</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In addition, 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avapritinib, BLU-554 and BLU-667,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4"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We currently have worldwide development and commercialization rights to avapritinib, BLU-554 and BLU-667 other than the rights licensed to CStone in the CStone territory. We currently have worldwide development and commercialization rights to BLU-782 and all of our discovery programs other than the pre-clinical programs under the Roche collaboration.</w:t>
      </w:r>
    </w:p>
    <w:p>
      <w:pPr>
        <w:spacing w:after="0" w:line="1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In January 2016, the U.S. Food and Drug Administration, or FDA, granted orphan drug designation to avapritinib for the treatment of GIST and mastocytosis, in July 2017, the European Medicines Agency, or EMA, granted orphan drug designation to avapritinib for the treatment of GIST, and in October 2018, the EMA granted orphan drug designation to avapritinib for the treatment of mastocytosis. In October 2016, the FDA granted fast track designation to avapritinib for (i) the treatment of patients with unresectable or metastatic GIST that progressed following treatment with imatinib and a second TKI and (ii)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October 2018, the FDA granted breakthrough therapy designation to avapritinib for the treatment of advanced SM, including the subtypes of aggressive SM, SM with an associated hematologic neoplasm and mast cell leukemia. In September 2015, the FDA granted orphan drug designation to BLU-554 for the treatment of HCC, and in April 2018, the FDA granted orphan drug designation to BLU-667 for the treatment of RET-rearranged NSCLC, JAK1/2-positive NSCLC or TRKC-positive NSCLC.</w:t>
      </w:r>
    </w:p>
    <w:p>
      <w:pPr>
        <w:spacing w:after="0" w:line="170"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color w:val="auto"/>
        </w:rPr>
        <w:t>clinical studies and commencing clinical development and pre-commercial activities. We do not have any drugs approved for sale and have not generated any revenue from drug sales.</w:t>
      </w:r>
    </w:p>
    <w:p>
      <w:pPr>
        <w:spacing w:after="0" w:line="162" w:lineRule="exact"/>
        <w:rPr>
          <w:sz w:val="20"/>
          <w:szCs w:val="20"/>
          <w:color w:val="auto"/>
        </w:rPr>
      </w:pPr>
    </w:p>
    <w:p>
      <w:pPr>
        <w:ind w:right="119" w:firstLine="648"/>
        <w:spacing w:after="0" w:line="237"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and a debt financing. Through September 30, 2018, we have received an aggregate of $1.1 billion from such transactions, including $887.4 million in aggregate gross proceeds from the sale of common stock in our May 2015 initial public offering, or IPO, and December 2016, April 2017 and December 2017 follow-on public offerings, $115.1 million in gross proceeds from the issuance of convertible preferred stock, $18.8 million in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67" w:lineRule="exact"/>
        <w:rPr>
          <w:sz w:val="20"/>
          <w:szCs w:val="20"/>
          <w:color w:val="auto"/>
        </w:rPr>
      </w:pPr>
    </w:p>
    <w:p>
      <w:pPr>
        <w:ind w:right="79" w:firstLine="648"/>
        <w:spacing w:after="0" w:line="229" w:lineRule="auto"/>
        <w:rPr>
          <w:sz w:val="20"/>
          <w:szCs w:val="20"/>
          <w:color w:val="auto"/>
        </w:rPr>
      </w:pPr>
      <w:r>
        <w:rPr>
          <w:rFonts w:ascii="Arial" w:cs="Arial" w:eastAsia="Arial" w:hAnsi="Arial"/>
          <w:sz w:val="17"/>
          <w:szCs w:val="17"/>
          <w:color w:val="auto"/>
        </w:rPr>
        <w:t>Since inception, we have incurred significant operating losses. Our net losses were $156.3 million for the nine months ended September 30, 2018 and $148.1 million, $72.5 million and $52.8 million for the years ended December 31, 2017, 2016 and 2015. As of September 30, 2018, we had an accumulated deficit of $517.2 million. We expect to continue to incur significant expenses and operating losses over the next several years. We anticipate that our expenses will increase significantly in connection with our ongoing activities, particularly as we:</w:t>
      </w:r>
    </w:p>
    <w:p>
      <w:pPr>
        <w:spacing w:after="0" w:line="161" w:lineRule="exact"/>
        <w:rPr>
          <w:sz w:val="20"/>
          <w:szCs w:val="20"/>
          <w:color w:val="auto"/>
        </w:rPr>
      </w:pPr>
    </w:p>
    <w:p>
      <w:pPr>
        <w:ind w:left="1300" w:right="99" w:hanging="325"/>
        <w:spacing w:after="0" w:line="25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BLU-554, BLU-667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18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179"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184" w:lineRule="exact"/>
        <w:rPr>
          <w:rFonts w:ascii="Arial" w:cs="Arial" w:eastAsia="Arial" w:hAnsi="Arial"/>
          <w:sz w:val="18"/>
          <w:szCs w:val="18"/>
          <w:color w:val="auto"/>
        </w:rPr>
      </w:pPr>
    </w:p>
    <w:p>
      <w:pPr>
        <w:ind w:left="1300" w:right="319" w:hanging="325"/>
        <w:spacing w:after="0" w:line="189"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right="519"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commercial and general and administrative personnel;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ind w:right="199" w:firstLine="648"/>
        <w:spacing w:after="0" w:line="238" w:lineRule="auto"/>
        <w:rPr>
          <w:sz w:val="20"/>
          <w:szCs w:val="20"/>
          <w:color w:val="auto"/>
        </w:rPr>
      </w:pPr>
      <w:r>
        <w:rPr>
          <w:rFonts w:ascii="Arial" w:cs="Arial" w:eastAsia="Arial" w:hAnsi="Arial"/>
          <w:sz w:val="17"/>
          <w:szCs w:val="17"/>
          <w:color w:val="auto"/>
        </w:rPr>
        <w:t>To date, we have not generated any revenue from drug sales. Our revenue consists of collaboration revenue under our former collaboration with Alexion, which was terminated in October 2017, and our existing collaborations with Roche and CStone, including amounts that are recognized related to upfront payments, milestone payments and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amounts due to us for research and development services. In the future, revenue may include additional milestone payments and royalties on any net product sales under our collaborations with Roche and CStone. As a result of the termination of our Alexion collaboration, we will not be entitled to receive any future payments from Alexion for any research and development expenses or milestones. We expect that any revenue we generate will fluctuate from quarter to quarter as a result of the timing and amount of license fees, research and development services and related reimbursements, payments for manufacturing services, and milestone and other payments.</w:t>
      </w:r>
    </w:p>
    <w:p>
      <w:pPr>
        <w:spacing w:after="0" w:line="162"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In the future, subject to obtaining marketing approval for one or more of our drug candidates, we expect to generate revenue from a combination of product sales, royalties on product sales and cost reimbursements, as well as upfront, milestone and royalty payments, if any, under any current or future collaborations.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line="207" w:lineRule="exact"/>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right="48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reimbursable costs to our partners for collaborative activities;</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Arial" w:cs="Arial" w:eastAsia="Arial" w:hAnsi="Arial"/>
          <w:sz w:val="18"/>
          <w:szCs w:val="18"/>
          <w:color w:val="auto"/>
        </w:rPr>
      </w:pPr>
    </w:p>
    <w:p>
      <w:pPr>
        <w:ind w:left="1300" w:right="440" w:hanging="325"/>
        <w:spacing w:after="0" w:line="289"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and other operating costs in support of research and development activities.</w:t>
      </w:r>
    </w:p>
    <w:p>
      <w:pPr>
        <w:spacing w:after="0" w:line="12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line="207" w:lineRule="exact"/>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060" w:hanging="325"/>
        <w:spacing w:after="0" w:line="203" w:lineRule="exact"/>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expenses are 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stock-based compensation expense. Except for internal research and development expenses related to a collaboration agreement, we do not track our internal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w:t>
      </w:r>
    </w:p>
    <w:p>
      <w:pPr>
        <w:spacing w:after="0" w:line="162" w:lineRule="exact"/>
        <w:rPr>
          <w:sz w:val="20"/>
          <w:szCs w:val="20"/>
          <w:color w:val="auto"/>
        </w:rPr>
      </w:pPr>
    </w:p>
    <w:p>
      <w:pPr>
        <w:ind w:right="80" w:firstLine="648"/>
        <w:spacing w:after="0" w:line="194" w:lineRule="exact"/>
        <w:rPr>
          <w:sz w:val="20"/>
          <w:szCs w:val="20"/>
          <w:color w:val="auto"/>
        </w:rPr>
      </w:pPr>
      <w:r>
        <w:rPr>
          <w:rFonts w:ascii="Arial" w:cs="Arial" w:eastAsia="Arial" w:hAnsi="Arial"/>
          <w:sz w:val="17"/>
          <w:szCs w:val="17"/>
          <w:color w:val="auto"/>
        </w:rPr>
        <w:t>The following table summarizes our external research and development expenses by program for the three and nine months ended September 30, 2018 and 2017. Other development and pre</w:t>
      </w:r>
      <w:r>
        <w:rPr>
          <w:rFonts w:ascii="MS PGothic" w:cs="MS PGothic" w:eastAsia="MS PGothic" w:hAnsi="MS PGothic"/>
          <w:sz w:val="17"/>
          <w:szCs w:val="17"/>
          <w:color w:val="auto"/>
        </w:rPr>
        <w:t>‑</w:t>
      </w:r>
      <w:r>
        <w:rPr>
          <w:rFonts w:ascii="Arial" w:cs="Arial" w:eastAsia="Arial" w:hAnsi="Arial"/>
          <w:sz w:val="17"/>
          <w:szCs w:val="17"/>
          <w:color w:val="auto"/>
        </w:rPr>
        <w:t>development candidate expenses, unallocated expenses and internal research and development expenses have been classified separately.</w:t>
      </w:r>
    </w:p>
    <w:p>
      <w:pPr>
        <w:spacing w:after="0" w:line="15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3"/>
          </w:tcPr>
          <w:p>
            <w:pPr>
              <w:jc w:val="center"/>
              <w:ind w:left="337"/>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3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21,409</w:t>
            </w:r>
          </w:p>
        </w:tc>
        <w:tc>
          <w:tcPr>
            <w:tcW w:w="640" w:type="dxa"/>
            <w:vAlign w:val="bottom"/>
            <w:gridSpan w:val="2"/>
            <w:shd w:val="clear" w:color="auto" w:fill="CCEEFF"/>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13,659</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60,623</w:t>
            </w:r>
          </w:p>
        </w:tc>
        <w:tc>
          <w:tcPr>
            <w:tcW w:w="500" w:type="dxa"/>
            <w:vAlign w:val="bottom"/>
            <w:gridSpan w:val="2"/>
            <w:shd w:val="clear" w:color="auto" w:fill="CCEEFF"/>
          </w:tcPr>
          <w:p>
            <w:pPr>
              <w:jc w:val="right"/>
              <w:ind w:right="12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30,543</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2,219</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3,882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9,226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11,644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11,968</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26,424</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8,193</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2,891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7,772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Other development and pre-development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10,813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33,924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candidate expenses and unallocated expenses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3"/>
              </w:rPr>
              <w:t>Internal research and development expenses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13,219</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7,312</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35,120</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20,082</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Total research and development expenses</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64,562</w:t>
            </w:r>
          </w:p>
        </w:tc>
        <w:tc>
          <w:tcPr>
            <w:tcW w:w="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39,300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173,089</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101,058</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drug product and drug substance manufacturing expenses for current and future clinical trials. In addition, we expect that our research and development expenses will increase in future periods as we incur additional costs in connection with research and development activities under our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collaboration with Roche, development activities under our collaboration with CStone and development activities for companion diagnostic tests.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6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and establishing a sales, marketing and distribution infrastructure to commercialize any medicines for which we may obtain marketing approval.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2017. Other than as described below, there have been no significant changes to our critical accounting policies since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20" w:firstLine="693"/>
        <w:spacing w:after="0" w:line="234" w:lineRule="auto"/>
        <w:rPr>
          <w:sz w:val="20"/>
          <w:szCs w:val="20"/>
          <w:color w:val="auto"/>
        </w:rPr>
      </w:pPr>
      <w:r>
        <w:rPr>
          <w:rFonts w:ascii="Arial" w:cs="Arial" w:eastAsia="Arial" w:hAnsi="Arial"/>
          <w:sz w:val="16"/>
          <w:szCs w:val="16"/>
          <w:color w:val="auto"/>
        </w:rPr>
        <w:t xml:space="preserve">Effective January 1, 2018, we adopted Accounting Standards Codification, or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we refer to as ASC 606, using the modified retrospective transition method.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only applied the modified retrospective transition method to contracts that were not completed as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the entity will collect the consideration it is entitled to in exchange for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62"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We enter into licensing agreements that are within the scope of ASC 606, under which we may exclusively license rights to research, develop, manufacture and commercialize our product candidates to third parties. The terms of these arrangements typically include payment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our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w:t>
      </w:r>
    </w:p>
    <w:p>
      <w:pPr>
        <w:ind w:firstLine="3"/>
        <w:spacing w:after="0" w:line="212"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above; and (c) the stand-alone selling price for each performance obligation identified in the contract for the allocation of transaction price in step (iv) above. We use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w:t>
      </w:r>
    </w:p>
    <w:p>
      <w:pPr>
        <w:spacing w:after="0" w:line="164"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i w:val="1"/>
          <w:iCs w:val="1"/>
          <w:color w:val="auto"/>
        </w:rPr>
        <w:t xml:space="preserve">Exclusive Licenses. </w:t>
      </w:r>
      <w:r>
        <w:rPr>
          <w:rFonts w:ascii="Arial" w:cs="Arial" w:eastAsia="Arial" w:hAnsi="Arial"/>
          <w:sz w:val="17"/>
          <w:szCs w:val="17"/>
          <w:color w:val="auto"/>
        </w:rPr>
        <w:t>If the license to our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7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Research and Development Services. </w:t>
      </w:r>
      <w:r>
        <w:rPr>
          <w:rFonts w:ascii="Arial" w:cs="Arial" w:eastAsia="Arial" w:hAnsi="Arial"/>
          <w:sz w:val="17"/>
          <w:szCs w:val="17"/>
          <w:color w:val="auto"/>
        </w:rPr>
        <w:t>The promises under our collaboration agreements may include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services to be performed by our employees on behalf of the partner. Payments or reimbursements resulting from our research and development efforts are recognized as the services are performed and presented on a gross basis because we are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or development milestone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a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61"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i w:val="1"/>
          <w:iCs w:val="1"/>
          <w:color w:val="auto"/>
        </w:rPr>
        <w:t xml:space="preserve">Collaborative Arrangements. </w:t>
      </w:r>
      <w:r>
        <w:rPr>
          <w:rFonts w:ascii="Arial" w:cs="Arial" w:eastAsia="Arial" w:hAnsi="Arial"/>
          <w:sz w:val="16"/>
          <w:szCs w:val="16"/>
          <w:color w:val="auto"/>
        </w:rPr>
        <w:t>We analyze our collaboration arrangements to assess whether such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involve joint operating activities performed by parties that are both active participants in the activities and exposed to significant risks and rewards dependent on the commercial success of such activities and therefore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which we refer to as ASC 808.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w:t>
      </w:r>
    </w:p>
    <w:p>
      <w:pPr>
        <w:spacing w:after="0" w:line="2" w:lineRule="exact"/>
        <w:rPr>
          <w:sz w:val="20"/>
          <w:szCs w:val="20"/>
          <w:color w:val="auto"/>
        </w:rPr>
      </w:pPr>
    </w:p>
    <w:p>
      <w:pPr>
        <w:ind w:right="140" w:firstLine="3"/>
        <w:spacing w:after="0" w:line="242"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that are owed to collaboration partners are recognized as an offset to collaboration revenues as such amounts are incurred by the collaboration partner. Where amounts owed to a collaboration partner exceed our collaboration revenues in each quarterly period, such amounts are classified as research and development expense. For those elements of the arrangement that are accounted for pursuant to ASC 606, we apply the five-step model described above under ASC 606.</w:t>
      </w:r>
    </w:p>
    <w:p>
      <w:pPr>
        <w:spacing w:after="0" w:line="15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2018 and 2017</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2018 and 2017,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20" w:type="dxa"/>
            <w:vAlign w:val="bottom"/>
            <w:tcBorders>
              <w:top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2780" w:type="dxa"/>
            <w:vAlign w:val="bottom"/>
            <w:gridSpan w:val="2"/>
            <w:shd w:val="clear" w:color="auto" w:fill="CCEEFF"/>
          </w:tcPr>
          <w:p>
            <w:pPr>
              <w:jc w:val="right"/>
              <w:ind w:right="68"/>
              <w:spacing w:after="0" w:line="176" w:lineRule="exact"/>
              <w:rPr>
                <w:sz w:val="20"/>
                <w:szCs w:val="20"/>
                <w:color w:val="auto"/>
              </w:rPr>
            </w:pPr>
            <w:r>
              <w:rPr>
                <w:rFonts w:ascii="Arial" w:cs="Arial" w:eastAsia="Arial" w:hAnsi="Arial"/>
                <w:sz w:val="18"/>
                <w:szCs w:val="18"/>
                <w:color w:val="auto"/>
              </w:rPr>
              <w:t>$  1,095</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$ 8,068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(6,973)</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76"/>
        </w:trPr>
        <w:tc>
          <w:tcPr>
            <w:tcW w:w="33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780" w:type="dxa"/>
            <w:vAlign w:val="bottom"/>
            <w:gridSpan w:val="2"/>
            <w:shd w:val="clear" w:color="auto" w:fill="CCEEFF"/>
          </w:tcPr>
          <w:p>
            <w:pPr>
              <w:jc w:val="right"/>
              <w:ind w:right="68"/>
              <w:spacing w:after="0" w:line="176" w:lineRule="exact"/>
              <w:rPr>
                <w:sz w:val="20"/>
                <w:szCs w:val="20"/>
                <w:color w:val="auto"/>
              </w:rPr>
            </w:pPr>
            <w:r>
              <w:rPr>
                <w:rFonts w:ascii="Arial" w:cs="Arial" w:eastAsia="Arial" w:hAnsi="Arial"/>
                <w:sz w:val="18"/>
                <w:szCs w:val="18"/>
                <w:color w:val="auto"/>
              </w:rPr>
              <w:t>64,562</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39,300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25,262</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3300" w:type="dxa"/>
            <w:vAlign w:val="bottom"/>
          </w:tcPr>
          <w:p>
            <w:pPr>
              <w:spacing w:after="0"/>
              <w:rPr>
                <w:sz w:val="24"/>
                <w:szCs w:val="24"/>
                <w:color w:val="auto"/>
              </w:rPr>
            </w:pPr>
          </w:p>
        </w:tc>
        <w:tc>
          <w:tcPr>
            <w:tcW w:w="19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0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7,378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r>
      <w:tr>
        <w:trPr>
          <w:trHeight w:val="169"/>
        </w:trPr>
        <w:tc>
          <w:tcPr>
            <w:tcW w:w="38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5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76,603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46,678</w:t>
            </w: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29,925</w:t>
            </w: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3800" w:type="dxa"/>
            <w:vAlign w:val="bottom"/>
            <w:gridSpan w:val="2"/>
          </w:tcPr>
          <w:p>
            <w:pPr>
              <w:spacing w:after="0" w:line="176" w:lineRule="exact"/>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8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2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1,845</w:t>
            </w:r>
          </w:p>
        </w:tc>
        <w:tc>
          <w:tcPr>
            <w:tcW w:w="24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2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080" w:type="dxa"/>
            <w:vAlign w:val="bottom"/>
            <w:gridSpan w:val="3"/>
          </w:tcPr>
          <w:p>
            <w:pPr>
              <w:jc w:val="right"/>
              <w:ind w:right="220"/>
              <w:spacing w:after="0" w:line="176" w:lineRule="exact"/>
              <w:rPr>
                <w:sz w:val="20"/>
                <w:szCs w:val="20"/>
                <w:color w:val="auto"/>
              </w:rPr>
            </w:pPr>
            <w:r>
              <w:rPr>
                <w:rFonts w:ascii="Arial" w:cs="Arial" w:eastAsia="Arial" w:hAnsi="Arial"/>
                <w:sz w:val="18"/>
                <w:szCs w:val="18"/>
                <w:color w:val="auto"/>
              </w:rPr>
              <w:t>(47)</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5"/>
                <w:szCs w:val="15"/>
                <w:color w:val="auto"/>
              </w:rPr>
            </w:pPr>
          </w:p>
        </w:tc>
      </w:tr>
      <w:tr>
        <w:trPr>
          <w:trHeight w:val="169"/>
        </w:trPr>
        <w:tc>
          <w:tcPr>
            <w:tcW w:w="38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5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2,785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907</w:t>
            </w: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1,878</w:t>
            </w: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w:t>
            </w:r>
          </w:p>
        </w:tc>
        <w:tc>
          <w:tcPr>
            <w:tcW w:w="140" w:type="dxa"/>
            <w:vAlign w:val="bottom"/>
            <w:tcBorders>
              <w:top w:val="single" w:sz="8" w:color="CCEEFF"/>
            </w:tcBorders>
            <w:shd w:val="clear" w:color="auto" w:fill="CCEEFF"/>
          </w:tcPr>
          <w:p>
            <w:pPr>
              <w:spacing w:after="0"/>
              <w:rPr>
                <w:sz w:val="14"/>
                <w:szCs w:val="14"/>
                <w:color w:val="auto"/>
              </w:rPr>
            </w:pPr>
          </w:p>
        </w:tc>
      </w:tr>
      <w:tr>
        <w:trPr>
          <w:trHeight w:val="169"/>
        </w:trPr>
        <w:tc>
          <w:tcPr>
            <w:tcW w:w="3800" w:type="dxa"/>
            <w:vAlign w:val="bottom"/>
            <w:gridSpan w:val="2"/>
          </w:tcPr>
          <w:p>
            <w:pPr>
              <w:spacing w:after="0" w:line="170" w:lineRule="exact"/>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w w:val="87"/>
              </w:rPr>
              <w:t>$ (72,723)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w w:val="87"/>
              </w:rPr>
              <w:t>$ (37,703)</w:t>
            </w:r>
          </w:p>
        </w:tc>
        <w:tc>
          <w:tcPr>
            <w:tcW w:w="2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w w:val="92"/>
              </w:rPr>
              <w:t>$ (35,020)</w:t>
            </w:r>
          </w:p>
        </w:tc>
        <w:tc>
          <w:tcPr>
            <w:tcW w:w="24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8"/>
                <w:szCs w:val="18"/>
                <w:color w:val="auto"/>
              </w:rPr>
              <w:t>(93)</w:t>
            </w:r>
          </w:p>
        </w:tc>
        <w:tc>
          <w:tcPr>
            <w:tcW w:w="140" w:type="dxa"/>
            <w:vAlign w:val="bottom"/>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Collaboration revenue decreased by $7.0 million from $8.1 million for the three months ended September 30, 2017 to $1.1 million for the three months ended September 30, 2018. Collaboration revenue for the three months ended September 30, 2018 was related to the Roche agreement. Collaboration revenue for the three months ended September 30, 2017 was related to the Alexion and Roche agreements. We recorded collaboration revenue of $1.1 million and $1.4 million under the Roche agreement for the three months ended September 30, 2018 and September 30, 2017, respectively. We recorded collaboration revenue of $6.7 million under the Alexion agreement for the three months ended September 30, 2017. As a result of the termination of the Alexion agreement during 2017, we did not recognize any revenue under the Alexion agreement during the three months ended September 30, 2018. We adopted ASC 606 effective January 1, 2018 under the modified retrospective transition method, which impacts the year-over-year comparability of our collaboration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500" w:firstLine="648"/>
        <w:spacing w:after="0" w:line="224" w:lineRule="auto"/>
        <w:rPr>
          <w:sz w:val="20"/>
          <w:szCs w:val="20"/>
          <w:color w:val="auto"/>
        </w:rPr>
      </w:pPr>
      <w:r>
        <w:rPr>
          <w:rFonts w:ascii="Arial" w:cs="Arial" w:eastAsia="Arial" w:hAnsi="Arial"/>
          <w:sz w:val="18"/>
          <w:szCs w:val="18"/>
          <w:color w:val="auto"/>
        </w:rPr>
        <w:t>Research and development expense increased by $25.3 million from $39.3 million for the three months ended September 30, 2017 to $64.6 million for the three months ended September 30, 2018. The increase in research and development expense was primarily related to the following:</w:t>
      </w:r>
    </w:p>
    <w:p>
      <w:pPr>
        <w:spacing w:after="0" w:line="163" w:lineRule="exact"/>
        <w:rPr>
          <w:sz w:val="20"/>
          <w:szCs w:val="20"/>
          <w:color w:val="auto"/>
        </w:rPr>
      </w:pPr>
    </w:p>
    <w:p>
      <w:pPr>
        <w:ind w:left="1300" w:right="36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$11.3 million in increased expenses for clinical activities as we advance avapritinib and BLU-667 further through clinical trials;</w:t>
      </w:r>
    </w:p>
    <w:p>
      <w:pPr>
        <w:spacing w:after="0" w:line="161" w:lineRule="exact"/>
        <w:rPr>
          <w:rFonts w:ascii="Arial" w:cs="Arial" w:eastAsia="Arial" w:hAnsi="Arial"/>
          <w:sz w:val="18"/>
          <w:szCs w:val="18"/>
          <w:color w:val="auto"/>
        </w:rPr>
      </w:pPr>
    </w:p>
    <w:p>
      <w:pPr>
        <w:ind w:left="1300" w:right="20" w:hanging="325"/>
        <w:spacing w:after="0" w:line="22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$7.2 million in increased personnel expense, primarily due to an increase in headcount driven by growth in the clinical and manufacturing organizations and a $3.0 million increase in stock-based compensation expense;</w:t>
      </w:r>
    </w:p>
    <w:p>
      <w:pPr>
        <w:spacing w:after="0" w:line="163"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$3.3 million in increased expenses associated with clinical and commercial manufacturing activities;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$2.0 million in increased costs related to early discovery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660" w:firstLine="648"/>
        <w:spacing w:after="0" w:line="224" w:lineRule="auto"/>
        <w:rPr>
          <w:sz w:val="20"/>
          <w:szCs w:val="20"/>
          <w:color w:val="auto"/>
        </w:rPr>
      </w:pPr>
      <w:r>
        <w:rPr>
          <w:rFonts w:ascii="Arial" w:cs="Arial" w:eastAsia="Arial" w:hAnsi="Arial"/>
          <w:sz w:val="18"/>
          <w:szCs w:val="18"/>
          <w:color w:val="auto"/>
        </w:rPr>
        <w:t>General and administrative expense increased by $4.6 million from $7.4 million for the three months ended September 30, 2017 to $12.0 million for the three months ended September 30, 2018. The increase in general and administrative expense was primarily related to the following:</w:t>
      </w:r>
    </w:p>
    <w:p>
      <w:pPr>
        <w:spacing w:after="0" w:line="163" w:lineRule="exact"/>
        <w:rPr>
          <w:sz w:val="20"/>
          <w:szCs w:val="20"/>
          <w:color w:val="auto"/>
        </w:rPr>
      </w:pPr>
    </w:p>
    <w:p>
      <w:pPr>
        <w:jc w:val="both"/>
        <w:ind w:left="1300" w:right="280" w:hanging="325"/>
        <w:spacing w:after="0" w:line="22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$2.8 million in increased personnel expenses, primarily due to an increase in general and administrative headcount to support our overall growth as a publicly traded company and a $1.8 million increase in stock-based compensation expense; and</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approximately $1.1 million in increased professional fees, including pre-commercial planning activities.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Other income, net, increased by $1.8 million from $1.0 million of income for the three months ended September 30, 2017 to $2.8 million of income for the three months ended September 30, 2018. The increase in other income, net, was primarily related to an increase in investment income due to higher average investment balances and a higher rate of return on investments during the three months ended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three months ended September 30, 2017 to less than $0.1 million for the three months ended September 30, 2018. The decrease was primarily related to a decrease in the average outstanding principle balance under the loan and security agreement with Silicon Valley Bank for the three months ended September 30, 2018. We expect that interest expense will continue to decrease in subsequent periods as the principal amount under the loan decreases.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2018 and 2017</w:t>
      </w:r>
    </w:p>
    <w:p>
      <w:pPr>
        <w:spacing w:after="0" w:line="18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2018 and 2017, together with the changes in those items in dollars and as a percentage:</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vMerge w:val="restart"/>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Dollar Change</w:t>
            </w:r>
          </w:p>
        </w:tc>
        <w:tc>
          <w:tcPr>
            <w:tcW w:w="220" w:type="dxa"/>
            <w:vAlign w:val="bottom"/>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43,488</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19,798</w:t>
            </w:r>
          </w:p>
        </w:tc>
        <w:tc>
          <w:tcPr>
            <w:tcW w:w="4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23,690</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173,089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101,058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72,031</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34,285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19,894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14,391</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207,374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120,952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86,422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7,635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5,395</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(69)</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4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7,566</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5,504</w:t>
            </w:r>
          </w:p>
        </w:tc>
        <w:tc>
          <w:tcPr>
            <w:tcW w:w="2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4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(156,320)</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(99,092)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(57,228)</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(58)</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Collaboration revenue increased by $23.7 million from $19.8 million for the nine months ended September 30, 2017 to $43.5 million for the nine months ended September 30, 2018. Collaboration revenue for the nine months ended September 30, 2018 was related to the Roche and CStone agreements. Collaboration revenue for the nine months ended September 30, 2017 was related to the Alexion and Roche agreements. We recorded collaboration revenue of $3.5 million and $4.2 million under the Roche agreement for the nine months ended September 30, 2018 and September 30, 2017, respectively. We entered into the CStone agreement on June 1, 2018 and recorded collaboration revenue of $40.0 million under the CStone agreement during the nine months ended September 30, 2018. Accordingly, we did not record any collaboration revenue during the nine months ended September 30, 2017 under the CStone agreement. We recorded collaboration revenue of $15.6 million under the Alexion agreement for the nine months ended September 30, 2017. As a result of the termination of the Alexion agreement during 2017, we did not recognize any revenue under the Alexion agreement during the nine months ended September 30, 2018. We adopted ASC 606 effective January 1, 2018 under the modified retrospective transition method, which impacts the year-over-year comparability of our collaboration revenue.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440" w:firstLine="648"/>
        <w:spacing w:after="0" w:line="224" w:lineRule="auto"/>
        <w:rPr>
          <w:sz w:val="20"/>
          <w:szCs w:val="20"/>
          <w:color w:val="auto"/>
        </w:rPr>
      </w:pPr>
      <w:r>
        <w:rPr>
          <w:rFonts w:ascii="Arial" w:cs="Arial" w:eastAsia="Arial" w:hAnsi="Arial"/>
          <w:sz w:val="18"/>
          <w:szCs w:val="18"/>
          <w:color w:val="auto"/>
        </w:rPr>
        <w:t>Research and development expense increased by $72.0 million from $101.1 million for the nine months ended September 30, 2017 to $173.1 million for the nine months ended September 30, 2018. The increase in research and development expense was primarily related to the following:</w:t>
      </w:r>
    </w:p>
    <w:p>
      <w:pPr>
        <w:spacing w:after="0" w:line="163" w:lineRule="exact"/>
        <w:rPr>
          <w:sz w:val="20"/>
          <w:szCs w:val="20"/>
          <w:color w:val="auto"/>
        </w:rPr>
      </w:pPr>
    </w:p>
    <w:p>
      <w:pPr>
        <w:ind w:left="1300" w:right="34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$33.2 million in increased expenses for clinical activities as we advance avapritinib and BLU-667 further through clinical trials;</w:t>
      </w:r>
    </w:p>
    <w:p>
      <w:pPr>
        <w:spacing w:after="0" w:line="161" w:lineRule="exact"/>
        <w:rPr>
          <w:rFonts w:ascii="Arial" w:cs="Arial" w:eastAsia="Arial" w:hAnsi="Arial"/>
          <w:sz w:val="18"/>
          <w:szCs w:val="18"/>
          <w:color w:val="auto"/>
        </w:rPr>
      </w:pPr>
    </w:p>
    <w:p>
      <w:pPr>
        <w:ind w:left="1300" w:hanging="325"/>
        <w:spacing w:after="0" w:line="22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$21.0 million in increased personnel expense, primarily due to an increase in headcount driven by growth in the clinical and manufacturing organizations and a $7.6 million increase in stock-based compensation expense;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$12.4 million in increased expenses associated with clinical and commercial manufacturing activities;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$3.3 million in increased costs related to early discovery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520" w:firstLine="648"/>
        <w:spacing w:after="0" w:line="224" w:lineRule="auto"/>
        <w:rPr>
          <w:sz w:val="20"/>
          <w:szCs w:val="20"/>
          <w:color w:val="auto"/>
        </w:rPr>
      </w:pPr>
      <w:r>
        <w:rPr>
          <w:rFonts w:ascii="Arial" w:cs="Arial" w:eastAsia="Arial" w:hAnsi="Arial"/>
          <w:sz w:val="18"/>
          <w:szCs w:val="18"/>
          <w:color w:val="auto"/>
        </w:rPr>
        <w:t>General and administrative expense increased by $14.4 million from $19.9 million for the nine months ended September 30, 2017 to $34.3 million for the nine months ended September 30, 2018. The increase in general and administrative expense was primarily related to the following:</w:t>
      </w:r>
    </w:p>
    <w:p>
      <w:pPr>
        <w:spacing w:after="0" w:line="163" w:lineRule="exact"/>
        <w:rPr>
          <w:sz w:val="20"/>
          <w:szCs w:val="20"/>
          <w:color w:val="auto"/>
        </w:rPr>
      </w:pPr>
    </w:p>
    <w:p>
      <w:pPr>
        <w:jc w:val="both"/>
        <w:ind w:left="1300" w:right="260" w:hanging="325"/>
        <w:spacing w:after="0" w:line="22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$8.1 million in increased personnel expenses, primarily due to an increase in general and administrative headcount to support our overall growth as a publicly traded company and a $5.3 million increase in stock-based compensation expense; and</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approximately $4.5 million in increased professional fees, including pre-commercial planning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Other income, net, increased by $5.4 million from $2.2 million of income for the nine months ended September 30, 2017 to $7.6 million of income for the nine months ended September 30, 2018. The increase in other income, net, was primarily related to an increase in investment income due to higher average investment balances and a higher rate of return on investments during the nine months ended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nine months ended September 30, 2017 to less than $0.1 million for the nine months ended September 30, 2018. The decrease was primarily related to a decrease in the average outstanding principle balance under the loan and security agreement with Silicon Valley Bank for the nine months ended September 30, 2018. We expect that interest expense will continue to decrease in subsequent periods as the principal amount under the loan decreases.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60" w:firstLine="648"/>
        <w:spacing w:after="0" w:line="235"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Through September 30, 2018, we have received an aggregate of $1.1 billion from such transactions, including</w:t>
      </w:r>
    </w:p>
    <w:p>
      <w:pPr>
        <w:spacing w:after="0" w:line="229" w:lineRule="auto"/>
        <w:rPr>
          <w:sz w:val="20"/>
          <w:szCs w:val="20"/>
          <w:color w:val="auto"/>
        </w:rPr>
      </w:pPr>
      <w:r>
        <w:rPr>
          <w:rFonts w:ascii="Arial" w:cs="Arial" w:eastAsia="Arial" w:hAnsi="Arial"/>
          <w:sz w:val="16"/>
          <w:szCs w:val="16"/>
          <w:color w:val="auto"/>
        </w:rPr>
        <w:t>$887.4 million in aggregate gross proceeds from the sale of common stock in our May 2015 IPO and December 2016, April</w:t>
      </w:r>
    </w:p>
    <w:p>
      <w:pPr>
        <w:spacing w:after="0" w:line="215" w:lineRule="auto"/>
        <w:rPr>
          <w:sz w:val="20"/>
          <w:szCs w:val="20"/>
          <w:color w:val="auto"/>
        </w:rPr>
      </w:pPr>
      <w:r>
        <w:rPr>
          <w:rFonts w:ascii="Arial" w:cs="Arial" w:eastAsia="Arial" w:hAnsi="Arial"/>
          <w:sz w:val="17"/>
          <w:szCs w:val="17"/>
          <w:color w:val="auto"/>
        </w:rPr>
        <w:t>2017 and December 2017 follow-on public offerings, $115.1 million in gross proceeds from the issuance of convertible</w:t>
      </w:r>
    </w:p>
    <w:p>
      <w:pPr>
        <w:spacing w:after="0"/>
        <w:rPr>
          <w:sz w:val="20"/>
          <w:szCs w:val="20"/>
          <w:color w:val="auto"/>
        </w:rPr>
      </w:pPr>
      <w:r>
        <w:rPr>
          <w:rFonts w:ascii="Arial" w:cs="Arial" w:eastAsia="Arial" w:hAnsi="Arial"/>
          <w:sz w:val="18"/>
          <w:szCs w:val="18"/>
          <w:color w:val="auto"/>
        </w:rPr>
        <w:t>preferred stock, $18.8 million in upfront and milestone payments under our former collaboration with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Alexion, $55.0 million in upfront and milestone payments under our existing collaboration with Roche, a $40.0 million upfront payment under our existing collaboration with CStone and $10.0 million in gross proceeds from the debt financing. As a result of the termination of the Alexion agreement, which was effective in October 2017, we will not be entitled to receive payment from Alexion for any additional milestones.</w:t>
      </w:r>
    </w:p>
    <w:p>
      <w:pPr>
        <w:spacing w:after="0" w:line="55" w:lineRule="exact"/>
        <w:rPr>
          <w:sz w:val="20"/>
          <w:szCs w:val="20"/>
          <w:color w:val="auto"/>
        </w:rPr>
      </w:pPr>
    </w:p>
    <w:p>
      <w:pPr>
        <w:ind w:right="1720" w:firstLine="648"/>
        <w:spacing w:after="0" w:line="454" w:lineRule="auto"/>
        <w:rPr>
          <w:sz w:val="20"/>
          <w:szCs w:val="20"/>
          <w:color w:val="auto"/>
        </w:rPr>
      </w:pPr>
      <w:r>
        <w:rPr>
          <w:rFonts w:ascii="Arial" w:cs="Arial" w:eastAsia="Arial" w:hAnsi="Arial"/>
          <w:sz w:val="18"/>
          <w:szCs w:val="18"/>
          <w:color w:val="auto"/>
        </w:rPr>
        <w:t xml:space="preserve">As of September 30, 2018, we had cash, cash equivalents and investments of $559.6 million. </w:t>
      </w:r>
      <w:r>
        <w:rPr>
          <w:rFonts w:ascii="Arial" w:cs="Arial" w:eastAsia="Arial" w:hAnsi="Arial"/>
          <w:sz w:val="18"/>
          <w:szCs w:val="18"/>
          <w:i w:val="1"/>
          <w:iCs w:val="1"/>
          <w:color w:val="auto"/>
        </w:rPr>
        <w:t>Cash Flows</w:t>
      </w:r>
    </w:p>
    <w:p>
      <w:pPr>
        <w:ind w:right="1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2"/>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6960" w:type="dxa"/>
            <w:vAlign w:val="bottom"/>
            <w:tcBorders>
              <w:bottom w:val="single" w:sz="8" w:color="CCEEFF"/>
            </w:tcBorders>
            <w:vMerge w:val="continue"/>
          </w:tcPr>
          <w:p>
            <w:pPr>
              <w:spacing w:after="0"/>
              <w:rPr>
                <w:sz w:val="11"/>
                <w:szCs w:val="11"/>
                <w:color w:val="auto"/>
              </w:rPr>
            </w:pPr>
          </w:p>
        </w:tc>
        <w:tc>
          <w:tcPr>
            <w:tcW w:w="840" w:type="dxa"/>
            <w:vAlign w:val="bottom"/>
            <w:tcBorders>
              <w:top w:val="single" w:sz="8" w:color="auto"/>
              <w:bottom w:val="single" w:sz="8" w:color="auto"/>
            </w:tcBorders>
          </w:tcPr>
          <w:p>
            <w:pPr>
              <w:jc w:val="right"/>
              <w:ind w:right="198"/>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(107,427)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(85,115)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60" w:type="dxa"/>
            <w:vAlign w:val="bottom"/>
          </w:tcPr>
          <w:p>
            <w:pPr>
              <w:spacing w:after="0" w:line="176" w:lineRule="exact"/>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(217,329)</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3"/>
              </w:rPr>
              <w:t>(122,220)</w:t>
            </w:r>
          </w:p>
        </w:tc>
        <w:tc>
          <w:tcPr>
            <w:tcW w:w="0" w:type="dxa"/>
            <w:vAlign w:val="bottom"/>
          </w:tcPr>
          <w:p>
            <w:pPr>
              <w:spacing w:after="0"/>
              <w:rPr>
                <w:sz w:val="1"/>
                <w:szCs w:val="1"/>
                <w:color w:val="auto"/>
              </w:rPr>
            </w:pPr>
          </w:p>
        </w:tc>
      </w:tr>
      <w:tr>
        <w:trPr>
          <w:trHeight w:val="176"/>
        </w:trPr>
        <w:tc>
          <w:tcPr>
            <w:tcW w:w="6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3,690</w:t>
            </w: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216,095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spacing w:after="0" w:line="170" w:lineRule="exact"/>
              <w:rPr>
                <w:sz w:val="20"/>
                <w:szCs w:val="20"/>
                <w:color w:val="auto"/>
              </w:rPr>
            </w:pPr>
            <w:r>
              <w:rPr>
                <w:rFonts w:ascii="Arial" w:cs="Arial" w:eastAsia="Arial" w:hAnsi="Arial"/>
                <w:sz w:val="18"/>
                <w:szCs w:val="18"/>
                <w:color w:val="auto"/>
              </w:rPr>
              <w:t>Net (decrease) increase in cash and cash equivalents</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 (321,066)</w:t>
            </w:r>
          </w:p>
        </w:tc>
        <w:tc>
          <w:tcPr>
            <w:tcW w:w="3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8,760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For the nine months ended September 30, 2018,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the $22.3 million increase in net cash used in operating was primarily due to the increase in net loss during this period of $57.2 million, which was driven by increased payroll and payroll-related expenses and spending on our clinical and pre-clinical stage programs to support overall growth, partially offset by upfront and milestone payments received during the nine months ended September 30, 2018. The net cash flows provided by operating activities for the nine months ended September 30, 2018 reflect a $40.0 million upfront payment received under the CStone agreement and a $10.0 milestone payment received under the Roche agreement. We did not receive any upfront payments or milestones during the nine months ended September 30, 2017.</w:t>
      </w:r>
    </w:p>
    <w:p>
      <w:pPr>
        <w:spacing w:after="0" w:line="16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6"/>
          <w:szCs w:val="16"/>
          <w:i w:val="1"/>
          <w:iCs w:val="1"/>
          <w:color w:val="auto"/>
        </w:rPr>
        <w:t>Net Cash Used in Investing Activities</w:t>
      </w:r>
      <w:r>
        <w:rPr>
          <w:rFonts w:ascii="Arial" w:cs="Arial" w:eastAsia="Arial" w:hAnsi="Arial"/>
          <w:sz w:val="16"/>
          <w:szCs w:val="16"/>
          <w:color w:val="auto"/>
        </w:rPr>
        <w:t>. For the nine months ended September 30, 2018,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2017, the $95.1 million increase in net cash used in investing activities was primarily due to an increase in net purchase of U.S treasury obligations and purchases of property and equipment mainly related to the relocation of our headquarters.</w:t>
      </w:r>
    </w:p>
    <w:p>
      <w:pPr>
        <w:spacing w:after="0" w:line="14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i w:val="1"/>
          <w:iCs w:val="1"/>
          <w:color w:val="auto"/>
        </w:rPr>
        <w:t>Net Cash Provided by Financing Activities</w:t>
      </w:r>
      <w:r>
        <w:rPr>
          <w:rFonts w:ascii="Arial" w:cs="Arial" w:eastAsia="Arial" w:hAnsi="Arial"/>
          <w:sz w:val="16"/>
          <w:szCs w:val="16"/>
          <w:color w:val="auto"/>
        </w:rPr>
        <w:t>. For the nine months ended September 30, 2018,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2017, the $212.4 million decrease in net cash provided by financing activities was primarily due to $216.2 million in net proceeds from our April 2017 follow-on underwritten public offering, after deducting underwriting discounts and commissions and offering expenses paid by us, partially offset by an proceeds received from stock option exercises.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Through September 30, 2018, we have made principal payments of $9.7 million on the $10.0 million of advances. We are required to pay a fee of 4% of the total loan advances at the end of the term of the loan. There are no financial covenants associated with the loan and security agreement. As of September 30, 2018, we had $0.3 million in outstanding principal under the loan and security agreement.</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long-term liabilities based on scheduled principal 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See Note 8, “Term Loan,” in the accompanying notes to our unaudited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As of September 30, 2018, we had cash, cash equivalents and investments of $559.6 million. Based on our current plans, we believe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9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17" w:lineRule="exact"/>
        <w:rPr>
          <w:rFonts w:ascii="Arial" w:cs="Arial" w:eastAsia="Arial" w:hAnsi="Arial"/>
          <w:sz w:val="18"/>
          <w:szCs w:val="18"/>
          <w:color w:val="auto"/>
        </w:rPr>
      </w:pPr>
    </w:p>
    <w:p>
      <w:pPr>
        <w:ind w:left="1300" w:right="40" w:hanging="325"/>
        <w:spacing w:after="0" w:line="189" w:lineRule="exact"/>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300" w:hanging="325"/>
        <w:spacing w:after="0" w:line="22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and CStone or any collaboration agreements that we may enter into in the future;</w:t>
      </w:r>
    </w:p>
    <w:p>
      <w:pPr>
        <w:spacing w:after="0" w:line="95"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9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8"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100" w:firstLine="270"/>
        <w:spacing w:after="0" w:line="220" w:lineRule="auto"/>
        <w:rPr>
          <w:sz w:val="20"/>
          <w:szCs w:val="20"/>
          <w:color w:val="auto"/>
        </w:rPr>
      </w:pPr>
      <w:r>
        <w:rPr>
          <w:rFonts w:ascii="Arial" w:cs="Arial" w:eastAsia="Arial" w:hAnsi="Arial"/>
          <w:sz w:val="17"/>
          <w:szCs w:val="17"/>
          <w:color w:val="auto"/>
        </w:rPr>
        <w:t>On April 28, 2017, we entered into a lease agreement for approximately 99,833 rentable square feet of office and laboratory space located at 45 Sidney Street in Cambridge, Massachusetts. On September 19, 2018, we entered into an amendment to the lease agreement to expand the rentable square footage from approximately 99,833 square feet to approximately 139,216 square feet. The initial term of the lease with respect to the expansion premises will commence on March 1, 2019 and will expire on November 30, 2029, unless terminated sooner. Pursuant to the lease amendment, the date on which we will become responsible for paying rent with respect to the expansion space will be the earlier of (i) the date upon which we first occupy the expansion premises for business purposes or (ii) July 1, 2019. We currently anticipate the rent commencement date for the expansion premises will be approximately July 1, 2019. We have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us with a tenant improvement allowance of approximately $3.2 million for improvements to be made to the expansion premises. The lease amendment required us to pay an additional security deposit of $0.8 million to the landlord for the expansion premises.</w:t>
      </w:r>
    </w:p>
    <w:p>
      <w:pPr>
        <w:spacing w:after="0" w:line="129"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As a result, our contractual obligations and commitments increased by approximately $40.0 million from those described under “Management’s Discussion and Analysis of Financial Condition and Results of Operations” included in the Annual Report on Form 10-K for the year ended December 31, 2017.</w:t>
      </w:r>
    </w:p>
    <w:p>
      <w:pPr>
        <w:spacing w:after="0" w:line="159"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As of September 30, 2018, we had cash, cash equivalents and investments of $559.6 million, consisting primarily of money market funds and investments in U.S. treasury obligations and U.S government agency securities.</w:t>
      </w:r>
    </w:p>
    <w:p>
      <w:pPr>
        <w:spacing w:after="0" w:line="14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marketable securities. Due to the short-term duration of</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3"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2018 and December 31, 2017, we had minimal liabilities denominated in foreign currencies.</w:t>
      </w:r>
    </w:p>
    <w:p>
      <w:pPr>
        <w:spacing w:after="0" w:line="162"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or nine months ended September 30, 2018 and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September 30, 2018. Based upon such evaluation, our Chief Executive Officer and Vice President of Finance have concluded that, as of September 30, 2018,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w:t>
      </w:r>
    </w:p>
    <w:p>
      <w:pPr>
        <w:spacing w:after="0" w:line="16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We are currently evaluating avapritinib for the treatment of gastrointestinal stromal tumors, or GIST, in an ongoing Phase 1 clinical trial in advanced GIST, which we refer to as our NAVIGATOR trial, and an ongoing global, randomized Phase 3 clinical trial for avapritinib compared to regorafenib in third-line GIST, which we refer to as our VOYAGER trial. In addition, we are currently evaluating avapritinib for the treatment of systemic mastocytosis, or SM, in an ongoing Phase 1 clinical trial for advanced SM, which we refer to as our EXPLORER trial, and we have initiated screening for our registration</w:t>
      </w:r>
      <w:r>
        <w:rPr>
          <w:rFonts w:ascii="MS PGothic" w:cs="MS PGothic" w:eastAsia="MS PGothic" w:hAnsi="MS PGothic"/>
          <w:sz w:val="17"/>
          <w:szCs w:val="17"/>
          <w:color w:val="auto"/>
        </w:rPr>
        <w:t>‑</w:t>
      </w:r>
      <w:r>
        <w:rPr>
          <w:rFonts w:ascii="Arial" w:cs="Arial" w:eastAsia="Arial" w:hAnsi="Arial"/>
          <w:sz w:val="17"/>
          <w:szCs w:val="17"/>
          <w:color w:val="auto"/>
        </w:rPr>
        <w:t>enabling Phase 2 clinical trial of avapritinib in advanced SM, which we refer to as our PATHFINDER trial. In addition, we anticipate initiating a registration</w:t>
      </w:r>
      <w:r>
        <w:rPr>
          <w:rFonts w:ascii="MS PGothic" w:cs="MS PGothic" w:eastAsia="MS PGothic" w:hAnsi="MS PGothic"/>
          <w:sz w:val="17"/>
          <w:szCs w:val="17"/>
          <w:color w:val="auto"/>
        </w:rPr>
        <w:t>‑</w:t>
      </w:r>
      <w:r>
        <w:rPr>
          <w:rFonts w:ascii="Arial" w:cs="Arial" w:eastAsia="Arial" w:hAnsi="Arial"/>
          <w:sz w:val="17"/>
          <w:szCs w:val="17"/>
          <w:color w:val="auto"/>
        </w:rPr>
        <w:t>enabling Phase 2 clinical trial of avapritinib in patients with indolent SM and smoldering SM by the end of 2018, which we refer to as our PIONEER trial. We are currently evaluating BLU</w:t>
      </w:r>
      <w:r>
        <w:rPr>
          <w:rFonts w:ascii="MS PGothic" w:cs="MS PGothic" w:eastAsia="MS PGothic" w:hAnsi="MS PGothic"/>
          <w:sz w:val="17"/>
          <w:szCs w:val="17"/>
          <w:color w:val="auto"/>
        </w:rPr>
        <w:t>‑</w:t>
      </w:r>
      <w:r>
        <w:rPr>
          <w:rFonts w:ascii="Arial" w:cs="Arial" w:eastAsia="Arial" w:hAnsi="Arial"/>
          <w:sz w:val="17"/>
          <w:szCs w:val="17"/>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 which we refer to as our ARROW trial.</w:t>
      </w:r>
    </w:p>
    <w:p>
      <w:pPr>
        <w:spacing w:after="0" w:line="167"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In January 2016, the U.S. Food and Drug Administration, or FDA, granted orphan drug designation to avapritinib for the treatment of GIST and mastocytosis, in July 2017, the European Medicines Agency, or EMA, granted orphan drug designation to avapritinib for the treatment of GIST, and in October 2018, the EMA granted orphan drug designation to avapritinib for the treatment of mastocytosis. In October 2016, the FDA granted fast track designation to avapritinib for the treatment of patients with unresectable or metastatic GIST that progressed following treatment with imatinib and a second tyrosine kinase inhibitor, or TKI,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October 2018, the FDA granted breakthrough therapy designation to avapritinib for the treatment of advanced SM, including the subtypes of aggressive SM, SM with an associated hematologic neoplasm and mast cell leukemia. In September 2015, the FDA granted orphan drug designation to BLU-554 for the treatment of HCC, and in April 2018, the FDA granted orphan drug designation to BLU-667 for the treatment of RET-rearranged NSCLC, JAK1/2-positive NSCLC or TRKC-positive NSCLC. We have never generated any revenue from drug sales. We have not obtained regulatory approvals for any of our drug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right="140" w:firstLine="648"/>
        <w:spacing w:after="0" w:line="180" w:lineRule="exact"/>
        <w:rPr>
          <w:sz w:val="20"/>
          <w:szCs w:val="20"/>
          <w:color w:val="auto"/>
        </w:rPr>
      </w:pPr>
      <w:r>
        <w:rPr>
          <w:rFonts w:ascii="Arial" w:cs="Arial" w:eastAsia="Arial" w:hAnsi="Arial"/>
          <w:sz w:val="17"/>
          <w:szCs w:val="17"/>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and commencing clinical development and pre-commercial activities. To date, we have financed our operations primarily through public offerings of our common stock, private placements of our convertible preferred stock, collaborations and a debt financing. Through September 30, 2018,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 preferred stock, $18.8 million in upfront and milestone payments under our former collaboration with Alexion Pharma Holding, or Alexion, $55.0 million in upfront and milestone payments under our existing collaboration with F. Hoffmann-La Roche Ltd and Hoffmann-La Roche Inc., which we refer to collectively as Roche, a $40.0 million upfront payment under our existing collaboration with CStone Pharmaceuticals, or CStone, and $10.0 million in gross proceeds from the debt financing.</w:t>
      </w:r>
    </w:p>
    <w:p>
      <w:pPr>
        <w:spacing w:after="0" w:line="16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Since inception, we have incurred significant operating losses. Our net losses were $156.3 million for the nine months ended September 30, 2018 and $148.1 million, $72.5 million and $52.8 million for the years ended December 31, 2017, 2016 and 2015, respectively. As of September 30, 2018, we had an accumulated deficit of $517.2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To date, we have not generated any revenue from our most advanced drug candidates,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 and we do not expect to generate any revenue from the sale of drugs in the near future. We do not expect to generate significant revenue unless and until we obtain marketing approval of, and begin to sell, avapritinib,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3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line="184" w:lineRule="exact"/>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development of pharmaceuticals is capital</w:t>
      </w:r>
      <w:r>
        <w:rPr>
          <w:rFonts w:ascii="MS PGothic" w:cs="MS PGothic" w:eastAsia="MS PGothic" w:hAnsi="MS PGothic"/>
          <w:sz w:val="16"/>
          <w:szCs w:val="16"/>
          <w:color w:val="auto"/>
        </w:rPr>
        <w:t>‑</w:t>
      </w:r>
      <w:r>
        <w:rPr>
          <w:rFonts w:ascii="Arial" w:cs="Arial" w:eastAsia="Arial" w:hAnsi="Arial"/>
          <w:sz w:val="16"/>
          <w:szCs w:val="16"/>
          <w:color w:val="auto"/>
        </w:rPr>
        <w:t>intensive. We are currently advancing our most advanced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6"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As of September 30, 2018, we had cash, cash equivalents and investments of $559.6 million. Based on our current plans, we believe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and could increase significantly as a result of many factors, including:</w:t>
      </w:r>
    </w:p>
    <w:p>
      <w:pPr>
        <w:spacing w:after="0" w:line="161" w:lineRule="exact"/>
        <w:rPr>
          <w:sz w:val="20"/>
          <w:szCs w:val="20"/>
          <w:color w:val="auto"/>
        </w:rPr>
      </w:pPr>
    </w:p>
    <w:p>
      <w:pPr>
        <w:ind w:left="1300" w:right="26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84"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00" w:hanging="325"/>
        <w:spacing w:after="0" w:line="22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or CStone or any collaboration agreements that we may enter into in the future;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which are limited in scope and duration and subject to the achievement of milestones or royalties on sales of licensed products, if any, and funds already borrowed under the loan and security agreement that we entered into with Silicon Valley Bank in May 2013. To the extent that we raise additional capital through the sale of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very early in our development efforts with only three drug candidates in clinical development: avapritinib,</w:t>
      </w:r>
    </w:p>
    <w:p>
      <w:pPr>
        <w:spacing w:after="0" w:line="8" w:lineRule="exact"/>
        <w:rPr>
          <w:sz w:val="20"/>
          <w:szCs w:val="20"/>
          <w:color w:val="auto"/>
        </w:rPr>
      </w:pPr>
    </w:p>
    <w:p>
      <w:pPr>
        <w:ind w:right="100"/>
        <w:spacing w:after="0" w:line="185" w:lineRule="exact"/>
        <w:rPr>
          <w:sz w:val="20"/>
          <w:szCs w:val="20"/>
          <w:color w:val="auto"/>
        </w:rPr>
      </w:pPr>
      <w:r>
        <w:rPr>
          <w:rFonts w:ascii="Arial" w:cs="Arial" w:eastAsia="Arial" w:hAnsi="Arial"/>
          <w:sz w:val="15"/>
          <w:szCs w:val="15"/>
          <w:b w:val="1"/>
          <w:bCs w:val="1"/>
          <w:i w:val="1"/>
          <w:iCs w:val="1"/>
          <w:color w:val="auto"/>
        </w:rPr>
        <w:t>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554 and 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667.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64"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very early in our development efforts with only three drug candidates in clinical development: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PDGFRα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63" w:lineRule="exact"/>
        <w:rPr>
          <w:sz w:val="20"/>
          <w:szCs w:val="20"/>
          <w:color w:val="auto"/>
        </w:rPr>
      </w:pPr>
    </w:p>
    <w:p>
      <w:pPr>
        <w:ind w:left="1300" w:right="740" w:hanging="325"/>
        <w:spacing w:after="0" w:line="203" w:lineRule="exact"/>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140" w:hanging="325"/>
        <w:spacing w:after="0" w:line="232"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 development of any companion diagnostic tests for use with our drug candidates, including the development of a companion diagnostic test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are in clinical development, and all of our other drug candidates, including BLU-782,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15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We are currently evaluating avapritinib for the treatment of GIST in our ongoing Phase 1 NAVIGATOR clinical trial in advanced GIST and our ongoing global, randomized Phase 3 VOYAGER clinical trial for avapritinib compared to regorafenib in third-line GIST. In addition, we are currently evaluating avapritinib for the treatment of SM in our ongoing Phase 1 EXPLORER clinical trial for advanced SM, and we have initiated screening for our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7" w:lineRule="exact"/>
        <w:rPr>
          <w:sz w:val="20"/>
          <w:szCs w:val="20"/>
          <w:color w:val="auto"/>
        </w:rPr>
      </w:pPr>
      <w:r>
        <w:rPr>
          <w:rFonts w:ascii="Arial" w:cs="Arial" w:eastAsia="Arial" w:hAnsi="Arial"/>
          <w:sz w:val="18"/>
          <w:szCs w:val="18"/>
          <w:color w:val="auto"/>
        </w:rPr>
        <w:t>registration</w:t>
      </w:r>
      <w:r>
        <w:rPr>
          <w:rFonts w:ascii="MS PGothic" w:cs="MS PGothic" w:eastAsia="MS PGothic" w:hAnsi="MS PGothic"/>
          <w:sz w:val="18"/>
          <w:szCs w:val="18"/>
          <w:color w:val="auto"/>
        </w:rPr>
        <w:t>‑</w:t>
      </w:r>
      <w:r>
        <w:rPr>
          <w:rFonts w:ascii="Arial" w:cs="Arial" w:eastAsia="Arial" w:hAnsi="Arial"/>
          <w:sz w:val="18"/>
          <w:szCs w:val="18"/>
          <w:color w:val="auto"/>
        </w:rPr>
        <w:t>enabling Phase 2 PATHFINDER clinical trial for advanced SM. In addition, we anticipate initiating a registration</w:t>
      </w:r>
      <w:r>
        <w:rPr>
          <w:rFonts w:ascii="MS PGothic" w:cs="MS PGothic" w:eastAsia="MS PGothic" w:hAnsi="MS PGothic"/>
          <w:sz w:val="18"/>
          <w:szCs w:val="18"/>
          <w:color w:val="auto"/>
        </w:rPr>
        <w:t>‑</w:t>
      </w:r>
      <w:r>
        <w:rPr>
          <w:rFonts w:ascii="Arial" w:cs="Arial" w:eastAsia="Arial" w:hAnsi="Arial"/>
          <w:sz w:val="18"/>
          <w:szCs w:val="18"/>
          <w:color w:val="auto"/>
        </w:rPr>
        <w:t>enabling Phase 2 clinical trial of avapritinib in patients with indolent SM and smoldering SM by the end of 2018, which we refer to as our PIONEER trial. We are currently evaluating BLU</w:t>
      </w:r>
      <w:r>
        <w:rPr>
          <w:rFonts w:ascii="MS PGothic" w:cs="MS PGothic" w:eastAsia="MS PGothic" w:hAnsi="MS PGothic"/>
          <w:sz w:val="18"/>
          <w:szCs w:val="18"/>
          <w:color w:val="auto"/>
        </w:rPr>
        <w:t>‑</w:t>
      </w:r>
      <w:r>
        <w:rPr>
          <w:rFonts w:ascii="Arial" w:cs="Arial" w:eastAsia="Arial" w:hAnsi="Arial"/>
          <w:sz w:val="18"/>
          <w:szCs w:val="18"/>
          <w:color w:val="auto"/>
        </w:rPr>
        <w:t>554 in our ongoing Phase 1 clinical trial in patients with advanced HCC and BLU-667 in our ongoing Phase 1 ARROW clinical trial in patients with NSCLC, MTC and other advanced solid tumors.</w:t>
      </w:r>
    </w:p>
    <w:p>
      <w:pPr>
        <w:spacing w:after="0" w:line="14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667 and our other drug candidates. We do not know whether any of our clinical trials for our drug candidates will be completed on schedule, if at all.</w:t>
      </w:r>
    </w:p>
    <w:p>
      <w:pPr>
        <w:spacing w:after="0" w:line="137"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49" w:lineRule="exact"/>
        <w:rPr>
          <w:sz w:val="20"/>
          <w:szCs w:val="20"/>
          <w:color w:val="auto"/>
        </w:rPr>
      </w:pPr>
    </w:p>
    <w:p>
      <w:pPr>
        <w:ind w:left="1300" w:right="620" w:hanging="325"/>
        <w:spacing w:after="0" w:line="25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jc w:val="both"/>
        <w:ind w:left="1300" w:right="100" w:hanging="325"/>
        <w:spacing w:after="0" w:line="23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47"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80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5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82" w:lineRule="exact"/>
        <w:rPr>
          <w:rFonts w:ascii="Arial" w:cs="Arial" w:eastAsia="Arial" w:hAnsi="Arial"/>
          <w:sz w:val="17"/>
          <w:szCs w:val="17"/>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PDGFRα D842V mutation, BLU-554 in order to identify HCC patients with FGFR4 pathway activation and BLU-667 in order to identify NSCLC patients with RET fusions.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12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PDGFRα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BLU-554 and BLU-667.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1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20" w:hanging="325"/>
        <w:spacing w:after="0" w:line="22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4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2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hanging="325"/>
        <w:spacing w:after="0" w:line="28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60" w:hanging="325"/>
        <w:spacing w:after="0" w:line="28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4" w:lineRule="exact"/>
        <w:rPr>
          <w:rFonts w:ascii="Arial" w:cs="Arial" w:eastAsia="Arial" w:hAnsi="Arial"/>
          <w:sz w:val="16"/>
          <w:szCs w:val="16"/>
          <w:color w:val="auto"/>
        </w:rPr>
      </w:pPr>
    </w:p>
    <w:p>
      <w:pPr>
        <w:ind w:left="1300" w:right="760" w:hanging="325"/>
        <w:spacing w:after="0" w:line="25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4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520" w:hanging="325"/>
        <w:spacing w:after="0" w:line="25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200" w:hanging="325"/>
        <w:spacing w:after="0" w:line="259"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June 2017, the FDA granted breakthrough therapy designation to avapritinib for the treatment of patients with unresectable or metastatic GIST harboring the PDGFRα D842V mutation, and in October 2018, the FDA granted breakthrough therapy designation to avapritinib for the treatment of advanced SM, including the subtypes of aggressive SM, SM with an associated hematologic neoplasm and mast cell leukemia.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6"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October 2016, the FDA granted fast track designation to avapritinib for (i) the treatment of patients with</w:t>
      </w:r>
    </w:p>
    <w:p>
      <w:pPr>
        <w:spacing w:after="0" w:line="229" w:lineRule="auto"/>
        <w:rPr>
          <w:sz w:val="20"/>
          <w:szCs w:val="20"/>
          <w:color w:val="auto"/>
        </w:rPr>
      </w:pPr>
      <w:r>
        <w:rPr>
          <w:rFonts w:ascii="Arial" w:cs="Arial" w:eastAsia="Arial" w:hAnsi="Arial"/>
          <w:sz w:val="16"/>
          <w:szCs w:val="16"/>
          <w:color w:val="auto"/>
        </w:rPr>
        <w:t>unresectable or metastatic GIST that progressed following treatment with imatinib and a second TKI and (ii) the treatment of</w:t>
      </w:r>
    </w:p>
    <w:p>
      <w:pPr>
        <w:spacing w:after="0" w:line="229" w:lineRule="auto"/>
        <w:rPr>
          <w:sz w:val="20"/>
          <w:szCs w:val="20"/>
          <w:color w:val="auto"/>
        </w:rPr>
      </w:pPr>
      <w:r>
        <w:rPr>
          <w:rFonts w:ascii="Arial" w:cs="Arial" w:eastAsia="Arial" w:hAnsi="Arial"/>
          <w:sz w:val="16"/>
          <w:szCs w:val="16"/>
          <w:color w:val="auto"/>
        </w:rPr>
        <w:t>patients with unresectable or metastatic GIST with the PDGFRα D842V mutation regardless of prior therapy. We may also</w:t>
      </w:r>
    </w:p>
    <w:p>
      <w:pPr>
        <w:spacing w:after="0" w:line="215" w:lineRule="auto"/>
        <w:rPr>
          <w:sz w:val="20"/>
          <w:szCs w:val="20"/>
          <w:color w:val="auto"/>
        </w:rPr>
      </w:pPr>
      <w:r>
        <w:rPr>
          <w:rFonts w:ascii="Arial" w:cs="Arial" w:eastAsia="Arial" w:hAnsi="Arial"/>
          <w:sz w:val="17"/>
          <w:szCs w:val="17"/>
          <w:color w:val="auto"/>
        </w:rPr>
        <w:t>seek fast track designation for some of our other drug candidates. If a drug is intended for the treatment of a serious or</w:t>
      </w:r>
    </w:p>
    <w:p>
      <w:pPr>
        <w:spacing w:after="0" w:line="176"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w:t>
      </w:r>
    </w:p>
    <w:p>
      <w:pPr>
        <w:spacing w:after="0" w:line="229" w:lineRule="auto"/>
        <w:rPr>
          <w:sz w:val="20"/>
          <w:szCs w:val="20"/>
          <w:color w:val="auto"/>
        </w:rPr>
      </w:pPr>
      <w:r>
        <w:rPr>
          <w:rFonts w:ascii="Arial" w:cs="Arial" w:eastAsia="Arial" w:hAnsi="Arial"/>
          <w:sz w:val="16"/>
          <w:szCs w:val="16"/>
          <w:color w:val="auto"/>
        </w:rPr>
        <w:t>sponsor may apply for fast track designation. The FDA has broad discretion whether or not to grant this designation, so even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if we believe a particular drug candidate is eligible for this designation, we cannot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12" w:lineRule="auto"/>
        <w:rPr>
          <w:sz w:val="20"/>
          <w:szCs w:val="20"/>
          <w:color w:val="auto"/>
        </w:rPr>
      </w:pPr>
      <w:r>
        <w:rPr>
          <w:rFonts w:ascii="Arial" w:cs="Arial" w:eastAsia="Arial" w:hAnsi="Arial"/>
          <w:sz w:val="18"/>
          <w:szCs w:val="18"/>
          <w:color w:val="auto"/>
        </w:rPr>
        <w:t>assure you that the FDA would decide to grant it. Even though 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5" w:lineRule="exact"/>
        <w:rPr>
          <w:sz w:val="20"/>
          <w:szCs w:val="20"/>
          <w:color w:val="auto"/>
        </w:rPr>
      </w:pPr>
    </w:p>
    <w:p>
      <w:pPr>
        <w:spacing w:after="0" w:line="189" w:lineRule="exact"/>
        <w:rPr>
          <w:sz w:val="20"/>
          <w:szCs w:val="20"/>
          <w:color w:val="auto"/>
        </w:rPr>
      </w:pPr>
      <w:r>
        <w:rPr>
          <w:rFonts w:ascii="Arial" w:cs="Arial" w:eastAsia="Arial" w:hAnsi="Arial"/>
          <w:sz w:val="18"/>
          <w:szCs w:val="18"/>
          <w:b w:val="1"/>
          <w:bCs w:val="1"/>
          <w:i w:val="1"/>
          <w:iCs w:val="1"/>
          <w:color w:val="auto"/>
        </w:rPr>
        <w:t>While we have received orphan drug designation for our most advanced drug candidates, avapritinib,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and BLU-667,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September 2015, the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in January 2016, the FDA granted orphan drug designation to avapritinib for the treatment of GIST and mastocytosis. In addition, in July 2017, the European Medicines Agency granted orphan drug designation to avapritinib for the treatment of GIST. In April 2018, the FDA granted orphan drug designation to BLU-667 for the treatment of RET-rearranged NSCLC, JAK1/2-positive NSCLC or TRKC-positive NSCLC.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9"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EMA’s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mastocytosis, BLU</w:t>
      </w:r>
      <w:r>
        <w:rPr>
          <w:rFonts w:ascii="MS PGothic" w:cs="MS PGothic" w:eastAsia="MS PGothic" w:hAnsi="MS PGothic"/>
          <w:sz w:val="17"/>
          <w:szCs w:val="17"/>
          <w:color w:val="auto"/>
        </w:rPr>
        <w:t>‑</w:t>
      </w:r>
      <w:r>
        <w:rPr>
          <w:rFonts w:ascii="Arial" w:cs="Arial" w:eastAsia="Arial" w:hAnsi="Arial"/>
          <w:sz w:val="17"/>
          <w:szCs w:val="17"/>
          <w:color w:val="auto"/>
        </w:rPr>
        <w:t>554 for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treatment of HCC and BLU-667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16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40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The precise incidence and/or prevalence for SM, GIST, HCC, RET-driven NSCLC, RET-driven MTC and fibrodysplasia ossificans progressive, or FOP,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 (i) 20,700 patients with SM, including 2,600 patients with advanced SM, 1,800 patients with SSM and 16,300 patients with ISM; (ii) 500 patients with PDGFRα D842V-driven GIST;</w:t>
      </w:r>
    </w:p>
    <w:p>
      <w:pPr>
        <w:spacing w:after="0" w:line="2" w:lineRule="exact"/>
        <w:rPr>
          <w:sz w:val="20"/>
          <w:szCs w:val="20"/>
          <w:color w:val="auto"/>
        </w:rPr>
      </w:pPr>
    </w:p>
    <w:p>
      <w:pPr>
        <w:jc w:val="both"/>
        <w:ind w:right="100" w:firstLine="3"/>
        <w:spacing w:after="0" w:line="218"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24,100 patients with GIST, including approximately 19,300 patients with KIT-driven GIST; (iv) 28,100 first and second line patients with FGFR4-activated HCC; (v) 10,200 patients with RET-driven NSCLC and approximately 780 patients with RET-driven MTC; and (vi) 1,100 patients with FOP.</w:t>
      </w:r>
    </w:p>
    <w:p>
      <w:pPr>
        <w:spacing w:after="0" w:line="163"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The total addressable market opportunity for avapritinib for the treatment of patients with GIST and SM,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patients with HCC, BLU</w:t>
      </w:r>
      <w:r>
        <w:rPr>
          <w:rFonts w:ascii="MS PGothic" w:cs="MS PGothic" w:eastAsia="MS PGothic" w:hAnsi="MS PGothic"/>
          <w:sz w:val="17"/>
          <w:szCs w:val="17"/>
          <w:color w:val="auto"/>
        </w:rPr>
        <w:t>‑</w:t>
      </w:r>
      <w:r>
        <w:rPr>
          <w:rFonts w:ascii="Arial" w:cs="Arial" w:eastAsia="Arial" w:hAnsi="Arial"/>
          <w:sz w:val="17"/>
          <w:szCs w:val="17"/>
          <w:color w:val="auto"/>
        </w:rPr>
        <w:t>667 for the treatment of patients with RET-driven NSCLC and RET-driven MTC or BLU-782 for the treatment of patients with FOP will ultimately depend upon, among other things, the diagnosis criteria included in the final label for each of avapritinib,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16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PDGFRα D842V 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Deciphera Pharmaceuticals, LLC and Plexxikon Inc., a wholly-owned subsidiary of Daiichi Sankyo Company, Limited. If BLU-554 receives marketing approval for patients with FGFR4-activated HCC, it will face competition from Bristol-Myers Squibb Company’s nivolumab, an immune checkpoint inhibitor, which was approved in September 2017 by the FDA for the treatment of HCC, as well as sorafenib, regorafenib and lenvatinib, multi-kinase inhibitors approved for the treatment of HCC. In addition, BLU-554 may face competition from other drug candidates in development by Abbisko Therapeutics Co., Ltd, AstraZeneca plc, Bayer AG, Celgene Corporation, Eisai Inc., H3 Biomedicine Inc., Incyte Corporation, Johnson &amp; Johnson, Merck &amp; Co., Inc., Novartis AG, Sanofi S.A., Taiho Pharmaceutical Co., Ltd., U3 Pharma GmbH, a wholly-owned subsidiary of Daiichi Sankyo Company, Limited, and Xoma Ltd. If BLU</w:t>
      </w:r>
      <w:r>
        <w:rPr>
          <w:rFonts w:ascii="MS PGothic" w:cs="MS PGothic" w:eastAsia="MS PGothic" w:hAnsi="MS PGothic"/>
          <w:sz w:val="17"/>
          <w:szCs w:val="17"/>
          <w:color w:val="auto"/>
        </w:rPr>
        <w:t>‑</w:t>
      </w:r>
      <w:r>
        <w:rPr>
          <w:rFonts w:ascii="Arial" w:cs="Arial" w:eastAsia="Arial" w:hAnsi="Arial"/>
          <w:sz w:val="17"/>
          <w:szCs w:val="17"/>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Boston Pharmaceuticals, Inc., Eisai Inc., Exelixis, Inc., GlaxoSmithKline plc, Loxo Oncology, Inc., Mirati Therapeutics, Inc., Novartis AG, Pfizer Inc. and Roche, as well as several approved multi-kinase inhibitors with RET activity being evaluated in clinical trials, including alectinib, apatinib, cabozantinib, dovitinib, lenvatinib, ponatinib, sorafenib, sunitinib and vandetinib. If BLU-782 receives marketing approval for FOP, it may face competition from drug candidates in development by BioCryst Pharmaceuticals, Inc., Clementia Pharmaceuticals Inc. and Regeneron Pharmaceuticals, Inc.</w:t>
      </w:r>
    </w:p>
    <w:p>
      <w:pPr>
        <w:spacing w:after="0" w:line="166"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avapritinib, BLU-554 and BLU-667,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3"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4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380" w:hanging="325"/>
        <w:spacing w:after="0" w:line="22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Any delay or failure by us or our collaborators to develop or obtain regulatory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 candidates, or experience delays in doing so:</w:t>
      </w:r>
    </w:p>
    <w:p>
      <w:pPr>
        <w:spacing w:after="0" w:line="163" w:lineRule="exact"/>
        <w:rPr>
          <w:sz w:val="20"/>
          <w:szCs w:val="20"/>
          <w:color w:val="auto"/>
        </w:rPr>
      </w:pPr>
    </w:p>
    <w:p>
      <w:pPr>
        <w:ind w:left="1300" w:right="14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7"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U.S. President Donald Trump and his administration have indicated that enacting changes to or repealing and replacing the Affordable Care Act is a legislative priority. While Congress has not passed repeal legislation to date, the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individuals, healthcare providers, health insurers, or manufacturers of pharmaceuticals or medical devices.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300" w:right="500" w:hanging="325"/>
        <w:spacing w:after="0" w:line="23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980" w:hanging="329"/>
        <w:spacing w:after="0" w:line="21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120" w:hanging="329"/>
        <w:spacing w:after="0" w:line="24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0" w:lineRule="exact"/>
        <w:rPr>
          <w:rFonts w:ascii="Arial" w:cs="Arial" w:eastAsia="Arial" w:hAnsi="Arial"/>
          <w:sz w:val="16"/>
          <w:szCs w:val="16"/>
          <w:color w:val="auto"/>
        </w:rPr>
      </w:pPr>
    </w:p>
    <w:p>
      <w:pPr>
        <w:ind w:left="980" w:right="100" w:hanging="329"/>
        <w:spacing w:after="0" w:line="232"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60"/>
        <w:spacing w:after="0" w:line="235" w:lineRule="auto"/>
        <w:rPr>
          <w:sz w:val="20"/>
          <w:szCs w:val="20"/>
          <w:color w:val="auto"/>
        </w:rPr>
      </w:pP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ind w:left="980" w:right="200" w:hanging="329"/>
        <w:spacing w:after="0" w:line="244"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rFonts w:ascii="Arial" w:cs="Arial" w:eastAsia="Arial" w:hAnsi="Arial"/>
          <w:sz w:val="16"/>
          <w:szCs w:val="16"/>
          <w:color w:val="auto"/>
        </w:rPr>
      </w:pPr>
    </w:p>
    <w:p>
      <w:pPr>
        <w:ind w:left="980" w:right="80" w:hanging="329"/>
        <w:spacing w:after="0" w:line="21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55" w:lineRule="exact"/>
        <w:rPr>
          <w:rFonts w:ascii="Arial" w:cs="Arial" w:eastAsia="Arial" w:hAnsi="Arial"/>
          <w:sz w:val="17"/>
          <w:szCs w:val="17"/>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addition, our collaborations with Roche and CStone,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progressive for convenience following a strategic review by Alexion of its research and development portfolio. Any termination or expiration of our collaboration agreements with Roche and CStone or any future collaboration agreement could adversely affect us financially or harm our business reputation.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jc w:val="both"/>
        <w:ind w:right="34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product and drug substance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product and drug substance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4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compounds, technology,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We own patents and patent applications that relate to avapritinib, BLU</w:t>
      </w:r>
      <w:r>
        <w:rPr>
          <w:rFonts w:ascii="MS PGothic" w:cs="MS PGothic" w:eastAsia="MS PGothic" w:hAnsi="MS PGothic"/>
          <w:sz w:val="18"/>
          <w:szCs w:val="18"/>
          <w:color w:val="auto"/>
        </w:rPr>
        <w:t>‑</w:t>
      </w:r>
      <w:r>
        <w:rPr>
          <w:rFonts w:ascii="Arial" w:cs="Arial" w:eastAsia="Arial" w:hAnsi="Arial"/>
          <w:sz w:val="18"/>
          <w:szCs w:val="18"/>
          <w:color w:val="auto"/>
        </w:rPr>
        <w:t>554, BLU-667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patent directed to avapritinib composition of matter has a statutory expiration date in 2034,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2034 and the issued patent directed to BLU-667 composition of matter has a statutory expiration date in 2036.</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As of October 15, 2018, we owned nine issued U.S. patents, three issued foreign patents, including one European patent validated in 38 countries, three pending U.S. non-provisional patent applications, one pending U.S. provisional patent application, 39 foreign patent applications and one pending Patent Cooperation Treaty, or PCT,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w:t>
      </w:r>
      <w:r>
        <w:rPr>
          <w:rFonts w:ascii="MS PGothic" w:cs="MS PGothic" w:eastAsia="MS PGothic" w:hAnsi="MS PGothic"/>
          <w:sz w:val="18"/>
          <w:szCs w:val="18"/>
          <w:color w:val="auto"/>
        </w:rPr>
        <w:t>‑</w:t>
      </w:r>
      <w:r>
        <w:rPr>
          <w:rFonts w:ascii="Arial" w:cs="Arial" w:eastAsia="Arial" w:hAnsi="Arial"/>
          <w:sz w:val="18"/>
          <w:szCs w:val="18"/>
          <w:color w:val="auto"/>
        </w:rPr>
        <w:t>U.S. patents issuing from the pending applications covering avapritinib will have a statutory expiration date between October 2034 and November 2038. Patent term adjustments or patent term extensions could result in later expiration dates.</w:t>
      </w:r>
    </w:p>
    <w:p>
      <w:pPr>
        <w:spacing w:after="0" w:line="166"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As of October 15, 2018, we owned six issued U.S. patents, two pending U.S. non-provisional patent applications, six issued foreign patents, 39 pending foreign patent applications and one pending PCT patent application directed to our FGFR4 program, including BLU-554.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w:t>
      </w:r>
      <w:r>
        <w:rPr>
          <w:rFonts w:ascii="MS PGothic" w:cs="MS PGothic" w:eastAsia="MS PGothic" w:hAnsi="MS PGothic"/>
          <w:sz w:val="17"/>
          <w:szCs w:val="17"/>
          <w:color w:val="auto"/>
        </w:rPr>
        <w:t>‑</w:t>
      </w:r>
      <w:r>
        <w:rPr>
          <w:rFonts w:ascii="Arial" w:cs="Arial" w:eastAsia="Arial" w:hAnsi="Arial"/>
          <w:sz w:val="17"/>
          <w:szCs w:val="17"/>
          <w:color w:val="auto"/>
        </w:rPr>
        <w:t>U.S. patent issuing from the pending applications covering BLU</w:t>
      </w:r>
      <w:r>
        <w:rPr>
          <w:rFonts w:ascii="MS PGothic" w:cs="MS PGothic" w:eastAsia="MS PGothic" w:hAnsi="MS PGothic"/>
          <w:sz w:val="17"/>
          <w:szCs w:val="17"/>
          <w:color w:val="auto"/>
        </w:rPr>
        <w:t>‑</w:t>
      </w:r>
      <w:r>
        <w:rPr>
          <w:rFonts w:ascii="Arial" w:cs="Arial" w:eastAsia="Arial" w:hAnsi="Arial"/>
          <w:sz w:val="17"/>
          <w:szCs w:val="17"/>
          <w:color w:val="auto"/>
        </w:rPr>
        <w:t>554 will have a statutory expiration date between July 2033 and September 2037. Patent term adjustments or patent term extensions could result in later expiration dates.</w:t>
      </w:r>
    </w:p>
    <w:p>
      <w:pPr>
        <w:spacing w:after="0" w:line="168"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As of October 15, 2018, we owned two issued U.S. patents, four pending U.S. non-provisional patent applications, three pending PCT applications, 27 pending foreign patent applications and six pending U.S. provisional patent applications directed to our RET program, including BLU-667. Our foreign patent filings are in a number of jurisdictions, including Argentina, Australia, Brazil, Canada, China, Chile, Ecuador, Eurasia, the European Union, Israel, India, Japan, Lebanon, Malaysia, Mexico, New Zealand, Philippines, Saudi Arabia, Singapore, South Africa, South Korea, Taiwan, Thailand, the United Arab Emirates and Uruguay. Any U.S. or ex-U.S. patent issuing from the pending applications covering BLU-667 will have a statutory expiration date between November 2036 and August 2039. Patent term adjustments or patent term extensions could result in later expiration dates.</w:t>
      </w:r>
    </w:p>
    <w:p>
      <w:pPr>
        <w:spacing w:after="0" w:line="168"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As of October 15, 2018, we owned one pending U.S. patent application, one pending U.S. provisional patent application, one pending PCT international application and seven pending foreign patent applications directed to our ALK2 program, including BLU-782, which, if issued, will have statutory expiration dates of April 2037 or October 2038.</w:t>
      </w:r>
    </w:p>
    <w:p>
      <w:pPr>
        <w:spacing w:after="0" w:line="161"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October 15, 2018, we owned ten pending U.S. patent applications and ten pending European Union patent applications directed to this technology, which, if issued, will have statutory expiration dates ranging from 2034 to 2035.</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w:t>
      </w:r>
      <w:r>
        <w:rPr>
          <w:rFonts w:ascii="MS PGothic" w:cs="MS PGothic" w:eastAsia="MS PGothic" w:hAnsi="MS PGothic"/>
          <w:sz w:val="16"/>
          <w:szCs w:val="16"/>
          <w:color w:val="auto"/>
        </w:rPr>
        <w:t>‑</w:t>
      </w:r>
      <w:r>
        <w:rPr>
          <w:rFonts w:ascii="Arial" w:cs="Arial" w:eastAsia="Arial" w:hAnsi="Arial"/>
          <w:sz w:val="16"/>
          <w:szCs w:val="16"/>
          <w:color w:val="auto"/>
        </w:rPr>
        <w:t>554, BLU-667, BLU-782 or our other drug candidates. In addition, the laws of foreign countries may not protect our rights to the same extent as the laws of the United States. Furthermore, patents have a limited lifespan. In the United States,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20" w:firstLine="648"/>
        <w:spacing w:after="0" w:line="259"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3" w:lineRule="exact"/>
        <w:rPr>
          <w:sz w:val="20"/>
          <w:szCs w:val="20"/>
          <w:color w:val="auto"/>
        </w:rPr>
      </w:pPr>
    </w:p>
    <w:p>
      <w:pPr>
        <w:ind w:right="300" w:firstLine="648"/>
        <w:spacing w:after="0" w:line="23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and method of treatment claims that may cover BLU </w:t>
      </w:r>
      <w:r>
        <w:rPr>
          <w:rFonts w:ascii="MS PGothic" w:cs="MS PGothic" w:eastAsia="MS PGothic" w:hAnsi="MS PGothic"/>
          <w:sz w:val="16"/>
          <w:szCs w:val="16"/>
          <w:color w:val="auto"/>
        </w:rPr>
        <w:t>‑</w:t>
      </w:r>
      <w:r>
        <w:rPr>
          <w:rFonts w:ascii="Arial" w:cs="Arial" w:eastAsia="Arial" w:hAnsi="Arial"/>
          <w:sz w:val="16"/>
          <w:szCs w:val="16"/>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hamper or prevent our ability to commercialize our drug candidates, which would have an adverse effect on our business, results of operations and financial condition.</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160" w:firstLine="648"/>
        <w:spacing w:after="0" w:line="234"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Business Officer, Michael Landsittel, our Vice President of Finance,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0"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As of October 15, 2018, we had 193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65"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5"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For example, the European Union Data Protection Directive 95/46/EC and the country-specific regulations that implement the directive currently impose strict obligations on the processing of personal data and the free movement of such data. Effective May 25, 2018, the current data protection laws of each European Union member state will be replaced by the General Data Protection Regulation 2016/679, or GDPR. The GDPR applies to any company established in the European Union as well as any company outside the European Union that collects and uses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will impose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66"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5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200" w:firstLine="648"/>
        <w:spacing w:after="0" w:line="225" w:lineRule="auto"/>
        <w:rPr>
          <w:sz w:val="20"/>
          <w:szCs w:val="20"/>
          <w:color w:val="auto"/>
        </w:rPr>
      </w:pPr>
      <w:r>
        <w:rPr>
          <w:rFonts w:ascii="Arial" w:cs="Arial" w:eastAsia="Arial" w:hAnsi="Arial"/>
          <w:sz w:val="17"/>
          <w:szCs w:val="17"/>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October 25, 2018. As a result of this volatility, our stockholders could incur substantial losses. In addition, the market price for our common stock may be influenced by many factors, including:</w:t>
      </w:r>
    </w:p>
    <w:p>
      <w:pPr>
        <w:spacing w:after="0" w:line="162" w:lineRule="exact"/>
        <w:rPr>
          <w:sz w:val="20"/>
          <w:szCs w:val="20"/>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96" w:lineRule="exact"/>
        <w:rPr>
          <w:rFonts w:ascii="Arial" w:cs="Arial" w:eastAsia="Arial" w:hAnsi="Arial"/>
          <w:sz w:val="17"/>
          <w:szCs w:val="17"/>
          <w:color w:val="auto"/>
        </w:rPr>
      </w:pPr>
    </w:p>
    <w:p>
      <w:pPr>
        <w:ind w:left="1300" w:right="1280" w:hanging="325"/>
        <w:spacing w:after="0" w:line="235"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540" w:firstLine="648"/>
        <w:spacing w:after="0" w:line="25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79"/>
        <w:spacing w:after="0" w:line="249" w:lineRule="auto"/>
        <w:rPr>
          <w:sz w:val="20"/>
          <w:szCs w:val="20"/>
          <w:color w:val="auto"/>
        </w:rPr>
      </w:pPr>
      <w:r>
        <w:rPr>
          <w:rFonts w:ascii="Arial" w:cs="Arial" w:eastAsia="Arial" w:hAnsi="Arial"/>
          <w:sz w:val="16"/>
          <w:szCs w:val="16"/>
          <w:color w:val="auto"/>
        </w:rPr>
        <w:t>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55" w:lineRule="exact"/>
        <w:rPr>
          <w:sz w:val="20"/>
          <w:szCs w:val="20"/>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1300" w:right="199" w:hanging="325"/>
        <w:spacing w:after="0" w:line="235"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62"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399"/>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Section 404 of the Sarbanes-Oxley Act of 2002, or Section 404, we are required to furnish an</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63"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2017, we had federal net operating loss carryforwards of approximately $288.6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gridSpan w:val="6"/>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60" w:type="dxa"/>
            <w:vAlign w:val="bottom"/>
            <w:tcBorders>
              <w:bottom w:val="single" w:sz="8" w:color="auto"/>
            </w:tcBorders>
            <w:gridSpan w:val="6"/>
          </w:tcPr>
          <w:p>
            <w:pPr>
              <w:ind w:left="3060"/>
              <w:spacing w:after="0"/>
              <w:rPr>
                <w:sz w:val="20"/>
                <w:szCs w:val="20"/>
                <w:color w:val="auto"/>
              </w:rPr>
            </w:pPr>
            <w:r>
              <w:rPr>
                <w:rFonts w:ascii="Arial" w:cs="Arial" w:eastAsia="Arial" w:hAnsi="Arial"/>
                <w:sz w:val="18"/>
                <w:szCs w:val="18"/>
                <w:b w:val="1"/>
                <w:bCs w:val="1"/>
                <w:color w:val="auto"/>
              </w:rPr>
              <w:t>Description of Exhibit</w:t>
            </w:r>
          </w:p>
        </w:tc>
      </w:tr>
      <w:tr>
        <w:trPr>
          <w:trHeight w:val="156"/>
        </w:trPr>
        <w:tc>
          <w:tcPr>
            <w:tcW w:w="880" w:type="dxa"/>
            <w:vAlign w:val="bottom"/>
          </w:tcPr>
          <w:p>
            <w:pPr>
              <w:spacing w:after="0" w:line="156"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gridSpan w:val="6"/>
          </w:tcPr>
          <w:p>
            <w:pPr>
              <w:spacing w:after="0" w:line="15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Certification of Principal Executive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82">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7880" w:type="dxa"/>
            <w:vAlign w:val="bottom"/>
            <w:gridSpan w:val="7"/>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Certification of Principal Financial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83">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7880" w:type="dxa"/>
            <w:vAlign w:val="bottom"/>
            <w:gridSpan w:val="7"/>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Certifications of Principal Executive Officer and Principal Financial Officer pursuant to 18 U.S.C. Section</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84">
              <w:r>
                <w:rPr>
                  <w:rFonts w:ascii="Arial" w:cs="Arial" w:eastAsia="Arial" w:hAnsi="Arial"/>
                  <w:sz w:val="18"/>
                  <w:szCs w:val="18"/>
                  <w:color w:val="0000EE"/>
                </w:rPr>
                <w:t>1350, as adopted pursuant to Section 906 of the Sarbanes-Oxley Act of 2002</w:t>
              </w:r>
            </w:hyperlink>
          </w:p>
        </w:tc>
        <w:tc>
          <w:tcPr>
            <w:tcW w:w="200" w:type="dxa"/>
            <w:vAlign w:val="bottom"/>
          </w:tcPr>
          <w:p>
            <w:pPr>
              <w:spacing w:after="0"/>
              <w:rPr>
                <w:sz w:val="13"/>
                <w:szCs w:val="13"/>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4"/>
          </w:tcPr>
          <w:p>
            <w:pPr>
              <w:spacing w:after="0"/>
              <w:rPr>
                <w:sz w:val="24"/>
                <w:szCs w:val="24"/>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440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39" w:hanging="197"/>
        <w:spacing w:after="0" w:line="219" w:lineRule="auto"/>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1" w:name="page82"/>
    <w:bookmarkEnd w:id="81"/>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40" w:hanging="641"/>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79" w:firstLine="639"/>
        <w:spacing w:after="0" w:line="224" w:lineRule="auto"/>
        <w:tabs>
          <w:tab w:leader="none" w:pos="14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0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0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219" w:firstLine="647"/>
        <w:spacing w:after="0" w:line="219" w:lineRule="auto"/>
        <w:tabs>
          <w:tab w:leader="none" w:pos="20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99" w:firstLine="639"/>
        <w:spacing w:after="0" w:line="224" w:lineRule="auto"/>
        <w:tabs>
          <w:tab w:leader="none" w:pos="14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159" w:firstLine="647"/>
        <w:spacing w:after="0" w:line="235" w:lineRule="auto"/>
        <w:tabs>
          <w:tab w:leader="none" w:pos="20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2" w:name="page83"/>
    <w:bookmarkEnd w:id="82"/>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40" w:hanging="641"/>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79" w:firstLine="639"/>
        <w:spacing w:after="0" w:line="224" w:lineRule="auto"/>
        <w:tabs>
          <w:tab w:leader="none" w:pos="14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0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0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219" w:firstLine="647"/>
        <w:spacing w:after="0" w:line="219" w:lineRule="auto"/>
        <w:tabs>
          <w:tab w:leader="none" w:pos="20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99" w:firstLine="639"/>
        <w:spacing w:after="0" w:line="224" w:lineRule="auto"/>
        <w:tabs>
          <w:tab w:leader="none" w:pos="14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159" w:firstLine="647"/>
        <w:spacing w:after="0" w:line="235" w:lineRule="auto"/>
        <w:tabs>
          <w:tab w:leader="none" w:pos="20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3" w:name="page84"/>
    <w:bookmarkEnd w:id="83"/>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jc w:val="both"/>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September 30, 2018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Vice President of Finance</w:t>
      </w:r>
    </w:p>
    <w:p>
      <w:pPr>
        <w:ind w:left="4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lowerRoman"/>
      <w:start w:val="3"/>
    </w:lvl>
  </w:abstractNum>
  <w:abstractNum w:abstractNumId="9">
    <w:nsid w:val="8138641"/>
    <w:multiLevelType w:val="hybridMultilevel"/>
    <w:lvl w:ilvl="0">
      <w:lvlJc w:val="left"/>
      <w:lvlText w:val="%1."/>
      <w:numFmt w:val="decimal"/>
      <w:start w:val="606"/>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Roman"/>
      <w:start w:val="3"/>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2019-12-28T18:23:47Z</dcterms:created>
  <dcterms:modified xsi:type="dcterms:W3CDTF">2019-12-28T18:23:47Z</dcterms:modified>
</cp:coreProperties>
</file>