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29, 2015</w:t>
      </w:r>
    </w:p>
    <w:p>
      <w:pPr>
        <w:spacing w:after="0" w:line="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125730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BLUEPRINT MEDICINES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4"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820" w:type="dxa"/>
            <w:vAlign w:val="bottom"/>
          </w:tcPr>
          <w:p>
            <w:pPr>
              <w:jc w:val="center"/>
              <w:ind w:right="1048"/>
              <w:spacing w:after="0"/>
              <w:rPr>
                <w:sz w:val="20"/>
                <w:szCs w:val="20"/>
                <w:color w:val="auto"/>
              </w:rPr>
            </w:pPr>
            <w:r>
              <w:rPr>
                <w:rFonts w:ascii="Arial" w:cs="Arial" w:eastAsia="Arial" w:hAnsi="Arial"/>
                <w:sz w:val="14"/>
                <w:szCs w:val="14"/>
                <w:b w:val="1"/>
                <w:bCs w:val="1"/>
                <w:color w:val="auto"/>
                <w:w w:val="94"/>
              </w:rPr>
              <w:t>Delaware</w:t>
            </w:r>
          </w:p>
        </w:tc>
        <w:tc>
          <w:tcPr>
            <w:tcW w:w="402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2834</w:t>
            </w:r>
          </w:p>
        </w:tc>
        <w:tc>
          <w:tcPr>
            <w:tcW w:w="2320" w:type="dxa"/>
            <w:vAlign w:val="bottom"/>
          </w:tcPr>
          <w:p>
            <w:pPr>
              <w:jc w:val="center"/>
              <w:ind w:left="1148"/>
              <w:spacing w:after="0"/>
              <w:rPr>
                <w:sz w:val="20"/>
                <w:szCs w:val="20"/>
                <w:color w:val="auto"/>
              </w:rPr>
            </w:pPr>
            <w:r>
              <w:rPr>
                <w:rFonts w:ascii="Arial" w:cs="Arial" w:eastAsia="Arial" w:hAnsi="Arial"/>
                <w:sz w:val="14"/>
                <w:szCs w:val="14"/>
                <w:b w:val="1"/>
                <w:bCs w:val="1"/>
                <w:color w:val="auto"/>
                <w:w w:val="93"/>
              </w:rPr>
              <w:t>26-3632015</w:t>
            </w:r>
          </w:p>
        </w:tc>
      </w:tr>
      <w:tr>
        <w:trPr>
          <w:trHeight w:val="149"/>
        </w:trPr>
        <w:tc>
          <w:tcPr>
            <w:tcW w:w="2820" w:type="dxa"/>
            <w:vAlign w:val="bottom"/>
          </w:tcPr>
          <w:p>
            <w:pPr>
              <w:jc w:val="center"/>
              <w:ind w:right="1028"/>
              <w:spacing w:after="0" w:line="149" w:lineRule="exact"/>
              <w:rPr>
                <w:sz w:val="20"/>
                <w:szCs w:val="20"/>
                <w:color w:val="auto"/>
              </w:rPr>
            </w:pPr>
            <w:r>
              <w:rPr>
                <w:rFonts w:ascii="Arial" w:cs="Arial" w:eastAsia="Arial" w:hAnsi="Arial"/>
                <w:sz w:val="14"/>
                <w:szCs w:val="14"/>
                <w:color w:val="auto"/>
                <w:w w:val="95"/>
              </w:rPr>
              <w:t>(State or other jurisdiction of</w:t>
            </w:r>
          </w:p>
        </w:tc>
        <w:tc>
          <w:tcPr>
            <w:tcW w:w="402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5"/>
              </w:rPr>
              <w:t>(Primary Standard Industrial</w:t>
            </w:r>
          </w:p>
        </w:tc>
        <w:tc>
          <w:tcPr>
            <w:tcW w:w="2320" w:type="dxa"/>
            <w:vAlign w:val="bottom"/>
          </w:tcPr>
          <w:p>
            <w:pPr>
              <w:jc w:val="center"/>
              <w:ind w:left="114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820" w:type="dxa"/>
            <w:vAlign w:val="bottom"/>
          </w:tcPr>
          <w:p>
            <w:pPr>
              <w:jc w:val="center"/>
              <w:ind w:right="1028"/>
              <w:spacing w:after="0"/>
              <w:rPr>
                <w:sz w:val="20"/>
                <w:szCs w:val="20"/>
                <w:color w:val="auto"/>
              </w:rPr>
            </w:pPr>
            <w:r>
              <w:rPr>
                <w:rFonts w:ascii="Arial" w:cs="Arial" w:eastAsia="Arial" w:hAnsi="Arial"/>
                <w:sz w:val="14"/>
                <w:szCs w:val="14"/>
                <w:color w:val="auto"/>
                <w:w w:val="94"/>
              </w:rPr>
              <w:t>incorporation or organization)</w:t>
            </w:r>
          </w:p>
        </w:tc>
        <w:tc>
          <w:tcPr>
            <w:tcW w:w="4020" w:type="dxa"/>
            <w:vAlign w:val="bottom"/>
          </w:tcPr>
          <w:p>
            <w:pPr>
              <w:jc w:val="center"/>
              <w:ind w:right="88"/>
              <w:spacing w:after="0"/>
              <w:rPr>
                <w:sz w:val="20"/>
                <w:szCs w:val="20"/>
                <w:color w:val="auto"/>
              </w:rPr>
            </w:pPr>
            <w:r>
              <w:rPr>
                <w:rFonts w:ascii="Arial" w:cs="Arial" w:eastAsia="Arial" w:hAnsi="Arial"/>
                <w:sz w:val="14"/>
                <w:szCs w:val="14"/>
                <w:color w:val="auto"/>
                <w:w w:val="95"/>
              </w:rPr>
              <w:t>Classification Code Number)</w:t>
            </w:r>
          </w:p>
        </w:tc>
        <w:tc>
          <w:tcPr>
            <w:tcW w:w="2320" w:type="dxa"/>
            <w:vAlign w:val="bottom"/>
          </w:tcPr>
          <w:p>
            <w:pPr>
              <w:jc w:val="center"/>
              <w:ind w:left="1168"/>
              <w:spacing w:after="0"/>
              <w:rPr>
                <w:sz w:val="20"/>
                <w:szCs w:val="20"/>
                <w:color w:val="auto"/>
              </w:rPr>
            </w:pPr>
            <w:r>
              <w:rPr>
                <w:rFonts w:ascii="Arial" w:cs="Arial" w:eastAsia="Arial" w:hAnsi="Arial"/>
                <w:sz w:val="14"/>
                <w:szCs w:val="14"/>
                <w:color w:val="auto"/>
                <w:w w:val="9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110490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215 First Street</w:t>
      </w:r>
    </w:p>
    <w:p>
      <w:pPr>
        <w:jc w:val="center"/>
        <w:spacing w:after="0" w:line="226" w:lineRule="auto"/>
        <w:rPr>
          <w:sz w:val="20"/>
          <w:szCs w:val="20"/>
          <w:color w:val="auto"/>
        </w:rPr>
      </w:pPr>
      <w:r>
        <w:rPr>
          <w:rFonts w:ascii="Arial" w:cs="Arial" w:eastAsia="Arial" w:hAnsi="Arial"/>
          <w:sz w:val="14"/>
          <w:szCs w:val="14"/>
          <w:b w:val="1"/>
          <w:bCs w:val="1"/>
          <w:color w:val="auto"/>
        </w:rPr>
        <w:t>Cambridge, Massachusetts 02142</w:t>
      </w:r>
    </w:p>
    <w:p>
      <w:pPr>
        <w:jc w:val="center"/>
        <w:spacing w:after="0" w:line="222" w:lineRule="auto"/>
        <w:rPr>
          <w:sz w:val="20"/>
          <w:szCs w:val="20"/>
          <w:color w:val="auto"/>
        </w:rPr>
      </w:pPr>
      <w:r>
        <w:rPr>
          <w:rFonts w:ascii="Arial" w:cs="Arial" w:eastAsia="Arial" w:hAnsi="Arial"/>
          <w:sz w:val="14"/>
          <w:szCs w:val="14"/>
          <w:b w:val="1"/>
          <w:bCs w:val="1"/>
          <w:color w:val="auto"/>
        </w:rPr>
        <w:t>(617) 622-4003</w:t>
      </w:r>
    </w:p>
    <w:p>
      <w:pPr>
        <w:jc w:val="center"/>
        <w:spacing w:after="0" w:line="221" w:lineRule="auto"/>
        <w:rPr>
          <w:sz w:val="20"/>
          <w:szCs w:val="20"/>
          <w:color w:val="auto"/>
        </w:rPr>
      </w:pPr>
      <w:r>
        <w:rPr>
          <w:rFonts w:ascii="Arial" w:cs="Arial" w:eastAsia="Arial" w:hAnsi="Arial"/>
          <w:sz w:val="14"/>
          <w:szCs w:val="14"/>
          <w:color w:val="auto"/>
        </w:rPr>
        <w:t>(Address, including zip code, and telephone number, including area code, of registrant’s principal executive</w:t>
      </w:r>
    </w:p>
    <w:p>
      <w:pPr>
        <w:jc w:val="center"/>
        <w:spacing w:after="0"/>
        <w:rPr>
          <w:sz w:val="20"/>
          <w:szCs w:val="20"/>
          <w:color w:val="auto"/>
        </w:rPr>
      </w:pPr>
      <w:r>
        <w:rPr>
          <w:rFonts w:ascii="Arial" w:cs="Arial" w:eastAsia="Arial" w:hAnsi="Arial"/>
          <w:sz w:val="14"/>
          <w:szCs w:val="14"/>
          <w:color w:val="auto"/>
        </w:rPr>
        <w:t>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Jeffrey W. Albers</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Blueprint Medicines Corporation</w:t>
      </w:r>
    </w:p>
    <w:p>
      <w:pPr>
        <w:jc w:val="center"/>
        <w:spacing w:after="0" w:line="221" w:lineRule="auto"/>
        <w:rPr>
          <w:sz w:val="20"/>
          <w:szCs w:val="20"/>
          <w:color w:val="auto"/>
        </w:rPr>
      </w:pPr>
      <w:r>
        <w:rPr>
          <w:rFonts w:ascii="Arial" w:cs="Arial" w:eastAsia="Arial" w:hAnsi="Arial"/>
          <w:sz w:val="14"/>
          <w:szCs w:val="14"/>
          <w:b w:val="1"/>
          <w:bCs w:val="1"/>
          <w:color w:val="auto"/>
        </w:rPr>
        <w:t>215 First Street</w:t>
      </w:r>
    </w:p>
    <w:p>
      <w:pPr>
        <w:jc w:val="center"/>
        <w:spacing w:after="0" w:line="222" w:lineRule="auto"/>
        <w:rPr>
          <w:sz w:val="20"/>
          <w:szCs w:val="20"/>
          <w:color w:val="auto"/>
        </w:rPr>
      </w:pPr>
      <w:r>
        <w:rPr>
          <w:rFonts w:ascii="Arial" w:cs="Arial" w:eastAsia="Arial" w:hAnsi="Arial"/>
          <w:sz w:val="14"/>
          <w:szCs w:val="14"/>
          <w:b w:val="1"/>
          <w:bCs w:val="1"/>
          <w:color w:val="auto"/>
        </w:rPr>
        <w:t>Cambridge, MA 02142</w:t>
      </w:r>
    </w:p>
    <w:p>
      <w:pPr>
        <w:jc w:val="center"/>
        <w:spacing w:after="0" w:line="221" w:lineRule="auto"/>
        <w:rPr>
          <w:sz w:val="20"/>
          <w:szCs w:val="20"/>
          <w:color w:val="auto"/>
        </w:rPr>
      </w:pPr>
      <w:r>
        <w:rPr>
          <w:rFonts w:ascii="Arial" w:cs="Arial" w:eastAsia="Arial" w:hAnsi="Arial"/>
          <w:sz w:val="14"/>
          <w:szCs w:val="14"/>
          <w:b w:val="1"/>
          <w:bCs w:val="1"/>
          <w:color w:val="auto"/>
        </w:rPr>
        <w:t>(617) 374-7580</w:t>
      </w:r>
    </w:p>
    <w:p>
      <w:pPr>
        <w:jc w:val="center"/>
        <w:spacing w:after="0" w:line="222" w:lineRule="auto"/>
        <w:rPr>
          <w:sz w:val="20"/>
          <w:szCs w:val="20"/>
          <w:color w:val="auto"/>
        </w:rPr>
      </w:pPr>
      <w:r>
        <w:rPr>
          <w:rFonts w:ascii="Arial" w:cs="Arial" w:eastAsia="Arial" w:hAnsi="Arial"/>
          <w:sz w:val="14"/>
          <w:szCs w:val="14"/>
          <w:color w:val="auto"/>
        </w:rPr>
        <w:t>(Name, address, including zip code, and telephone number, including</w:t>
      </w:r>
    </w:p>
    <w:p>
      <w:pPr>
        <w:jc w:val="center"/>
        <w:spacing w:after="0"/>
        <w:rPr>
          <w:sz w:val="20"/>
          <w:szCs w:val="20"/>
          <w:color w:val="auto"/>
        </w:rPr>
      </w:pPr>
      <w:r>
        <w:rPr>
          <w:rFonts w:ascii="Arial" w:cs="Arial" w:eastAsia="Arial" w:hAnsi="Arial"/>
          <w:sz w:val="14"/>
          <w:szCs w:val="14"/>
          <w:color w:val="auto"/>
        </w:rPr>
        <w:t>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3" w:lineRule="exact"/>
        <w:rPr>
          <w:sz w:val="24"/>
          <w:szCs w:val="24"/>
          <w:color w:val="auto"/>
        </w:rPr>
      </w:pPr>
    </w:p>
    <w:tbl>
      <w:tblPr>
        <w:tblLayout w:type="fixed"/>
        <w:tblInd w:w="196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4780" w:type="dxa"/>
            <w:vAlign w:val="bottom"/>
          </w:tcPr>
          <w:p>
            <w:pPr>
              <w:ind w:left="860"/>
              <w:spacing w:after="0"/>
              <w:rPr>
                <w:sz w:val="20"/>
                <w:szCs w:val="20"/>
                <w:color w:val="auto"/>
              </w:rPr>
            </w:pPr>
            <w:r>
              <w:rPr>
                <w:rFonts w:ascii="Arial" w:cs="Arial" w:eastAsia="Arial" w:hAnsi="Arial"/>
                <w:sz w:val="14"/>
                <w:szCs w:val="14"/>
                <w:b w:val="1"/>
                <w:bCs w:val="1"/>
                <w:color w:val="auto"/>
              </w:rPr>
              <w:t>Copies to:</w:t>
            </w:r>
          </w:p>
        </w:tc>
      </w:tr>
      <w:tr>
        <w:trPr>
          <w:trHeight w:val="192"/>
        </w:trPr>
        <w:tc>
          <w:tcPr>
            <w:tcW w:w="2580" w:type="dxa"/>
            <w:vAlign w:val="bottom"/>
          </w:tcPr>
          <w:p>
            <w:pPr>
              <w:jc w:val="center"/>
              <w:ind w:right="808"/>
              <w:spacing w:after="0"/>
              <w:rPr>
                <w:sz w:val="20"/>
                <w:szCs w:val="20"/>
                <w:color w:val="auto"/>
              </w:rPr>
            </w:pPr>
            <w:r>
              <w:rPr>
                <w:rFonts w:ascii="Arial" w:cs="Arial" w:eastAsia="Arial" w:hAnsi="Arial"/>
                <w:sz w:val="14"/>
                <w:szCs w:val="14"/>
                <w:b w:val="1"/>
                <w:bCs w:val="1"/>
                <w:color w:val="auto"/>
                <w:w w:val="93"/>
              </w:rPr>
              <w:t>Kingsley L. Taft</w:t>
            </w:r>
          </w:p>
        </w:tc>
        <w:tc>
          <w:tcPr>
            <w:tcW w:w="4780" w:type="dxa"/>
            <w:vAlign w:val="bottom"/>
          </w:tcPr>
          <w:p>
            <w:pPr>
              <w:jc w:val="center"/>
              <w:ind w:left="3308"/>
              <w:spacing w:after="0"/>
              <w:rPr>
                <w:sz w:val="20"/>
                <w:szCs w:val="20"/>
                <w:color w:val="auto"/>
              </w:rPr>
            </w:pPr>
            <w:r>
              <w:rPr>
                <w:rFonts w:ascii="Arial" w:cs="Arial" w:eastAsia="Arial" w:hAnsi="Arial"/>
                <w:sz w:val="14"/>
                <w:szCs w:val="14"/>
                <w:b w:val="1"/>
                <w:bCs w:val="1"/>
                <w:color w:val="auto"/>
                <w:w w:val="95"/>
              </w:rPr>
              <w:t>Peter N. Handrinos</w:t>
            </w:r>
          </w:p>
        </w:tc>
      </w:tr>
      <w:tr>
        <w:trPr>
          <w:trHeight w:val="149"/>
        </w:trPr>
        <w:tc>
          <w:tcPr>
            <w:tcW w:w="25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5"/>
              </w:rPr>
              <w:t>Michael J. Minahan</w:t>
            </w:r>
          </w:p>
        </w:tc>
        <w:tc>
          <w:tcPr>
            <w:tcW w:w="4780" w:type="dxa"/>
            <w:vAlign w:val="bottom"/>
          </w:tcPr>
          <w:p>
            <w:pPr>
              <w:jc w:val="center"/>
              <w:ind w:left="3308"/>
              <w:spacing w:after="0" w:line="149" w:lineRule="exact"/>
              <w:rPr>
                <w:sz w:val="20"/>
                <w:szCs w:val="20"/>
                <w:color w:val="auto"/>
              </w:rPr>
            </w:pPr>
            <w:r>
              <w:rPr>
                <w:rFonts w:ascii="Arial" w:cs="Arial" w:eastAsia="Arial" w:hAnsi="Arial"/>
                <w:sz w:val="14"/>
                <w:szCs w:val="14"/>
                <w:b w:val="1"/>
                <w:bCs w:val="1"/>
                <w:color w:val="auto"/>
                <w:w w:val="96"/>
              </w:rPr>
              <w:t>Ryan K. deFord</w:t>
            </w:r>
          </w:p>
        </w:tc>
      </w:tr>
      <w:tr>
        <w:trPr>
          <w:trHeight w:val="153"/>
        </w:trPr>
        <w:tc>
          <w:tcPr>
            <w:tcW w:w="2580" w:type="dxa"/>
            <w:vAlign w:val="bottom"/>
          </w:tcPr>
          <w:p>
            <w:pPr>
              <w:jc w:val="center"/>
              <w:ind w:right="808"/>
              <w:spacing w:after="0" w:line="153" w:lineRule="exact"/>
              <w:rPr>
                <w:sz w:val="20"/>
                <w:szCs w:val="20"/>
                <w:color w:val="auto"/>
              </w:rPr>
            </w:pPr>
            <w:r>
              <w:rPr>
                <w:rFonts w:ascii="Arial" w:cs="Arial" w:eastAsia="Arial" w:hAnsi="Arial"/>
                <w:sz w:val="14"/>
                <w:szCs w:val="14"/>
                <w:b w:val="1"/>
                <w:bCs w:val="1"/>
                <w:color w:val="auto"/>
                <w:w w:val="95"/>
              </w:rPr>
              <w:t>Laurie A. Burlingame</w:t>
            </w:r>
          </w:p>
        </w:tc>
        <w:tc>
          <w:tcPr>
            <w:tcW w:w="4780" w:type="dxa"/>
            <w:vAlign w:val="bottom"/>
          </w:tcPr>
          <w:p>
            <w:pPr>
              <w:jc w:val="center"/>
              <w:ind w:left="3328"/>
              <w:spacing w:after="0" w:line="153" w:lineRule="exact"/>
              <w:rPr>
                <w:sz w:val="20"/>
                <w:szCs w:val="20"/>
                <w:color w:val="auto"/>
              </w:rPr>
            </w:pPr>
            <w:r>
              <w:rPr>
                <w:rFonts w:ascii="Arial" w:cs="Arial" w:eastAsia="Arial" w:hAnsi="Arial"/>
                <w:sz w:val="14"/>
                <w:szCs w:val="14"/>
                <w:color w:val="auto"/>
                <w:w w:val="96"/>
              </w:rPr>
              <w:t>Latham &amp; Watkins LLP</w:t>
            </w:r>
          </w:p>
        </w:tc>
      </w:tr>
      <w:tr>
        <w:trPr>
          <w:trHeight w:val="149"/>
        </w:trPr>
        <w:tc>
          <w:tcPr>
            <w:tcW w:w="2580" w:type="dxa"/>
            <w:vAlign w:val="bottom"/>
          </w:tcPr>
          <w:p>
            <w:pPr>
              <w:jc w:val="center"/>
              <w:ind w:right="808"/>
              <w:spacing w:after="0" w:line="149" w:lineRule="exact"/>
              <w:rPr>
                <w:sz w:val="20"/>
                <w:szCs w:val="20"/>
                <w:color w:val="auto"/>
              </w:rPr>
            </w:pPr>
            <w:r>
              <w:rPr>
                <w:rFonts w:ascii="Arial" w:cs="Arial" w:eastAsia="Arial" w:hAnsi="Arial"/>
                <w:sz w:val="14"/>
                <w:szCs w:val="14"/>
                <w:color w:val="auto"/>
                <w:w w:val="94"/>
              </w:rPr>
              <w:t>Goodwin Procter LLP</w:t>
            </w:r>
          </w:p>
        </w:tc>
        <w:tc>
          <w:tcPr>
            <w:tcW w:w="4780" w:type="dxa"/>
            <w:vAlign w:val="bottom"/>
          </w:tcPr>
          <w:p>
            <w:pPr>
              <w:jc w:val="center"/>
              <w:ind w:left="3328"/>
              <w:spacing w:after="0" w:line="149" w:lineRule="exact"/>
              <w:rPr>
                <w:sz w:val="20"/>
                <w:szCs w:val="20"/>
                <w:color w:val="auto"/>
              </w:rPr>
            </w:pPr>
            <w:r>
              <w:rPr>
                <w:rFonts w:ascii="Arial" w:cs="Arial" w:eastAsia="Arial" w:hAnsi="Arial"/>
                <w:sz w:val="14"/>
                <w:szCs w:val="14"/>
                <w:color w:val="auto"/>
                <w:w w:val="92"/>
              </w:rPr>
              <w:t>John Hancock Tower</w:t>
            </w:r>
          </w:p>
        </w:tc>
      </w:tr>
      <w:tr>
        <w:trPr>
          <w:trHeight w:val="149"/>
        </w:trPr>
        <w:tc>
          <w:tcPr>
            <w:tcW w:w="2580" w:type="dxa"/>
            <w:vAlign w:val="bottom"/>
          </w:tcPr>
          <w:p>
            <w:pPr>
              <w:jc w:val="center"/>
              <w:ind w:right="808"/>
              <w:spacing w:after="0" w:line="149" w:lineRule="exact"/>
              <w:rPr>
                <w:sz w:val="20"/>
                <w:szCs w:val="20"/>
                <w:color w:val="auto"/>
              </w:rPr>
            </w:pPr>
            <w:r>
              <w:rPr>
                <w:rFonts w:ascii="Arial" w:cs="Arial" w:eastAsia="Arial" w:hAnsi="Arial"/>
                <w:sz w:val="14"/>
                <w:szCs w:val="14"/>
                <w:color w:val="auto"/>
                <w:w w:val="88"/>
              </w:rPr>
              <w:t>Exchange Place</w:t>
            </w:r>
          </w:p>
        </w:tc>
        <w:tc>
          <w:tcPr>
            <w:tcW w:w="4780" w:type="dxa"/>
            <w:vAlign w:val="bottom"/>
          </w:tcPr>
          <w:p>
            <w:pPr>
              <w:jc w:val="center"/>
              <w:ind w:left="3328"/>
              <w:spacing w:after="0" w:line="149" w:lineRule="exact"/>
              <w:rPr>
                <w:sz w:val="20"/>
                <w:szCs w:val="20"/>
                <w:color w:val="auto"/>
              </w:rPr>
            </w:pPr>
            <w:r>
              <w:rPr>
                <w:rFonts w:ascii="Arial" w:cs="Arial" w:eastAsia="Arial" w:hAnsi="Arial"/>
                <w:sz w:val="14"/>
                <w:szCs w:val="14"/>
                <w:color w:val="auto"/>
                <w:w w:val="91"/>
              </w:rPr>
              <w:t>200 Clarendon Street</w:t>
            </w:r>
          </w:p>
        </w:tc>
      </w:tr>
      <w:tr>
        <w:trPr>
          <w:trHeight w:val="149"/>
        </w:trPr>
        <w:tc>
          <w:tcPr>
            <w:tcW w:w="2580" w:type="dxa"/>
            <w:vAlign w:val="bottom"/>
          </w:tcPr>
          <w:p>
            <w:pPr>
              <w:jc w:val="center"/>
              <w:ind w:right="808"/>
              <w:spacing w:after="0" w:line="149" w:lineRule="exact"/>
              <w:rPr>
                <w:sz w:val="20"/>
                <w:szCs w:val="20"/>
                <w:color w:val="auto"/>
              </w:rPr>
            </w:pPr>
            <w:r>
              <w:rPr>
                <w:rFonts w:ascii="Arial" w:cs="Arial" w:eastAsia="Arial" w:hAnsi="Arial"/>
                <w:sz w:val="14"/>
                <w:szCs w:val="14"/>
                <w:color w:val="auto"/>
                <w:w w:val="90"/>
              </w:rPr>
              <w:t>Boston, Massachusetts 02109</w:t>
            </w:r>
          </w:p>
        </w:tc>
        <w:tc>
          <w:tcPr>
            <w:tcW w:w="4780" w:type="dxa"/>
            <w:vAlign w:val="bottom"/>
          </w:tcPr>
          <w:p>
            <w:pPr>
              <w:jc w:val="center"/>
              <w:ind w:left="3328"/>
              <w:spacing w:after="0" w:line="149" w:lineRule="exact"/>
              <w:rPr>
                <w:sz w:val="20"/>
                <w:szCs w:val="20"/>
                <w:color w:val="auto"/>
              </w:rPr>
            </w:pPr>
            <w:r>
              <w:rPr>
                <w:rFonts w:ascii="Arial" w:cs="Arial" w:eastAsia="Arial" w:hAnsi="Arial"/>
                <w:sz w:val="14"/>
                <w:szCs w:val="14"/>
                <w:color w:val="auto"/>
                <w:w w:val="95"/>
              </w:rPr>
              <w:t>Boston, MA 02116</w:t>
            </w:r>
          </w:p>
        </w:tc>
      </w:tr>
      <w:tr>
        <w:trPr>
          <w:trHeight w:val="182"/>
        </w:trPr>
        <w:tc>
          <w:tcPr>
            <w:tcW w:w="2580" w:type="dxa"/>
            <w:vAlign w:val="bottom"/>
          </w:tcPr>
          <w:p>
            <w:pPr>
              <w:jc w:val="center"/>
              <w:ind w:right="808"/>
              <w:spacing w:after="0"/>
              <w:rPr>
                <w:sz w:val="20"/>
                <w:szCs w:val="20"/>
                <w:color w:val="auto"/>
              </w:rPr>
            </w:pPr>
            <w:r>
              <w:rPr>
                <w:rFonts w:ascii="Arial" w:cs="Arial" w:eastAsia="Arial" w:hAnsi="Arial"/>
                <w:sz w:val="14"/>
                <w:szCs w:val="14"/>
                <w:color w:val="auto"/>
                <w:w w:val="93"/>
              </w:rPr>
              <w:t>(617) 570-1000</w:t>
            </w:r>
          </w:p>
        </w:tc>
        <w:tc>
          <w:tcPr>
            <w:tcW w:w="4780" w:type="dxa"/>
            <w:vAlign w:val="bottom"/>
          </w:tcPr>
          <w:p>
            <w:pPr>
              <w:jc w:val="center"/>
              <w:ind w:left="3328"/>
              <w:spacing w:after="0"/>
              <w:rPr>
                <w:sz w:val="20"/>
                <w:szCs w:val="20"/>
                <w:color w:val="auto"/>
              </w:rPr>
            </w:pPr>
            <w:r>
              <w:rPr>
                <w:rFonts w:ascii="Arial" w:cs="Arial" w:eastAsia="Arial" w:hAnsi="Arial"/>
                <w:sz w:val="14"/>
                <w:szCs w:val="14"/>
                <w:color w:val="auto"/>
                <w:w w:val="93"/>
              </w:rPr>
              <w:t>(617) 948-6000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110490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w:t>
      </w:r>
      <w:r>
        <w:rPr>
          <w:rFonts w:ascii="Arial" w:cs="Arial" w:eastAsia="Arial" w:hAnsi="Arial"/>
          <w:sz w:val="14"/>
          <w:szCs w:val="14"/>
          <w:b w:val="1"/>
          <w:bCs w:val="1"/>
          <w:color w:val="auto"/>
        </w:rPr>
        <w:t xml:space="preserve"> As soon as practicable after this registration statement becomes effective.</w:t>
      </w:r>
    </w:p>
    <w:p>
      <w:pPr>
        <w:spacing w:after="0" w:line="73" w:lineRule="exact"/>
        <w:rPr>
          <w:sz w:val="24"/>
          <w:szCs w:val="24"/>
          <w:color w:val="auto"/>
        </w:rPr>
      </w:pPr>
    </w:p>
    <w:p>
      <w:pPr>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80" w:lineRule="exact"/>
        <w:rPr>
          <w:sz w:val="24"/>
          <w:szCs w:val="24"/>
          <w:color w:val="auto"/>
        </w:rPr>
      </w:pPr>
    </w:p>
    <w:p>
      <w:pPr>
        <w:ind w:right="40"/>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x 333-202938</w:t>
      </w:r>
    </w:p>
    <w:p>
      <w:pPr>
        <w:spacing w:after="0" w:line="39"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39" w:lineRule="exact"/>
        <w:rPr>
          <w:sz w:val="24"/>
          <w:szCs w:val="24"/>
          <w:color w:val="auto"/>
        </w:rPr>
      </w:pPr>
    </w:p>
    <w:p>
      <w:pPr>
        <w:ind w:right="320"/>
        <w:spacing w:after="0" w:line="25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39" w:lineRule="exact"/>
        <w:rPr>
          <w:sz w:val="24"/>
          <w:szCs w:val="24"/>
          <w:color w:val="auto"/>
        </w:rPr>
      </w:pPr>
    </w:p>
    <w:p>
      <w:pPr>
        <w:ind w:right="4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jc w:val="center"/>
              <w:ind w:left="2008"/>
              <w:spacing w:after="0"/>
              <w:rPr>
                <w:sz w:val="20"/>
                <w:szCs w:val="20"/>
                <w:color w:val="auto"/>
              </w:rPr>
            </w:pPr>
            <w:r>
              <w:rPr>
                <w:rFonts w:ascii="Arial" w:cs="Arial" w:eastAsia="Arial" w:hAnsi="Arial"/>
                <w:sz w:val="14"/>
                <w:szCs w:val="14"/>
                <w:color w:val="auto"/>
                <w:w w:val="92"/>
              </w:rPr>
              <w:t>Large accelerated filer</w:t>
            </w:r>
          </w:p>
        </w:tc>
        <w:tc>
          <w:tcPr>
            <w:tcW w:w="880" w:type="dxa"/>
            <w:vAlign w:val="bottom"/>
          </w:tcPr>
          <w:p>
            <w:pPr>
              <w:ind w:left="60"/>
              <w:spacing w:after="0"/>
              <w:rPr>
                <w:sz w:val="20"/>
                <w:szCs w:val="20"/>
                <w:color w:val="auto"/>
              </w:rPr>
            </w:pPr>
            <w:r>
              <w:rPr>
                <w:rFonts w:ascii="Arial" w:cs="Arial" w:eastAsia="Arial" w:hAnsi="Arial"/>
                <w:sz w:val="14"/>
                <w:szCs w:val="14"/>
                <w:color w:val="auto"/>
              </w:rPr>
              <w:t>o</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jc w:val="right"/>
              <w:ind w:right="128"/>
              <w:spacing w:after="0"/>
              <w:rPr>
                <w:sz w:val="20"/>
                <w:szCs w:val="20"/>
                <w:color w:val="auto"/>
              </w:rPr>
            </w:pPr>
            <w:r>
              <w:rPr>
                <w:rFonts w:ascii="Arial" w:cs="Arial" w:eastAsia="Arial" w:hAnsi="Arial"/>
                <w:sz w:val="14"/>
                <w:szCs w:val="14"/>
                <w:color w:val="auto"/>
              </w:rPr>
              <w:t>Accelerated filer o</w:t>
            </w:r>
          </w:p>
        </w:tc>
        <w:tc>
          <w:tcPr>
            <w:tcW w:w="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400" w:type="dxa"/>
            <w:vAlign w:val="bottom"/>
          </w:tcPr>
          <w:p>
            <w:pPr>
              <w:jc w:val="center"/>
              <w:ind w:left="1988"/>
              <w:spacing w:after="0"/>
              <w:rPr>
                <w:sz w:val="20"/>
                <w:szCs w:val="20"/>
                <w:color w:val="auto"/>
              </w:rPr>
            </w:pPr>
            <w:r>
              <w:rPr>
                <w:rFonts w:ascii="Arial" w:cs="Arial" w:eastAsia="Arial" w:hAnsi="Arial"/>
                <w:sz w:val="14"/>
                <w:szCs w:val="14"/>
                <w:color w:val="auto"/>
                <w:w w:val="94"/>
              </w:rPr>
              <w:t>Non-accelerated filer</w:t>
            </w:r>
          </w:p>
        </w:tc>
        <w:tc>
          <w:tcPr>
            <w:tcW w:w="880" w:type="dxa"/>
            <w:vAlign w:val="bottom"/>
          </w:tcPr>
          <w:p>
            <w:pPr>
              <w:ind w:left="20"/>
              <w:spacing w:after="0"/>
              <w:rPr>
                <w:sz w:val="20"/>
                <w:szCs w:val="20"/>
                <w:color w:val="auto"/>
              </w:rPr>
            </w:pPr>
            <w:r>
              <w:rPr>
                <w:rFonts w:ascii="Arial" w:cs="Arial" w:eastAsia="Arial" w:hAnsi="Arial"/>
                <w:sz w:val="14"/>
                <w:szCs w:val="14"/>
                <w:color w:val="auto"/>
              </w:rPr>
              <w:t>x</w:t>
            </w:r>
          </w:p>
        </w:tc>
        <w:tc>
          <w:tcPr>
            <w:tcW w:w="2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60"/>
              <w:spacing w:after="0"/>
              <w:rPr>
                <w:sz w:val="20"/>
                <w:szCs w:val="20"/>
                <w:color w:val="auto"/>
              </w:rPr>
            </w:pPr>
            <w:r>
              <w:rPr>
                <w:rFonts w:ascii="Arial" w:cs="Arial" w:eastAsia="Arial" w:hAnsi="Arial"/>
                <w:sz w:val="14"/>
                <w:szCs w:val="14"/>
                <w:color w:val="auto"/>
              </w:rPr>
              <w:t>o</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280" w:type="dxa"/>
            <w:vAlign w:val="bottom"/>
            <w:gridSpan w:val="2"/>
          </w:tcPr>
          <w:p>
            <w:pPr>
              <w:ind w:left="1480"/>
              <w:spacing w:after="0"/>
              <w:rPr>
                <w:sz w:val="20"/>
                <w:szCs w:val="20"/>
                <w:color w:val="auto"/>
              </w:rPr>
            </w:pPr>
            <w:r>
              <w:rPr>
                <w:rFonts w:ascii="Arial" w:cs="Arial" w:eastAsia="Arial" w:hAnsi="Arial"/>
                <w:sz w:val="14"/>
                <w:szCs w:val="14"/>
                <w:color w:val="auto"/>
                <w:w w:val="98"/>
              </w:rPr>
              <w:t>(Do not check if a smaller reporting company)</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3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CALCULATION OF REGISTRATION FEE</w:t>
            </w: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vMerge w:val="restart"/>
          </w:tcPr>
          <w:p>
            <w:pPr>
              <w:jc w:val="center"/>
              <w:ind w:right="528"/>
              <w:spacing w:after="0"/>
              <w:rPr>
                <w:sz w:val="20"/>
                <w:szCs w:val="20"/>
                <w:color w:val="auto"/>
              </w:rPr>
            </w:pPr>
            <w:r>
              <w:rPr>
                <w:rFonts w:ascii="Arial" w:cs="Arial" w:eastAsia="Arial" w:hAnsi="Arial"/>
                <w:sz w:val="14"/>
                <w:szCs w:val="14"/>
                <w:b w:val="1"/>
                <w:bCs w:val="1"/>
                <w:color w:val="auto"/>
                <w:w w:val="92"/>
              </w:rPr>
              <w:t>Proposed maximum</w:t>
            </w:r>
          </w:p>
        </w:tc>
        <w:tc>
          <w:tcPr>
            <w:tcW w:w="380" w:type="dxa"/>
            <w:vAlign w:val="bottom"/>
          </w:tcPr>
          <w:p>
            <w:pPr>
              <w:spacing w:after="0"/>
              <w:rPr>
                <w:sz w:val="9"/>
                <w:szCs w:val="9"/>
                <w:color w:val="auto"/>
              </w:rPr>
            </w:pPr>
          </w:p>
        </w:tc>
        <w:tc>
          <w:tcPr>
            <w:tcW w:w="1680" w:type="dxa"/>
            <w:vAlign w:val="bottom"/>
          </w:tcPr>
          <w:p>
            <w:pPr>
              <w:jc w:val="center"/>
              <w:ind w:right="391"/>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49"/>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Title of securities to be registered</w:t>
            </w:r>
          </w:p>
        </w:tc>
        <w:tc>
          <w:tcPr>
            <w:tcW w:w="8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tcPr>
          <w:p>
            <w:pPr>
              <w:jc w:val="center"/>
              <w:ind w:right="371"/>
              <w:spacing w:after="0" w:line="149" w:lineRule="exact"/>
              <w:rPr>
                <w:sz w:val="20"/>
                <w:szCs w:val="20"/>
                <w:color w:val="auto"/>
              </w:rPr>
            </w:pPr>
            <w:r>
              <w:rPr>
                <w:rFonts w:ascii="Arial" w:cs="Arial" w:eastAsia="Arial" w:hAnsi="Arial"/>
                <w:sz w:val="14"/>
                <w:szCs w:val="14"/>
                <w:b w:val="1"/>
                <w:bCs w:val="1"/>
                <w:color w:val="auto"/>
                <w:w w:val="93"/>
              </w:rPr>
              <w:t>registration</w:t>
            </w:r>
          </w:p>
        </w:tc>
        <w:tc>
          <w:tcPr>
            <w:tcW w:w="0" w:type="dxa"/>
            <w:vAlign w:val="bottom"/>
          </w:tcPr>
          <w:p>
            <w:pPr>
              <w:spacing w:after="0"/>
              <w:rPr>
                <w:sz w:val="1"/>
                <w:szCs w:val="1"/>
                <w:color w:val="auto"/>
              </w:rPr>
            </w:pPr>
          </w:p>
        </w:tc>
      </w:tr>
      <w:tr>
        <w:trPr>
          <w:trHeight w:val="171"/>
        </w:trPr>
        <w:tc>
          <w:tcPr>
            <w:tcW w:w="34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jc w:val="center"/>
              <w:ind w:right="408"/>
              <w:spacing w:after="0"/>
              <w:rPr>
                <w:sz w:val="20"/>
                <w:szCs w:val="20"/>
                <w:color w:val="auto"/>
              </w:rPr>
            </w:pPr>
            <w:r>
              <w:rPr>
                <w:rFonts w:ascii="Arial" w:cs="Arial" w:eastAsia="Arial" w:hAnsi="Arial"/>
                <w:sz w:val="14"/>
                <w:szCs w:val="14"/>
                <w:b w:val="1"/>
                <w:bCs w:val="1"/>
                <w:color w:val="auto"/>
                <w:w w:val="92"/>
              </w:rPr>
              <w:t>aggregate offering price(1)(2)</w:t>
            </w: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391"/>
              <w:spacing w:after="0"/>
              <w:rPr>
                <w:sz w:val="20"/>
                <w:szCs w:val="20"/>
                <w:color w:val="auto"/>
              </w:rPr>
            </w:pPr>
            <w:r>
              <w:rPr>
                <w:rFonts w:ascii="Arial" w:cs="Arial" w:eastAsia="Arial" w:hAnsi="Arial"/>
                <w:sz w:val="14"/>
                <w:szCs w:val="14"/>
                <w:b w:val="1"/>
                <w:bCs w:val="1"/>
                <w:color w:val="auto"/>
                <w:w w:val="90"/>
              </w:rPr>
              <w:t>fee(2)</w:t>
            </w:r>
          </w:p>
        </w:tc>
        <w:tc>
          <w:tcPr>
            <w:tcW w:w="0" w:type="dxa"/>
            <w:vAlign w:val="bottom"/>
          </w:tcPr>
          <w:p>
            <w:pPr>
              <w:spacing w:after="0"/>
              <w:rPr>
                <w:sz w:val="1"/>
                <w:szCs w:val="1"/>
                <w:color w:val="auto"/>
              </w:rPr>
            </w:pPr>
          </w:p>
        </w:tc>
      </w:tr>
      <w:tr>
        <w:trPr>
          <w:trHeight w:val="142"/>
        </w:trPr>
        <w:tc>
          <w:tcPr>
            <w:tcW w:w="3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$0.001 par value per share</w:t>
            </w:r>
          </w:p>
        </w:tc>
        <w:tc>
          <w:tcPr>
            <w:tcW w:w="88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2320" w:type="dxa"/>
            <w:vAlign w:val="bottom"/>
            <w:tcBorders>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color w:val="auto"/>
              </w:rPr>
              <w:t>28,103,119</w:t>
            </w: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bl>
    <w:p>
      <w:pPr>
        <w:spacing w:after="0" w:line="8" w:lineRule="exact"/>
        <w:rPr>
          <w:sz w:val="24"/>
          <w:szCs w:val="24"/>
          <w:color w:val="auto"/>
        </w:rPr>
      </w:pPr>
    </w:p>
    <w:p>
      <w:pPr>
        <w:ind w:left="660" w:right="140" w:hanging="328"/>
        <w:spacing w:after="0" w:line="264" w:lineRule="auto"/>
        <w:tabs>
          <w:tab w:leader="none" w:pos="639" w:val="left"/>
        </w:tabs>
        <w:numPr>
          <w:ilvl w:val="0"/>
          <w:numId w:val="1"/>
        </w:numPr>
        <w:rPr>
          <w:rFonts w:ascii="Arial" w:cs="Arial" w:eastAsia="Arial" w:hAnsi="Arial"/>
          <w:sz w:val="13"/>
          <w:szCs w:val="13"/>
          <w:color w:val="auto"/>
        </w:rPr>
      </w:pPr>
      <w:r>
        <w:rPr>
          <w:rFonts w:ascii="Arial" w:cs="Arial" w:eastAsia="Arial" w:hAnsi="Arial"/>
          <w:sz w:val="13"/>
          <w:szCs w:val="13"/>
          <w:color w:val="auto"/>
        </w:rPr>
        <w:t>In accordance with Rule 462(b) promulgated under the Securities Act of 1933, as amended, the Registrant is registering an additional amount of securities having a proposed maximum offering price of no more than 20% of the maximum aggregate offering price of the securities eligible to be sold under the related Registration Statement on Form S-1, as amended (File No. 333-203273). Includes the aggregate offering price of shares that may be purchased by the underwriters pursuant to an option to purchase additional shares.</w:t>
      </w:r>
    </w:p>
    <w:p>
      <w:pPr>
        <w:spacing w:after="0" w:line="100" w:lineRule="exact"/>
        <w:rPr>
          <w:rFonts w:ascii="Arial" w:cs="Arial" w:eastAsia="Arial" w:hAnsi="Arial"/>
          <w:sz w:val="13"/>
          <w:szCs w:val="13"/>
          <w:color w:val="auto"/>
        </w:rPr>
      </w:pPr>
    </w:p>
    <w:p>
      <w:pPr>
        <w:ind w:left="660" w:right="160" w:hanging="328"/>
        <w:spacing w:after="0" w:line="238" w:lineRule="auto"/>
        <w:tabs>
          <w:tab w:leader="none" w:pos="639"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 Includes the aggregate offering price of shares that may be purchased by the underwriters pursuant to an option to purchase additional shares. As permitted by Rule 457(o), the number of shares being registered and the proposed maximum offering price per share are not included in this table.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This registration statement shall become effective upon filing with the Commission in accordance with Rule 462(b)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250825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 AND INCORPORATION BY REFERENCE</w:t>
      </w:r>
    </w:p>
    <w:p>
      <w:pPr>
        <w:spacing w:after="0" w:line="229" w:lineRule="exact"/>
        <w:rPr>
          <w:sz w:val="24"/>
          <w:szCs w:val="24"/>
          <w:color w:val="auto"/>
        </w:rPr>
      </w:pPr>
    </w:p>
    <w:p>
      <w:pPr>
        <w:ind w:right="80" w:firstLine="648"/>
        <w:spacing w:after="0" w:line="259" w:lineRule="auto"/>
        <w:rPr>
          <w:sz w:val="20"/>
          <w:szCs w:val="20"/>
          <w:color w:val="auto"/>
        </w:rPr>
      </w:pPr>
      <w:r>
        <w:rPr>
          <w:rFonts w:ascii="Arial" w:cs="Arial" w:eastAsia="Arial" w:hAnsi="Arial"/>
          <w:sz w:val="18"/>
          <w:szCs w:val="18"/>
          <w:color w:val="auto"/>
        </w:rPr>
        <w:t>This Registration Statement is being filed pursuant to Rule 462(b) under the Securities Act of 1933, as amended (the “Securities Act”). The contents of the Registration Statement on Form S-1 (File No. 333-202938) filed by Blueprint Medicines Corporation with the Securities and Exchange Commission (the “Commission”) pursuant to the Securities Act, which was declared effective by the Commission on April 29, 2015, are incorporated by reference into this Registration Statement.</w:t>
      </w:r>
    </w:p>
    <w:p>
      <w:pPr>
        <w:sectPr>
          <w:pgSz w:w="11900" w:h="16858" w:orient="portrait"/>
          <w:cols w:equalWidth="0" w:num="1">
            <w:col w:w="11420"/>
          </w:cols>
          <w:pgMar w:left="240" w:top="306" w:right="239" w:bottom="0" w:gutter="0" w:footer="0" w:header="0"/>
        </w:sectPr>
      </w:pPr>
    </w:p>
    <w:bookmarkStart w:id="1" w:name="page2"/>
    <w:bookmarkEnd w:id="1"/>
    <w:p>
      <w:pPr>
        <w:ind w:left="660"/>
        <w:spacing w:after="0"/>
        <w:rPr>
          <w:sz w:val="20"/>
          <w:szCs w:val="20"/>
          <w:color w:val="auto"/>
        </w:rPr>
      </w:pPr>
      <w:r>
        <w:rPr>
          <w:rFonts w:ascii="Arial" w:cs="Arial" w:eastAsia="Arial" w:hAnsi="Arial"/>
          <w:sz w:val="18"/>
          <w:szCs w:val="18"/>
          <w:color w:val="auto"/>
        </w:rPr>
        <w:t>The required opinion and consents are listed on an Exhibit Index attached hereto and filed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Cambridge, Commonwealth of Massachusetts, this 29th day of April, 2015.</w:t>
      </w:r>
    </w:p>
    <w:p>
      <w:pPr>
        <w:spacing w:after="0" w:line="14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Jeffrey W. Albers</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right="120" w:firstLine="673"/>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jc w:val="center"/>
              <w:ind w:right="1659"/>
              <w:spacing w:after="0"/>
              <w:rPr>
                <w:sz w:val="20"/>
                <w:szCs w:val="20"/>
                <w:color w:val="auto"/>
              </w:rPr>
            </w:pPr>
            <w:r>
              <w:rPr>
                <w:rFonts w:ascii="Arial" w:cs="Arial" w:eastAsia="Arial" w:hAnsi="Arial"/>
                <w:sz w:val="14"/>
                <w:szCs w:val="14"/>
                <w:b w:val="1"/>
                <w:bCs w:val="1"/>
                <w:color w:val="auto"/>
                <w:w w:val="92"/>
              </w:rPr>
              <w:t>Signature</w:t>
            </w:r>
          </w:p>
        </w:tc>
        <w:tc>
          <w:tcPr>
            <w:tcW w:w="2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r>
      <w:tr>
        <w:trPr>
          <w:trHeight w:val="426"/>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center"/>
              <w:ind w:right="1379"/>
              <w:spacing w:after="0"/>
              <w:rPr>
                <w:sz w:val="20"/>
                <w:szCs w:val="20"/>
                <w:color w:val="auto"/>
              </w:rPr>
            </w:pPr>
            <w:r>
              <w:rPr>
                <w:rFonts w:ascii="Arial" w:cs="Arial" w:eastAsia="Arial" w:hAnsi="Arial"/>
                <w:sz w:val="18"/>
                <w:szCs w:val="18"/>
                <w:color w:val="auto"/>
                <w:w w:val="91"/>
              </w:rPr>
              <w:t>/s/ Jeffrey W. Albers</w:t>
            </w:r>
          </w:p>
        </w:tc>
        <w:tc>
          <w:tcPr>
            <w:tcW w:w="26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 Director (</w:t>
            </w:r>
            <w:r>
              <w:rPr>
                <w:rFonts w:ascii="Arial" w:cs="Arial" w:eastAsia="Arial" w:hAnsi="Arial"/>
                <w:sz w:val="18"/>
                <w:szCs w:val="18"/>
                <w:i w:val="1"/>
                <w:iCs w:val="1"/>
                <w:color w:val="auto"/>
              </w:rPr>
              <w:t>Principal</w:t>
            </w:r>
          </w:p>
        </w:tc>
        <w:tc>
          <w:tcPr>
            <w:tcW w:w="420" w:type="dxa"/>
            <w:vAlign w:val="bottom"/>
          </w:tcPr>
          <w:p>
            <w:pPr>
              <w:spacing w:after="0"/>
              <w:rPr>
                <w:sz w:val="20"/>
                <w:szCs w:val="20"/>
                <w:color w:val="auto"/>
              </w:rPr>
            </w:pPr>
            <w:r>
              <w:rPr>
                <w:rFonts w:ascii="Arial" w:cs="Arial" w:eastAsia="Arial" w:hAnsi="Arial"/>
                <w:sz w:val="18"/>
                <w:szCs w:val="18"/>
                <w:color w:val="auto"/>
              </w:rPr>
              <w:t>April</w:t>
            </w:r>
          </w:p>
        </w:tc>
        <w:tc>
          <w:tcPr>
            <w:tcW w:w="1460" w:type="dxa"/>
            <w:vAlign w:val="bottom"/>
          </w:tcPr>
          <w:p>
            <w:pPr>
              <w:jc w:val="right"/>
              <w:ind w:right="693"/>
              <w:spacing w:after="0"/>
              <w:rPr>
                <w:sz w:val="20"/>
                <w:szCs w:val="20"/>
                <w:color w:val="auto"/>
              </w:rPr>
            </w:pPr>
            <w:r>
              <w:rPr>
                <w:rFonts w:ascii="Arial" w:cs="Arial" w:eastAsia="Arial" w:hAnsi="Arial"/>
                <w:sz w:val="18"/>
                <w:szCs w:val="18"/>
                <w:color w:val="auto"/>
                <w:w w:val="94"/>
              </w:rPr>
              <w:t>29, 2015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80" w:type="dxa"/>
            <w:vAlign w:val="bottom"/>
            <w:gridSpan w:val="2"/>
          </w:tcPr>
          <w:p>
            <w:pPr>
              <w:jc w:val="center"/>
              <w:ind w:right="1399"/>
              <w:spacing w:after="0"/>
              <w:rPr>
                <w:sz w:val="20"/>
                <w:szCs w:val="20"/>
                <w:color w:val="auto"/>
              </w:rPr>
            </w:pPr>
            <w:r>
              <w:rPr>
                <w:rFonts w:ascii="Arial" w:cs="Arial" w:eastAsia="Arial" w:hAnsi="Arial"/>
                <w:sz w:val="18"/>
                <w:szCs w:val="18"/>
                <w:color w:val="auto"/>
                <w:w w:val="91"/>
              </w:rPr>
              <w:t>Jeffrey W. Albers</w:t>
            </w:r>
          </w:p>
        </w:tc>
        <w:tc>
          <w:tcPr>
            <w:tcW w:w="260" w:type="dxa"/>
            <w:vAlign w:val="bottom"/>
          </w:tcPr>
          <w:p>
            <w:pPr>
              <w:spacing w:after="0"/>
              <w:rPr>
                <w:sz w:val="19"/>
                <w:szCs w:val="19"/>
                <w:color w:val="auto"/>
              </w:rPr>
            </w:pPr>
          </w:p>
        </w:tc>
        <w:tc>
          <w:tcPr>
            <w:tcW w:w="4820" w:type="dxa"/>
            <w:vAlign w:val="bottom"/>
            <w:gridSpan w:val="3"/>
          </w:tcPr>
          <w:p>
            <w:pPr>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jc w:val="center"/>
              <w:ind w:right="759"/>
              <w:spacing w:after="0"/>
              <w:rPr>
                <w:sz w:val="20"/>
                <w:szCs w:val="20"/>
                <w:color w:val="auto"/>
              </w:rPr>
            </w:pPr>
            <w:r>
              <w:rPr>
                <w:rFonts w:ascii="Arial" w:cs="Arial" w:eastAsia="Arial" w:hAnsi="Arial"/>
                <w:sz w:val="18"/>
                <w:szCs w:val="18"/>
                <w:color w:val="auto"/>
                <w:w w:val="93"/>
              </w:rPr>
              <w:t>/s/ Kyle D. Kuvalanka</w:t>
            </w:r>
          </w:p>
        </w:tc>
        <w:tc>
          <w:tcPr>
            <w:tcW w:w="26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Chief Business Officer (</w:t>
            </w:r>
            <w:r>
              <w:rPr>
                <w:rFonts w:ascii="Arial" w:cs="Arial" w:eastAsia="Arial" w:hAnsi="Arial"/>
                <w:sz w:val="18"/>
                <w:szCs w:val="18"/>
                <w:i w:val="1"/>
                <w:iCs w:val="1"/>
                <w:color w:val="auto"/>
              </w:rPr>
              <w:t>Principal Financial and Accounting</w:t>
            </w:r>
          </w:p>
        </w:tc>
        <w:tc>
          <w:tcPr>
            <w:tcW w:w="420" w:type="dxa"/>
            <w:vAlign w:val="bottom"/>
          </w:tcPr>
          <w:p>
            <w:pPr>
              <w:spacing w:after="0"/>
              <w:rPr>
                <w:sz w:val="20"/>
                <w:szCs w:val="20"/>
                <w:color w:val="auto"/>
              </w:rPr>
            </w:pPr>
            <w:r>
              <w:rPr>
                <w:rFonts w:ascii="Arial" w:cs="Arial" w:eastAsia="Arial" w:hAnsi="Arial"/>
                <w:sz w:val="18"/>
                <w:szCs w:val="18"/>
                <w:color w:val="auto"/>
              </w:rPr>
              <w:t>April</w:t>
            </w:r>
          </w:p>
        </w:tc>
        <w:tc>
          <w:tcPr>
            <w:tcW w:w="1460" w:type="dxa"/>
            <w:vAlign w:val="bottom"/>
          </w:tcPr>
          <w:p>
            <w:pPr>
              <w:jc w:val="right"/>
              <w:ind w:right="693"/>
              <w:spacing w:after="0"/>
              <w:rPr>
                <w:sz w:val="20"/>
                <w:szCs w:val="20"/>
                <w:color w:val="auto"/>
              </w:rPr>
            </w:pPr>
            <w:r>
              <w:rPr>
                <w:rFonts w:ascii="Arial" w:cs="Arial" w:eastAsia="Arial" w:hAnsi="Arial"/>
                <w:sz w:val="18"/>
                <w:szCs w:val="18"/>
                <w:color w:val="auto"/>
                <w:w w:val="94"/>
              </w:rPr>
              <w:t>29, 2015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80" w:type="dxa"/>
            <w:vAlign w:val="bottom"/>
            <w:gridSpan w:val="2"/>
          </w:tcPr>
          <w:p>
            <w:pPr>
              <w:jc w:val="center"/>
              <w:ind w:right="1379"/>
              <w:spacing w:after="0"/>
              <w:rPr>
                <w:sz w:val="20"/>
                <w:szCs w:val="20"/>
                <w:color w:val="auto"/>
              </w:rPr>
            </w:pPr>
            <w:r>
              <w:rPr>
                <w:rFonts w:ascii="Arial" w:cs="Arial" w:eastAsia="Arial" w:hAnsi="Arial"/>
                <w:sz w:val="18"/>
                <w:szCs w:val="18"/>
                <w:color w:val="auto"/>
                <w:w w:val="95"/>
              </w:rPr>
              <w:t>Kyle D. Kuvalanka</w:t>
            </w:r>
          </w:p>
        </w:tc>
        <w:tc>
          <w:tcPr>
            <w:tcW w:w="260" w:type="dxa"/>
            <w:vAlign w:val="bottom"/>
          </w:tcPr>
          <w:p>
            <w:pPr>
              <w:spacing w:after="0"/>
              <w:rPr>
                <w:sz w:val="19"/>
                <w:szCs w:val="19"/>
                <w:color w:val="auto"/>
              </w:rPr>
            </w:pPr>
          </w:p>
        </w:tc>
        <w:tc>
          <w:tcPr>
            <w:tcW w:w="4820" w:type="dxa"/>
            <w:vAlign w:val="bottom"/>
            <w:gridSpan w:val="3"/>
          </w:tcPr>
          <w:p>
            <w:pPr>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jc w:val="center"/>
              <w:ind w:right="75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Chairman of the Board</w:t>
            </w:r>
          </w:p>
        </w:tc>
        <w:tc>
          <w:tcPr>
            <w:tcW w:w="1880" w:type="dxa"/>
            <w:vAlign w:val="bottom"/>
            <w:gridSpan w:val="2"/>
          </w:tcPr>
          <w:p>
            <w:pPr>
              <w:spacing w:after="0"/>
              <w:rPr>
                <w:sz w:val="20"/>
                <w:szCs w:val="20"/>
                <w:color w:val="auto"/>
              </w:rPr>
            </w:pPr>
            <w:r>
              <w:rPr>
                <w:rFonts w:ascii="Arial" w:cs="Arial" w:eastAsia="Arial" w:hAnsi="Arial"/>
                <w:sz w:val="18"/>
                <w:szCs w:val="18"/>
                <w:color w:val="auto"/>
              </w:rPr>
              <w:t>April 29,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80" w:type="dxa"/>
            <w:vAlign w:val="bottom"/>
            <w:gridSpan w:val="2"/>
          </w:tcPr>
          <w:p>
            <w:pPr>
              <w:jc w:val="center"/>
              <w:ind w:right="1379"/>
              <w:spacing w:after="0"/>
              <w:rPr>
                <w:sz w:val="20"/>
                <w:szCs w:val="20"/>
                <w:color w:val="auto"/>
              </w:rPr>
            </w:pPr>
            <w:r>
              <w:rPr>
                <w:rFonts w:ascii="Arial" w:cs="Arial" w:eastAsia="Arial" w:hAnsi="Arial"/>
                <w:sz w:val="18"/>
                <w:szCs w:val="18"/>
                <w:color w:val="auto"/>
                <w:w w:val="91"/>
              </w:rPr>
              <w:t>Daniel S. Lynch</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jc w:val="center"/>
              <w:ind w:right="75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20"/>
                <w:szCs w:val="20"/>
                <w:color w:val="auto"/>
              </w:rPr>
            </w:pPr>
            <w:r>
              <w:rPr>
                <w:rFonts w:ascii="Arial" w:cs="Arial" w:eastAsia="Arial" w:hAnsi="Arial"/>
                <w:sz w:val="18"/>
                <w:szCs w:val="18"/>
                <w:color w:val="auto"/>
              </w:rPr>
              <w:t>April</w:t>
            </w:r>
          </w:p>
        </w:tc>
        <w:tc>
          <w:tcPr>
            <w:tcW w:w="1460" w:type="dxa"/>
            <w:vAlign w:val="bottom"/>
          </w:tcPr>
          <w:p>
            <w:pPr>
              <w:jc w:val="right"/>
              <w:ind w:right="693"/>
              <w:spacing w:after="0"/>
              <w:rPr>
                <w:sz w:val="20"/>
                <w:szCs w:val="20"/>
                <w:color w:val="auto"/>
              </w:rPr>
            </w:pPr>
            <w:r>
              <w:rPr>
                <w:rFonts w:ascii="Arial" w:cs="Arial" w:eastAsia="Arial" w:hAnsi="Arial"/>
                <w:sz w:val="18"/>
                <w:szCs w:val="18"/>
                <w:color w:val="auto"/>
                <w:w w:val="94"/>
              </w:rPr>
              <w:t>29, 2015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0" w:type="dxa"/>
            <w:vAlign w:val="bottom"/>
            <w:gridSpan w:val="3"/>
          </w:tcPr>
          <w:p>
            <w:pPr>
              <w:jc w:val="center"/>
              <w:ind w:right="759"/>
              <w:spacing w:after="0"/>
              <w:rPr>
                <w:sz w:val="20"/>
                <w:szCs w:val="20"/>
                <w:color w:val="auto"/>
              </w:rPr>
            </w:pPr>
            <w:r>
              <w:rPr>
                <w:rFonts w:ascii="Arial" w:cs="Arial" w:eastAsia="Arial" w:hAnsi="Arial"/>
                <w:sz w:val="18"/>
                <w:szCs w:val="18"/>
                <w:color w:val="auto"/>
                <w:w w:val="92"/>
              </w:rPr>
              <w:t>Nicholas Lydon, Ph.D.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jc w:val="center"/>
              <w:ind w:right="75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20"/>
                <w:szCs w:val="20"/>
                <w:color w:val="auto"/>
              </w:rPr>
            </w:pPr>
            <w:r>
              <w:rPr>
                <w:rFonts w:ascii="Arial" w:cs="Arial" w:eastAsia="Arial" w:hAnsi="Arial"/>
                <w:sz w:val="18"/>
                <w:szCs w:val="18"/>
                <w:color w:val="auto"/>
              </w:rPr>
              <w:t>April</w:t>
            </w:r>
          </w:p>
        </w:tc>
        <w:tc>
          <w:tcPr>
            <w:tcW w:w="1460" w:type="dxa"/>
            <w:vAlign w:val="bottom"/>
          </w:tcPr>
          <w:p>
            <w:pPr>
              <w:jc w:val="right"/>
              <w:ind w:right="693"/>
              <w:spacing w:after="0"/>
              <w:rPr>
                <w:sz w:val="20"/>
                <w:szCs w:val="20"/>
                <w:color w:val="auto"/>
              </w:rPr>
            </w:pPr>
            <w:r>
              <w:rPr>
                <w:rFonts w:ascii="Arial" w:cs="Arial" w:eastAsia="Arial" w:hAnsi="Arial"/>
                <w:sz w:val="18"/>
                <w:szCs w:val="18"/>
                <w:color w:val="auto"/>
                <w:w w:val="94"/>
              </w:rPr>
              <w:t>29, 2015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80" w:type="dxa"/>
            <w:vAlign w:val="bottom"/>
            <w:gridSpan w:val="2"/>
          </w:tcPr>
          <w:p>
            <w:pPr>
              <w:jc w:val="center"/>
              <w:ind w:right="1379"/>
              <w:spacing w:after="0"/>
              <w:rPr>
                <w:sz w:val="20"/>
                <w:szCs w:val="20"/>
                <w:color w:val="auto"/>
              </w:rPr>
            </w:pPr>
            <w:r>
              <w:rPr>
                <w:rFonts w:ascii="Arial" w:cs="Arial" w:eastAsia="Arial" w:hAnsi="Arial"/>
                <w:sz w:val="18"/>
                <w:szCs w:val="18"/>
                <w:color w:val="auto"/>
                <w:w w:val="97"/>
              </w:rPr>
              <w:t>Alexis Borisy</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jc w:val="center"/>
              <w:ind w:right="75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20"/>
                <w:szCs w:val="20"/>
                <w:color w:val="auto"/>
              </w:rPr>
            </w:pPr>
            <w:r>
              <w:rPr>
                <w:rFonts w:ascii="Arial" w:cs="Arial" w:eastAsia="Arial" w:hAnsi="Arial"/>
                <w:sz w:val="18"/>
                <w:szCs w:val="18"/>
                <w:color w:val="auto"/>
              </w:rPr>
              <w:t>April</w:t>
            </w:r>
          </w:p>
        </w:tc>
        <w:tc>
          <w:tcPr>
            <w:tcW w:w="1460" w:type="dxa"/>
            <w:vAlign w:val="bottom"/>
          </w:tcPr>
          <w:p>
            <w:pPr>
              <w:jc w:val="right"/>
              <w:ind w:right="693"/>
              <w:spacing w:after="0"/>
              <w:rPr>
                <w:sz w:val="20"/>
                <w:szCs w:val="20"/>
                <w:color w:val="auto"/>
              </w:rPr>
            </w:pPr>
            <w:r>
              <w:rPr>
                <w:rFonts w:ascii="Arial" w:cs="Arial" w:eastAsia="Arial" w:hAnsi="Arial"/>
                <w:sz w:val="18"/>
                <w:szCs w:val="18"/>
                <w:color w:val="auto"/>
                <w:w w:val="94"/>
              </w:rPr>
              <w:t>29, 2015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80" w:type="dxa"/>
            <w:vAlign w:val="bottom"/>
            <w:gridSpan w:val="2"/>
          </w:tcPr>
          <w:p>
            <w:pPr>
              <w:jc w:val="center"/>
              <w:ind w:right="1379"/>
              <w:spacing w:after="0"/>
              <w:rPr>
                <w:sz w:val="20"/>
                <w:szCs w:val="20"/>
                <w:color w:val="auto"/>
              </w:rPr>
            </w:pPr>
            <w:r>
              <w:rPr>
                <w:rFonts w:ascii="Arial" w:cs="Arial" w:eastAsia="Arial" w:hAnsi="Arial"/>
                <w:sz w:val="18"/>
                <w:szCs w:val="18"/>
                <w:color w:val="auto"/>
                <w:w w:val="90"/>
              </w:rPr>
              <w:t>George Demetri</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jc w:val="center"/>
              <w:ind w:right="75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20"/>
                <w:szCs w:val="20"/>
                <w:color w:val="auto"/>
              </w:rPr>
            </w:pPr>
            <w:r>
              <w:rPr>
                <w:rFonts w:ascii="Arial" w:cs="Arial" w:eastAsia="Arial" w:hAnsi="Arial"/>
                <w:sz w:val="18"/>
                <w:szCs w:val="18"/>
                <w:color w:val="auto"/>
              </w:rPr>
              <w:t>April</w:t>
            </w:r>
          </w:p>
        </w:tc>
        <w:tc>
          <w:tcPr>
            <w:tcW w:w="1460" w:type="dxa"/>
            <w:vAlign w:val="bottom"/>
          </w:tcPr>
          <w:p>
            <w:pPr>
              <w:jc w:val="right"/>
              <w:ind w:right="693"/>
              <w:spacing w:after="0"/>
              <w:rPr>
                <w:sz w:val="20"/>
                <w:szCs w:val="20"/>
                <w:color w:val="auto"/>
              </w:rPr>
            </w:pPr>
            <w:r>
              <w:rPr>
                <w:rFonts w:ascii="Arial" w:cs="Arial" w:eastAsia="Arial" w:hAnsi="Arial"/>
                <w:sz w:val="18"/>
                <w:szCs w:val="18"/>
                <w:color w:val="auto"/>
                <w:w w:val="94"/>
              </w:rPr>
              <w:t>29, 2015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80" w:type="dxa"/>
            <w:vAlign w:val="bottom"/>
            <w:gridSpan w:val="2"/>
          </w:tcPr>
          <w:p>
            <w:pPr>
              <w:jc w:val="center"/>
              <w:ind w:right="1399"/>
              <w:spacing w:after="0"/>
              <w:rPr>
                <w:sz w:val="20"/>
                <w:szCs w:val="20"/>
                <w:color w:val="auto"/>
              </w:rPr>
            </w:pPr>
            <w:r>
              <w:rPr>
                <w:rFonts w:ascii="Arial" w:cs="Arial" w:eastAsia="Arial" w:hAnsi="Arial"/>
                <w:sz w:val="18"/>
                <w:szCs w:val="18"/>
                <w:color w:val="auto"/>
                <w:w w:val="91"/>
              </w:rPr>
              <w:t>Charles A. Rowland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45"/>
        </w:trPr>
        <w:tc>
          <w:tcPr>
            <w:tcW w:w="4460" w:type="dxa"/>
            <w:vAlign w:val="bottom"/>
            <w:gridSpan w:val="5"/>
          </w:tcPr>
          <w:p>
            <w:pPr>
              <w:spacing w:after="0"/>
              <w:rPr>
                <w:sz w:val="20"/>
                <w:szCs w:val="20"/>
                <w:color w:val="auto"/>
              </w:rPr>
            </w:pPr>
            <w:r>
              <w:rPr>
                <w:rFonts w:ascii="Arial" w:cs="Arial" w:eastAsia="Arial" w:hAnsi="Arial"/>
                <w:sz w:val="18"/>
                <w:szCs w:val="18"/>
                <w:color w:val="auto"/>
              </w:rPr>
              <w:t>* Pursuant to Power of Attorney</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20" w:type="dxa"/>
            <w:vAlign w:val="bottom"/>
          </w:tcPr>
          <w:p>
            <w:pPr>
              <w:spacing w:after="0"/>
              <w:rPr>
                <w:sz w:val="24"/>
                <w:szCs w:val="24"/>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Jeffrey W. Albers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0" w:type="dxa"/>
            <w:vAlign w:val="bottom"/>
            <w:gridSpan w:val="3"/>
          </w:tcPr>
          <w:p>
            <w:pPr>
              <w:spacing w:after="0" w:line="195" w:lineRule="exact"/>
              <w:rPr>
                <w:sz w:val="20"/>
                <w:szCs w:val="20"/>
                <w:color w:val="auto"/>
              </w:rPr>
            </w:pPr>
            <w:r>
              <w:rPr>
                <w:rFonts w:ascii="Arial" w:cs="Arial" w:eastAsia="Arial" w:hAnsi="Arial"/>
                <w:sz w:val="18"/>
                <w:szCs w:val="18"/>
                <w:color w:val="auto"/>
              </w:rPr>
              <w:t>Jeffrey W. Albers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gridSpan w:val="3"/>
          </w:tcPr>
          <w:p>
            <w:pPr>
              <w:ind w:left="860"/>
              <w:spacing w:after="0"/>
              <w:rPr>
                <w:sz w:val="20"/>
                <w:szCs w:val="20"/>
                <w:color w:val="auto"/>
              </w:rPr>
            </w:pPr>
            <w:r>
              <w:rPr>
                <w:rFonts w:ascii="Arial" w:cs="Arial" w:eastAsia="Arial" w:hAnsi="Arial"/>
                <w:sz w:val="18"/>
                <w:szCs w:val="18"/>
                <w:color w:val="auto"/>
              </w:rPr>
              <w:t>II-1</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7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820" w:type="dxa"/>
            <w:vAlign w:val="bottom"/>
            <w:tcBorders>
              <w:bottom w:val="single" w:sz="8" w:color="010101"/>
            </w:tcBorders>
            <w:gridSpan w:val="3"/>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gridSpan w:val="3"/>
          </w:tcPr>
          <w:p>
            <w:pPr>
              <w:ind w:left="300"/>
              <w:spacing w:after="0"/>
              <w:rPr>
                <w:sz w:val="20"/>
                <w:szCs w:val="20"/>
                <w:color w:val="auto"/>
              </w:rPr>
            </w:pPr>
            <w:r>
              <w:rPr>
                <w:rFonts w:ascii="Arial" w:cs="Arial" w:eastAsia="Arial" w:hAnsi="Arial"/>
                <w:sz w:val="18"/>
                <w:szCs w:val="18"/>
                <w:b w:val="1"/>
                <w:bCs w:val="1"/>
                <w:color w:val="auto"/>
              </w:rPr>
              <w:t>EXHIBIT INDEX</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20" w:type="dxa"/>
            <w:vAlign w:val="bottom"/>
            <w:gridSpan w:val="2"/>
          </w:tcPr>
          <w:p>
            <w:pPr>
              <w:ind w:left="500"/>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8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5.1</w:t>
            </w:r>
          </w:p>
        </w:tc>
        <w:tc>
          <w:tcPr>
            <w:tcW w:w="6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Opinion of Goodwin Procter LLP</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18"/>
                <w:szCs w:val="18"/>
                <w:color w:val="auto"/>
              </w:rPr>
            </w:pPr>
          </w:p>
        </w:tc>
        <w:tc>
          <w:tcPr>
            <w:tcW w:w="2980" w:type="dxa"/>
            <w:vAlign w:val="bottom"/>
            <w:gridSpan w:val="2"/>
          </w:tcPr>
          <w:p>
            <w:pPr>
              <w:ind w:left="280"/>
              <w:spacing w:after="0"/>
              <w:rPr>
                <w:sz w:val="20"/>
                <w:szCs w:val="20"/>
                <w:color w:val="auto"/>
              </w:rPr>
            </w:pPr>
            <w:r>
              <w:rPr>
                <w:rFonts w:ascii="Arial" w:cs="Arial" w:eastAsia="Arial" w:hAnsi="Arial"/>
                <w:sz w:val="18"/>
                <w:szCs w:val="18"/>
                <w:color w:val="auto"/>
              </w:rPr>
              <w:t>Consent of Ernst &amp; Young LLP</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18"/>
                <w:szCs w:val="18"/>
                <w:color w:val="auto"/>
              </w:rPr>
            </w:pPr>
          </w:p>
        </w:tc>
        <w:tc>
          <w:tcPr>
            <w:tcW w:w="8060" w:type="dxa"/>
            <w:vAlign w:val="bottom"/>
            <w:gridSpan w:val="6"/>
          </w:tcPr>
          <w:p>
            <w:pPr>
              <w:ind w:left="280"/>
              <w:spacing w:after="0"/>
              <w:rPr>
                <w:sz w:val="20"/>
                <w:szCs w:val="20"/>
                <w:color w:val="auto"/>
              </w:rPr>
            </w:pPr>
            <w:r>
              <w:rPr>
                <w:rFonts w:ascii="Arial" w:cs="Arial" w:eastAsia="Arial" w:hAnsi="Arial"/>
                <w:sz w:val="18"/>
                <w:szCs w:val="18"/>
                <w:color w:val="auto"/>
              </w:rPr>
              <w:t>Consent of Goodwin Procter LLP (included in Exhibit 5.1)</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0"/>
                <w:szCs w:val="20"/>
                <w:color w:val="auto"/>
              </w:rPr>
            </w:pPr>
          </w:p>
        </w:tc>
        <w:tc>
          <w:tcPr>
            <w:tcW w:w="2980" w:type="dxa"/>
            <w:vAlign w:val="bottom"/>
            <w:gridSpan w:val="2"/>
          </w:tcPr>
          <w:p>
            <w:pPr>
              <w:ind w:left="280"/>
              <w:spacing w:after="0"/>
              <w:rPr>
                <w:sz w:val="20"/>
                <w:szCs w:val="20"/>
                <w:color w:val="auto"/>
              </w:rPr>
            </w:pPr>
            <w:r>
              <w:rPr>
                <w:rFonts w:ascii="Arial" w:cs="Arial" w:eastAsia="Arial" w:hAnsi="Arial"/>
                <w:sz w:val="18"/>
                <w:szCs w:val="18"/>
                <w:color w:val="auto"/>
              </w:rPr>
              <w:t>Power of Attorney</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-1313815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-1313815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ind w:left="10580"/>
        <w:spacing w:after="0"/>
        <w:rPr>
          <w:sz w:val="20"/>
          <w:szCs w:val="20"/>
          <w:color w:val="auto"/>
        </w:rPr>
      </w:pPr>
      <w:r>
        <w:rPr>
          <w:rFonts w:ascii="Arial" w:cs="Arial" w:eastAsia="Arial" w:hAnsi="Arial"/>
          <w:sz w:val="16"/>
          <w:szCs w:val="16"/>
          <w:b w:val="1"/>
          <w:bCs w:val="1"/>
          <w:color w:val="auto"/>
        </w:rPr>
        <w:t>Exhibit 5.1</w:t>
      </w:r>
    </w:p>
    <w:p>
      <w:pPr>
        <w:spacing w:after="0" w:line="25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b w:val="1"/>
          <w:bCs w:val="1"/>
          <w:i w:val="1"/>
          <w:iCs w:val="1"/>
          <w:color w:val="auto"/>
        </w:rPr>
        <w:t>DELIVERY OF FINAL OPINION IS SUBJECT TO COMPLETION OF GOODWIN PROCTER LLP’S OPINION PRE-CLEARANCE PROCEDURES*</w:t>
      </w:r>
    </w:p>
    <w:p>
      <w:pPr>
        <w:spacing w:after="0" w:line="170" w:lineRule="exact"/>
        <w:rPr>
          <w:sz w:val="20"/>
          <w:szCs w:val="20"/>
          <w:color w:val="auto"/>
        </w:rPr>
      </w:pPr>
    </w:p>
    <w:p>
      <w:pPr>
        <w:ind w:left="10360"/>
        <w:spacing w:after="0"/>
        <w:rPr>
          <w:sz w:val="20"/>
          <w:szCs w:val="20"/>
          <w:color w:val="auto"/>
        </w:rPr>
      </w:pPr>
      <w:r>
        <w:rPr>
          <w:rFonts w:ascii="Arial" w:cs="Arial" w:eastAsia="Arial" w:hAnsi="Arial"/>
          <w:sz w:val="17"/>
          <w:szCs w:val="17"/>
          <w:color w:val="auto"/>
        </w:rPr>
        <w:t>April 29,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215 First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1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Registered under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acted as counsel to you in connection with your filing of (i) a Registration Statement on Form S-1 (File No. 333-202938) (as amended or supplemented, the “Initial Registration Statement”) pursuant to the Securities Act of 1933, as amended (the “Securities Act”) and (ii) a second Registration Statement on Form S-1 filed pursuant to Rule 462(b) promulgated under the Securities Act (the “462(b) Registration Statement,” and together with the Initial Registration Statement, the “Registration Statement”). This opinion letter is furnished to you in connection with your filing of the 462(b) Registration Statement, relating to the registration of the offering by Blueprint Medicines Corporation, a Delaware corporation (the “Company”) of up to 1,102,083 shares (the “Shares”) of the Company’s Common Stock, $0.001 par value per share, including Shares purchasable by the underwriters upon their exercise of an over-allotment option granted to the underwriters by the Company. The Shares are being sold to the several underwriters named in, and pursuant to, an underwriting agreement among the Company and such underwriters (the “Underwriting Agreement”).</w:t>
      </w:r>
    </w:p>
    <w:p>
      <w:pPr>
        <w:spacing w:after="0" w:line="1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opinion set forth below is limited to the Delaware General Corporation Law (which includes reported judicial decisions interpreting the Delaware General Corporation Law).</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hereby consent to the inclusion of this opinion as Exhibit 5.1 to the 462(b)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Goodwin Procter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GOODWIN PROCTER LLP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on Form S-1 filed pursuant to Rule 462(b) of the Securities Act of 1933 of the reference to our firm under the caption “Experts” and our report dated February 19, 2015, except for Note 12B, as to which the date is April 20, 2015, with respect to the financial statements of Blueprint Medicines Corporation included in Amendment No. 2 to the Registration Statement (Form S-1 No. 333-202938) and related Prospectus of Blueprint Medicines Corporation for the registration of its common stock.</w:t>
      </w:r>
    </w:p>
    <w:p>
      <w:pPr>
        <w:spacing w:after="0" w:line="17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2019-12-09T05:04:51Z</dcterms:created>
  <dcterms:modified xsi:type="dcterms:W3CDTF">2019-12-09T05:04:51Z</dcterms:modified>
</cp:coreProperties>
</file>