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617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61708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6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5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Dorsch Marion</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20" w:type="dxa"/>
            <w:vAlign w:val="bottom"/>
            <w:gridSpan w:val="2"/>
          </w:tcPr>
          <w:p>
            <w:pPr>
              <w:spacing w:after="0" w:line="186"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252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Borders>
              <w:top w:val="single" w:sz="8" w:color="0000EE"/>
            </w:tcBorders>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480" w:type="dxa"/>
            <w:vAlign w:val="bottom"/>
            <w:tcBorders>
              <w:top w:val="single" w:sz="8" w:color="0000EE"/>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0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8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60" w:type="dxa"/>
            <w:vAlign w:val="bottom"/>
            <w:gridSpan w:val="3"/>
          </w:tcPr>
          <w:p>
            <w:pPr>
              <w:ind w:left="160"/>
              <w:spacing w:after="0"/>
              <w:rPr>
                <w:sz w:val="20"/>
                <w:szCs w:val="20"/>
                <w:color w:val="auto"/>
              </w:rPr>
            </w:pPr>
            <w:r>
              <w:rPr>
                <w:rFonts w:ascii="Arial" w:cs="Arial" w:eastAsia="Arial" w:hAnsi="Arial"/>
                <w:sz w:val="17"/>
                <w:szCs w:val="17"/>
                <w:color w:val="0000FF"/>
              </w:rPr>
              <w:t>11/21/2016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38 SIDNEY STREET, SUITE 200</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2" w:right="680" w:hanging="2"/>
        <w:spacing w:after="0" w:line="247"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3" w:lineRule="exact"/>
        <w:rPr>
          <w:sz w:val="20"/>
          <w:szCs w:val="20"/>
          <w:color w:val="auto"/>
        </w:rPr>
      </w:pPr>
    </w:p>
    <w:tbl>
      <w:tblPr>
        <w:tblLayout w:type="fixed"/>
        <w:tblInd w:w="202" w:type="dxa"/>
        <w:tblCellMar>
          <w:top w:w="0" w:type="dxa"/>
          <w:left w:w="0" w:type="dxa"/>
          <w:bottom w:w="0" w:type="dxa"/>
          <w:right w:w="0" w:type="dxa"/>
        </w:tblCellMar>
      </w:tblPr>
      <w:tr>
        <w:trPr>
          <w:trHeight w:val="158"/>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22"/>
        <w:spacing w:after="0"/>
        <w:rPr>
          <w:sz w:val="20"/>
          <w:szCs w:val="20"/>
          <w:color w:val="auto"/>
        </w:rPr>
      </w:pPr>
      <w:r>
        <w:rPr>
          <w:rFonts w:ascii="Arial" w:cs="Arial" w:eastAsia="Arial" w:hAnsi="Arial"/>
          <w:sz w:val="17"/>
          <w:szCs w:val="17"/>
          <w:color w:val="0000FF"/>
        </w:rPr>
        <w:t>Chief Scientific Officer</w:t>
      </w:r>
    </w:p>
    <w:p>
      <w:pPr>
        <w:spacing w:after="0" w:line="398" w:lineRule="exact"/>
        <w:rPr>
          <w:sz w:val="20"/>
          <w:szCs w:val="20"/>
          <w:color w:val="auto"/>
        </w:rPr>
      </w:pPr>
    </w:p>
    <w:p>
      <w:pPr>
        <w:sectPr>
          <w:pgSz w:w="11900" w:h="16838" w:orient="portrait"/>
          <w:cols w:equalWidth="0" w:num="2">
            <w:col w:w="8000" w:space="58"/>
            <w:col w:w="3462"/>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780" w:type="dxa"/>
            <w:vAlign w:val="bottom"/>
            <w:gridSpan w:val="7"/>
          </w:tcPr>
          <w:p>
            <w:pPr>
              <w:jc w:val="center"/>
              <w:ind w:right="41"/>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02139</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2"/>
            <w:vMerge w:val="restart"/>
          </w:tcPr>
          <w:p>
            <w:pPr>
              <w:ind w:left="68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jc w:val="center"/>
              <w:ind w:left="47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37.11</w:t>
            </w:r>
          </w:p>
        </w:tc>
        <w:tc>
          <w:tcPr>
            <w:tcW w:w="1100" w:type="dxa"/>
            <w:vAlign w:val="bottom"/>
          </w:tcPr>
          <w:p>
            <w:pPr>
              <w:ind w:left="200"/>
              <w:spacing w:after="0" w:line="207" w:lineRule="exact"/>
              <w:rPr>
                <w:sz w:val="20"/>
                <w:szCs w:val="20"/>
                <w:color w:val="auto"/>
              </w:rPr>
            </w:pPr>
            <w:r>
              <w:rPr>
                <w:rFonts w:ascii="Arial" w:cs="Arial" w:eastAsia="Arial" w:hAnsi="Arial"/>
                <w:sz w:val="13"/>
                <w:szCs w:val="13"/>
                <w:color w:val="0000FF"/>
              </w:rPr>
              <w:t>11/21/2016</w:t>
            </w:r>
            <w:r>
              <w:rPr>
                <w:rFonts w:ascii="Arial" w:cs="Arial" w:eastAsia="Arial" w:hAnsi="Arial"/>
                <w:sz w:val="22"/>
                <w:szCs w:val="22"/>
                <w:color w:val="008000"/>
                <w:vertAlign w:val="superscript"/>
              </w:rPr>
              <w:t>(1)</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110,000</w:t>
            </w:r>
          </w:p>
        </w:tc>
        <w:tc>
          <w:tcPr>
            <w:tcW w:w="28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40" w:type="dxa"/>
            <w:vAlign w:val="bottom"/>
          </w:tcPr>
          <w:p>
            <w:pPr>
              <w:ind w:left="60"/>
              <w:spacing w:after="0"/>
              <w:rPr>
                <w:sz w:val="20"/>
                <w:szCs w:val="20"/>
                <w:color w:val="auto"/>
              </w:rPr>
            </w:pPr>
            <w:r>
              <w:rPr>
                <w:rFonts w:ascii="Arial" w:cs="Arial" w:eastAsia="Arial" w:hAnsi="Arial"/>
                <w:sz w:val="13"/>
                <w:szCs w:val="13"/>
                <w:color w:val="0000FF"/>
              </w:rPr>
              <w:t>11/21/2026</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ind w:left="20"/>
              <w:spacing w:after="0"/>
              <w:rPr>
                <w:sz w:val="20"/>
                <w:szCs w:val="20"/>
                <w:color w:val="auto"/>
              </w:rPr>
            </w:pPr>
            <w:r>
              <w:rPr>
                <w:rFonts w:ascii="Arial" w:cs="Arial" w:eastAsia="Arial" w:hAnsi="Arial"/>
                <w:sz w:val="17"/>
                <w:szCs w:val="17"/>
                <w:color w:val="0000FF"/>
                <w:w w:val="97"/>
              </w:rPr>
              <w:t>110,000</w:t>
            </w:r>
          </w:p>
        </w:tc>
        <w:tc>
          <w:tcPr>
            <w:tcW w:w="4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110,000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440" w:firstLine="6"/>
        <w:spacing w:after="0" w:line="26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accordance with the Reporting Person's employment agreement with the Issuer, this option was granted effective as of the first day of the Reporting Person's employment with the Issuer on November 21, 2016.</w:t>
      </w:r>
    </w:p>
    <w:p>
      <w:pPr>
        <w:spacing w:after="0" w:line="20"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vests with respect to 25% of the shares underlying the option on November 21, 2017 and as to an additional 1/48th of the shares underlying the option each month thereafter.</w:t>
      </w:r>
    </w:p>
    <w:p>
      <w:pPr>
        <w:spacing w:after="0" w:line="61"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Christopher Frankenfield,</w:t>
            </w:r>
          </w:p>
        </w:tc>
        <w:tc>
          <w:tcPr>
            <w:tcW w:w="3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11/23/2016</w:t>
            </w:r>
          </w:p>
        </w:tc>
        <w:tc>
          <w:tcPr>
            <w:tcW w:w="0" w:type="dxa"/>
            <w:vAlign w:val="bottom"/>
          </w:tcPr>
          <w:p>
            <w:pPr>
              <w:spacing w:after="0"/>
              <w:rPr>
                <w:sz w:val="1"/>
                <w:szCs w:val="1"/>
                <w:color w:val="auto"/>
              </w:rPr>
            </w:pPr>
          </w:p>
        </w:tc>
      </w:tr>
      <w:tr>
        <w:trPr>
          <w:trHeight w:val="91"/>
        </w:trPr>
        <w:tc>
          <w:tcPr>
            <w:tcW w:w="2300" w:type="dxa"/>
            <w:vAlign w:val="bottom"/>
            <w:gridSpan w:val="3"/>
            <w:vMerge w:val="restart"/>
          </w:tcPr>
          <w:p>
            <w:pPr>
              <w:spacing w:after="0" w:line="192" w:lineRule="exact"/>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046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2019-12-09T00:15:18Z</dcterms:created>
  <dcterms:modified xsi:type="dcterms:W3CDTF">2019-12-09T00:15:18Z</dcterms:modified>
</cp:coreProperties>
</file>